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Look w:val="04A0" w:firstRow="1" w:lastRow="0" w:firstColumn="1" w:lastColumn="0" w:noHBand="0" w:noVBand="1"/>
      </w:tblPr>
      <w:tblGrid>
        <w:gridCol w:w="2017"/>
        <w:gridCol w:w="1984"/>
        <w:gridCol w:w="3828"/>
        <w:gridCol w:w="2551"/>
        <w:gridCol w:w="3139"/>
      </w:tblGrid>
      <w:tr w:rsidR="00B26D13" w:rsidRPr="00D107CF" w:rsidTr="00AB5647">
        <w:trPr>
          <w:trHeight w:val="405"/>
        </w:trPr>
        <w:tc>
          <w:tcPr>
            <w:tcW w:w="2017" w:type="dxa"/>
          </w:tcPr>
          <w:p w:rsidR="002F28C2" w:rsidRPr="00D107CF" w:rsidRDefault="002F28C2" w:rsidP="00D107CF">
            <w:pPr>
              <w:jc w:val="both"/>
              <w:rPr>
                <w:rFonts w:cs="David"/>
                <w:b/>
                <w:bCs/>
                <w:sz w:val="24"/>
                <w:szCs w:val="24"/>
                <w:rtl/>
              </w:rPr>
            </w:pPr>
            <w:r w:rsidRPr="00D107CF">
              <w:rPr>
                <w:rFonts w:cs="David" w:hint="cs"/>
                <w:b/>
                <w:bCs/>
                <w:sz w:val="24"/>
                <w:szCs w:val="24"/>
                <w:rtl/>
              </w:rPr>
              <w:t>מס' תיק</w:t>
            </w:r>
          </w:p>
        </w:tc>
        <w:tc>
          <w:tcPr>
            <w:tcW w:w="1984" w:type="dxa"/>
          </w:tcPr>
          <w:p w:rsidR="002F28C2" w:rsidRPr="00D107CF" w:rsidRDefault="002F28C2" w:rsidP="00D107CF">
            <w:pPr>
              <w:jc w:val="both"/>
              <w:rPr>
                <w:rFonts w:cs="David"/>
                <w:b/>
                <w:bCs/>
                <w:sz w:val="24"/>
                <w:szCs w:val="24"/>
                <w:rtl/>
              </w:rPr>
            </w:pPr>
            <w:r w:rsidRPr="00D107CF">
              <w:rPr>
                <w:rFonts w:cs="David" w:hint="cs"/>
                <w:b/>
                <w:bCs/>
                <w:sz w:val="24"/>
                <w:szCs w:val="24"/>
                <w:rtl/>
              </w:rPr>
              <w:t>העבירות</w:t>
            </w:r>
          </w:p>
        </w:tc>
        <w:tc>
          <w:tcPr>
            <w:tcW w:w="3828" w:type="dxa"/>
          </w:tcPr>
          <w:p w:rsidR="002F28C2" w:rsidRPr="00D107CF" w:rsidRDefault="002F28C2" w:rsidP="00D107CF">
            <w:pPr>
              <w:jc w:val="both"/>
              <w:rPr>
                <w:rFonts w:cs="David"/>
                <w:b/>
                <w:bCs/>
                <w:sz w:val="24"/>
                <w:szCs w:val="24"/>
                <w:rtl/>
              </w:rPr>
            </w:pPr>
            <w:r w:rsidRPr="00D107CF">
              <w:rPr>
                <w:rFonts w:cs="David" w:hint="cs"/>
                <w:b/>
                <w:bCs/>
                <w:sz w:val="24"/>
                <w:szCs w:val="24"/>
                <w:rtl/>
              </w:rPr>
              <w:t>עובדות</w:t>
            </w:r>
          </w:p>
        </w:tc>
        <w:tc>
          <w:tcPr>
            <w:tcW w:w="2551" w:type="dxa"/>
          </w:tcPr>
          <w:p w:rsidR="002F28C2" w:rsidRPr="00D107CF" w:rsidRDefault="002F28C2" w:rsidP="00D107CF">
            <w:pPr>
              <w:jc w:val="both"/>
              <w:rPr>
                <w:rFonts w:cs="David"/>
                <w:b/>
                <w:bCs/>
                <w:sz w:val="24"/>
                <w:szCs w:val="24"/>
                <w:rtl/>
              </w:rPr>
            </w:pPr>
            <w:r w:rsidRPr="00D107CF">
              <w:rPr>
                <w:rFonts w:cs="David" w:hint="cs"/>
                <w:b/>
                <w:bCs/>
                <w:sz w:val="24"/>
                <w:szCs w:val="24"/>
                <w:rtl/>
              </w:rPr>
              <w:t>הכרעה</w:t>
            </w:r>
          </w:p>
        </w:tc>
        <w:tc>
          <w:tcPr>
            <w:tcW w:w="3139" w:type="dxa"/>
          </w:tcPr>
          <w:p w:rsidR="002F28C2" w:rsidRPr="00D107CF" w:rsidRDefault="002F28C2" w:rsidP="00D107CF">
            <w:pPr>
              <w:jc w:val="both"/>
              <w:rPr>
                <w:rFonts w:cs="David"/>
                <w:b/>
                <w:bCs/>
                <w:sz w:val="24"/>
                <w:szCs w:val="24"/>
                <w:rtl/>
              </w:rPr>
            </w:pPr>
            <w:r w:rsidRPr="00D107CF">
              <w:rPr>
                <w:rFonts w:cs="David" w:hint="cs"/>
                <w:b/>
                <w:bCs/>
                <w:sz w:val="24"/>
                <w:szCs w:val="24"/>
                <w:rtl/>
              </w:rPr>
              <w:t>ניתוח משפטי</w:t>
            </w:r>
          </w:p>
        </w:tc>
      </w:tr>
      <w:tr w:rsidR="00B26D13" w:rsidRPr="00D107CF" w:rsidTr="00AB5647">
        <w:trPr>
          <w:trHeight w:val="989"/>
        </w:trPr>
        <w:tc>
          <w:tcPr>
            <w:tcW w:w="2017" w:type="dxa"/>
          </w:tcPr>
          <w:p w:rsidR="007E704C" w:rsidRPr="007E704C" w:rsidRDefault="007E704C" w:rsidP="00D107CF">
            <w:pPr>
              <w:spacing w:before="100"/>
              <w:jc w:val="both"/>
              <w:rPr>
                <w:rFonts w:ascii="Times New Roman" w:eastAsia="Times New Roman" w:hAnsi="Times New Roman" w:cs="David"/>
                <w:b/>
                <w:bCs/>
                <w:sz w:val="24"/>
                <w:szCs w:val="24"/>
              </w:rPr>
            </w:pPr>
            <w:r w:rsidRPr="007E704C">
              <w:rPr>
                <w:rFonts w:ascii="Times New Roman" w:eastAsia="Times New Roman" w:hAnsi="Times New Roman" w:cs="David" w:hint="cs"/>
                <w:b/>
                <w:bCs/>
                <w:sz w:val="24"/>
                <w:szCs w:val="24"/>
                <w:rtl/>
              </w:rPr>
              <w:t>ע</w:t>
            </w:r>
            <w:r w:rsidRPr="00D107CF">
              <w:rPr>
                <w:rFonts w:ascii="Times New Roman" w:eastAsia="Times New Roman" w:hAnsi="Times New Roman" w:cs="David" w:hint="cs"/>
                <w:b/>
                <w:bCs/>
                <w:sz w:val="24"/>
                <w:szCs w:val="24"/>
                <w:rtl/>
              </w:rPr>
              <w:t>"</w:t>
            </w:r>
            <w:r w:rsidRPr="007E704C">
              <w:rPr>
                <w:rFonts w:ascii="Times New Roman" w:eastAsia="Times New Roman" w:hAnsi="Times New Roman" w:cs="David" w:hint="cs"/>
                <w:b/>
                <w:bCs/>
                <w:sz w:val="24"/>
                <w:szCs w:val="24"/>
                <w:rtl/>
              </w:rPr>
              <w:t xml:space="preserve">פ 3520/91‏ ‏ הלנה תורג'מן נ' מדינת ישראל, </w:t>
            </w:r>
            <w:proofErr w:type="spellStart"/>
            <w:r w:rsidRPr="007E704C">
              <w:rPr>
                <w:rFonts w:ascii="Times New Roman" w:eastAsia="Times New Roman" w:hAnsi="Times New Roman" w:cs="David" w:hint="cs"/>
                <w:b/>
                <w:bCs/>
                <w:sz w:val="24"/>
                <w:szCs w:val="24"/>
                <w:rtl/>
              </w:rPr>
              <w:t>פ''ד</w:t>
            </w:r>
            <w:proofErr w:type="spellEnd"/>
            <w:r w:rsidRPr="007E704C">
              <w:rPr>
                <w:rFonts w:ascii="Times New Roman" w:eastAsia="Times New Roman" w:hAnsi="Times New Roman" w:cs="David" w:hint="cs"/>
                <w:b/>
                <w:bCs/>
                <w:sz w:val="24"/>
                <w:szCs w:val="24"/>
                <w:rtl/>
              </w:rPr>
              <w:t xml:space="preserve"> </w:t>
            </w:r>
            <w:proofErr w:type="spellStart"/>
            <w:r w:rsidRPr="007E704C">
              <w:rPr>
                <w:rFonts w:ascii="Times New Roman" w:eastAsia="Times New Roman" w:hAnsi="Times New Roman" w:cs="David" w:hint="cs"/>
                <w:b/>
                <w:bCs/>
                <w:sz w:val="24"/>
                <w:szCs w:val="24"/>
                <w:rtl/>
              </w:rPr>
              <w:t>מז</w:t>
            </w:r>
            <w:proofErr w:type="spellEnd"/>
            <w:r w:rsidRPr="007E704C">
              <w:rPr>
                <w:rFonts w:ascii="Times New Roman" w:eastAsia="Times New Roman" w:hAnsi="Times New Roman" w:cs="David" w:hint="cs"/>
                <w:b/>
                <w:bCs/>
                <w:sz w:val="24"/>
                <w:szCs w:val="24"/>
                <w:rtl/>
              </w:rPr>
              <w:t>(1) 441</w:t>
            </w:r>
          </w:p>
          <w:p w:rsidR="002F28C2" w:rsidRPr="00D107CF" w:rsidRDefault="00E11F88" w:rsidP="00D107CF">
            <w:pPr>
              <w:jc w:val="both"/>
              <w:rPr>
                <w:rFonts w:cs="David"/>
                <w:sz w:val="24"/>
                <w:szCs w:val="24"/>
                <w:rtl/>
              </w:rPr>
            </w:pPr>
            <w:r w:rsidRPr="00D107CF">
              <w:rPr>
                <w:rFonts w:cs="David" w:hint="cs"/>
                <w:sz w:val="24"/>
                <w:szCs w:val="24"/>
                <w:rtl/>
              </w:rPr>
              <w:t>(עליון)</w:t>
            </w:r>
          </w:p>
        </w:tc>
        <w:tc>
          <w:tcPr>
            <w:tcW w:w="1984" w:type="dxa"/>
          </w:tcPr>
          <w:p w:rsidR="00151F14" w:rsidRDefault="00AB5647" w:rsidP="00151F14">
            <w:pPr>
              <w:jc w:val="both"/>
              <w:rPr>
                <w:rFonts w:cs="David"/>
                <w:sz w:val="24"/>
                <w:szCs w:val="24"/>
                <w:rtl/>
              </w:rPr>
            </w:pPr>
            <w:r>
              <w:rPr>
                <w:rFonts w:cs="David" w:hint="cs"/>
                <w:sz w:val="24"/>
                <w:szCs w:val="24"/>
                <w:rtl/>
              </w:rPr>
              <w:t xml:space="preserve">עבירת </w:t>
            </w:r>
            <w:r w:rsidR="00151F14">
              <w:rPr>
                <w:rFonts w:cs="David" w:hint="cs"/>
                <w:sz w:val="24"/>
                <w:szCs w:val="24"/>
                <w:rtl/>
              </w:rPr>
              <w:t xml:space="preserve">סרסרות למעשי זנות, </w:t>
            </w:r>
            <w:r w:rsidR="007E704C" w:rsidRPr="00D107CF">
              <w:rPr>
                <w:rFonts w:cs="David" w:hint="cs"/>
                <w:sz w:val="24"/>
                <w:szCs w:val="24"/>
                <w:rtl/>
              </w:rPr>
              <w:t>לפי</w:t>
            </w:r>
            <w:r w:rsidR="007E704C" w:rsidRPr="00D107CF">
              <w:rPr>
                <w:rFonts w:cs="David" w:hint="cs"/>
                <w:sz w:val="24"/>
                <w:szCs w:val="24"/>
              </w:rPr>
              <w:t> </w:t>
            </w:r>
            <w:hyperlink r:id="rId7" w:history="1">
              <w:r w:rsidR="007E704C" w:rsidRPr="00D107CF">
                <w:rPr>
                  <w:rStyle w:val="Hyperlink"/>
                  <w:rFonts w:cs="David" w:hint="cs"/>
                  <w:color w:val="auto"/>
                  <w:sz w:val="24"/>
                  <w:szCs w:val="24"/>
                  <w:u w:val="none"/>
                  <w:rtl/>
                </w:rPr>
                <w:t>סעיף 199</w:t>
              </w:r>
            </w:hyperlink>
            <w:r w:rsidR="00151F14">
              <w:rPr>
                <w:rFonts w:cs="David" w:hint="cs"/>
                <w:sz w:val="24"/>
                <w:szCs w:val="24"/>
                <w:rtl/>
              </w:rPr>
              <w:t xml:space="preserve"> </w:t>
            </w:r>
            <w:r w:rsidR="007E704C" w:rsidRPr="00D107CF">
              <w:rPr>
                <w:rFonts w:cs="David" w:hint="cs"/>
                <w:sz w:val="24"/>
                <w:szCs w:val="24"/>
                <w:rtl/>
              </w:rPr>
              <w:t>לחוק העונשין</w:t>
            </w:r>
            <w:r w:rsidR="00151F14">
              <w:rPr>
                <w:rFonts w:cs="David" w:hint="cs"/>
                <w:sz w:val="24"/>
                <w:szCs w:val="24"/>
                <w:rtl/>
              </w:rPr>
              <w:t>.</w:t>
            </w:r>
          </w:p>
          <w:p w:rsidR="002F28C2" w:rsidRDefault="00AB5647" w:rsidP="00151F14">
            <w:pPr>
              <w:jc w:val="both"/>
              <w:rPr>
                <w:rFonts w:cs="David"/>
                <w:sz w:val="24"/>
                <w:szCs w:val="24"/>
                <w:rtl/>
              </w:rPr>
            </w:pPr>
            <w:r>
              <w:rPr>
                <w:rFonts w:cs="David" w:hint="cs"/>
                <w:sz w:val="24"/>
                <w:szCs w:val="24"/>
                <w:rtl/>
              </w:rPr>
              <w:t xml:space="preserve">עבירת </w:t>
            </w:r>
            <w:r w:rsidR="007E704C" w:rsidRPr="00D107CF">
              <w:rPr>
                <w:rFonts w:cs="David" w:hint="cs"/>
                <w:sz w:val="24"/>
                <w:szCs w:val="24"/>
                <w:rtl/>
              </w:rPr>
              <w:t>החזקה וניהול של מקום לשם</w:t>
            </w:r>
            <w:r w:rsidR="007E704C" w:rsidRPr="00D107CF">
              <w:rPr>
                <w:rFonts w:cs="David"/>
                <w:sz w:val="24"/>
                <w:szCs w:val="24"/>
              </w:rPr>
              <w:t> </w:t>
            </w:r>
            <w:r w:rsidR="00151F14">
              <w:rPr>
                <w:rFonts w:cs="David" w:hint="cs"/>
                <w:sz w:val="24"/>
                <w:szCs w:val="24"/>
                <w:rtl/>
              </w:rPr>
              <w:t xml:space="preserve">עיסוק בזנות, </w:t>
            </w:r>
            <w:r w:rsidR="007E704C" w:rsidRPr="00D107CF">
              <w:rPr>
                <w:rFonts w:cs="David" w:hint="cs"/>
                <w:sz w:val="24"/>
                <w:szCs w:val="24"/>
                <w:rtl/>
              </w:rPr>
              <w:t>לפי</w:t>
            </w:r>
            <w:r w:rsidR="007E704C" w:rsidRPr="00D107CF">
              <w:rPr>
                <w:rFonts w:cs="David" w:hint="cs"/>
                <w:sz w:val="24"/>
                <w:szCs w:val="24"/>
              </w:rPr>
              <w:t> </w:t>
            </w:r>
            <w:r w:rsidR="00151F14">
              <w:rPr>
                <w:rFonts w:cs="David" w:hint="cs"/>
                <w:sz w:val="24"/>
                <w:szCs w:val="24"/>
                <w:rtl/>
              </w:rPr>
              <w:t>סעיף 204</w:t>
            </w:r>
            <w:r w:rsidR="00151F14" w:rsidRPr="00D107CF">
              <w:rPr>
                <w:rFonts w:cs="David" w:hint="cs"/>
                <w:sz w:val="24"/>
                <w:szCs w:val="24"/>
                <w:rtl/>
              </w:rPr>
              <w:t xml:space="preserve"> </w:t>
            </w:r>
            <w:r w:rsidR="007E704C" w:rsidRPr="00D107CF">
              <w:rPr>
                <w:rFonts w:cs="David" w:hint="cs"/>
                <w:sz w:val="24"/>
                <w:szCs w:val="24"/>
                <w:rtl/>
              </w:rPr>
              <w:t>לחוק העונשין</w:t>
            </w:r>
            <w:r w:rsidR="007E704C" w:rsidRPr="00D107CF">
              <w:rPr>
                <w:rFonts w:cs="David" w:hint="cs"/>
                <w:sz w:val="24"/>
                <w:szCs w:val="24"/>
              </w:rPr>
              <w:t>.</w:t>
            </w:r>
          </w:p>
          <w:p w:rsidR="00151F14" w:rsidRPr="00D107CF" w:rsidRDefault="00AB5647" w:rsidP="00151F14">
            <w:pPr>
              <w:jc w:val="both"/>
              <w:rPr>
                <w:rFonts w:cs="David"/>
                <w:sz w:val="24"/>
                <w:szCs w:val="24"/>
                <w:rtl/>
              </w:rPr>
            </w:pPr>
            <w:r>
              <w:rPr>
                <w:rFonts w:cs="David" w:hint="cs"/>
                <w:sz w:val="24"/>
                <w:szCs w:val="24"/>
                <w:rtl/>
              </w:rPr>
              <w:t xml:space="preserve">עבירת </w:t>
            </w:r>
            <w:r w:rsidR="00151F14">
              <w:rPr>
                <w:rFonts w:cs="David" w:hint="cs"/>
                <w:sz w:val="24"/>
                <w:szCs w:val="24"/>
                <w:rtl/>
              </w:rPr>
              <w:t>מטרד</w:t>
            </w:r>
            <w:r>
              <w:rPr>
                <w:rFonts w:cs="David" w:hint="cs"/>
                <w:sz w:val="24"/>
                <w:szCs w:val="24"/>
                <w:rtl/>
              </w:rPr>
              <w:t xml:space="preserve"> לציבור</w:t>
            </w:r>
            <w:r w:rsidR="00151F14">
              <w:rPr>
                <w:rFonts w:cs="David" w:hint="cs"/>
                <w:sz w:val="24"/>
                <w:szCs w:val="24"/>
                <w:rtl/>
              </w:rPr>
              <w:t xml:space="preserve">, לפי סעיף 215(ג) לחוק העונשין. </w:t>
            </w:r>
          </w:p>
        </w:tc>
        <w:tc>
          <w:tcPr>
            <w:tcW w:w="3828" w:type="dxa"/>
          </w:tcPr>
          <w:p w:rsidR="002F28C2" w:rsidRPr="00D107CF" w:rsidRDefault="007E704C" w:rsidP="00151F14">
            <w:pPr>
              <w:jc w:val="both"/>
              <w:rPr>
                <w:rFonts w:cs="David"/>
                <w:sz w:val="24"/>
                <w:szCs w:val="24"/>
                <w:rtl/>
              </w:rPr>
            </w:pPr>
            <w:r w:rsidRPr="00D107CF">
              <w:rPr>
                <w:rFonts w:cs="David" w:hint="cs"/>
                <w:sz w:val="24"/>
                <w:szCs w:val="24"/>
                <w:rtl/>
              </w:rPr>
              <w:t>המערערת ניהלה דירה בתל אביב לשם עיסוק בזנות. בדירה העסיקה המערערת עובדות, שהעניקו שירותי מין לגברים תמורת תשלום. ה"עסק" נוהל במסווה של מכון עיסוי, ובהתאם לכך פרסמה המערערת מודעות בעיתונות, בהן הוזמנו גברים לבוא למכון ולקבל שירותי עיסוי</w:t>
            </w:r>
            <w:r w:rsidRPr="00D107CF">
              <w:rPr>
                <w:rFonts w:cs="David" w:hint="cs"/>
                <w:sz w:val="24"/>
                <w:szCs w:val="24"/>
              </w:rPr>
              <w:t>.</w:t>
            </w:r>
            <w:r w:rsidRPr="00D107CF">
              <w:rPr>
                <w:rFonts w:cs="David" w:hint="cs"/>
                <w:sz w:val="24"/>
                <w:szCs w:val="24"/>
                <w:rtl/>
              </w:rPr>
              <w:t xml:space="preserve"> </w:t>
            </w:r>
            <w:r w:rsidR="00151F14">
              <w:rPr>
                <w:rFonts w:cs="David" w:hint="cs"/>
                <w:sz w:val="24"/>
                <w:szCs w:val="24"/>
                <w:rtl/>
              </w:rPr>
              <w:t>מ</w:t>
            </w:r>
            <w:r w:rsidRPr="00D107CF">
              <w:rPr>
                <w:rFonts w:cs="David" w:hint="cs"/>
                <w:sz w:val="24"/>
                <w:szCs w:val="24"/>
                <w:rtl/>
              </w:rPr>
              <w:t>ודעות הפרסומת שפרסמה המערערת בעיתונות כללו רמזים</w:t>
            </w:r>
            <w:r w:rsidRPr="00D107CF">
              <w:rPr>
                <w:rFonts w:cs="David"/>
                <w:sz w:val="24"/>
                <w:szCs w:val="24"/>
              </w:rPr>
              <w:t> </w:t>
            </w:r>
            <w:r w:rsidRPr="00D107CF">
              <w:rPr>
                <w:rFonts w:cs="David" w:hint="cs"/>
                <w:sz w:val="24"/>
                <w:szCs w:val="24"/>
                <w:rtl/>
              </w:rPr>
              <w:t>מיניים.</w:t>
            </w:r>
          </w:p>
          <w:p w:rsidR="00151F14" w:rsidRDefault="00151F14" w:rsidP="00151F14">
            <w:pPr>
              <w:jc w:val="both"/>
              <w:rPr>
                <w:rFonts w:cs="David"/>
                <w:sz w:val="24"/>
                <w:szCs w:val="24"/>
                <w:rtl/>
              </w:rPr>
            </w:pPr>
            <w:r>
              <w:rPr>
                <w:rFonts w:cs="David" w:hint="cs"/>
                <w:sz w:val="24"/>
                <w:szCs w:val="24"/>
                <w:rtl/>
              </w:rPr>
              <w:t xml:space="preserve">בית המשפט המחוזי </w:t>
            </w:r>
            <w:r w:rsidR="00E11F88" w:rsidRPr="00D107CF">
              <w:rPr>
                <w:rFonts w:cs="David" w:hint="cs"/>
                <w:sz w:val="24"/>
                <w:szCs w:val="24"/>
                <w:rtl/>
              </w:rPr>
              <w:t>השית על המערערת עונש מאסר לתקופה של</w:t>
            </w:r>
            <w:r>
              <w:rPr>
                <w:rFonts w:cs="David" w:hint="cs"/>
                <w:sz w:val="24"/>
                <w:szCs w:val="24"/>
                <w:rtl/>
              </w:rPr>
              <w:t xml:space="preserve"> 18 חודשים</w:t>
            </w:r>
            <w:r w:rsidR="00E11F88" w:rsidRPr="00D107CF">
              <w:rPr>
                <w:rFonts w:cs="David" w:hint="cs"/>
                <w:sz w:val="24"/>
                <w:szCs w:val="24"/>
                <w:rtl/>
              </w:rPr>
              <w:t>, מהם</w:t>
            </w:r>
            <w:r>
              <w:rPr>
                <w:rFonts w:cs="David" w:hint="cs"/>
                <w:sz w:val="24"/>
                <w:szCs w:val="24"/>
                <w:rtl/>
              </w:rPr>
              <w:t xml:space="preserve"> 6 </w:t>
            </w:r>
            <w:r w:rsidR="00E11F88" w:rsidRPr="00D107CF">
              <w:rPr>
                <w:rFonts w:cs="David" w:hint="cs"/>
                <w:sz w:val="24"/>
                <w:szCs w:val="24"/>
                <w:rtl/>
              </w:rPr>
              <w:t xml:space="preserve">חודשים לריצוי בפועל </w:t>
            </w:r>
            <w:proofErr w:type="spellStart"/>
            <w:r w:rsidR="00E11F88" w:rsidRPr="00D107CF">
              <w:rPr>
                <w:rFonts w:cs="David" w:hint="cs"/>
                <w:sz w:val="24"/>
                <w:szCs w:val="24"/>
                <w:rtl/>
              </w:rPr>
              <w:t>ויתרם</w:t>
            </w:r>
            <w:proofErr w:type="spellEnd"/>
            <w:r w:rsidR="00E11F88" w:rsidRPr="00D107CF">
              <w:rPr>
                <w:rFonts w:cs="David" w:hint="cs"/>
                <w:sz w:val="24"/>
                <w:szCs w:val="24"/>
                <w:rtl/>
              </w:rPr>
              <w:t xml:space="preserve"> על תנאי, וקנס בסך 6,000 ש"ח. </w:t>
            </w:r>
            <w:r>
              <w:rPr>
                <w:rFonts w:cs="David" w:hint="cs"/>
                <w:sz w:val="24"/>
                <w:szCs w:val="24"/>
                <w:rtl/>
              </w:rPr>
              <w:t xml:space="preserve">כמו </w:t>
            </w:r>
            <w:r w:rsidR="00E11F88" w:rsidRPr="00D107CF">
              <w:rPr>
                <w:rFonts w:cs="David" w:hint="cs"/>
                <w:sz w:val="24"/>
                <w:szCs w:val="24"/>
                <w:rtl/>
              </w:rPr>
              <w:t>כן הורה</w:t>
            </w:r>
            <w:r>
              <w:rPr>
                <w:rFonts w:cs="David" w:hint="cs"/>
                <w:sz w:val="24"/>
                <w:szCs w:val="24"/>
                <w:rtl/>
              </w:rPr>
              <w:t xml:space="preserve"> בית המשפט</w:t>
            </w:r>
            <w:r w:rsidR="00E11F88" w:rsidRPr="00D107CF">
              <w:rPr>
                <w:rFonts w:cs="David" w:hint="cs"/>
                <w:sz w:val="24"/>
                <w:szCs w:val="24"/>
                <w:rtl/>
              </w:rPr>
              <w:t xml:space="preserve">, כי עונש המאסר בפועל יבוצע בדרך של עבודות שירות. </w:t>
            </w:r>
          </w:p>
          <w:p w:rsidR="00E11F88" w:rsidRPr="00D107CF" w:rsidRDefault="00E11F88" w:rsidP="00151F14">
            <w:pPr>
              <w:jc w:val="both"/>
              <w:rPr>
                <w:rFonts w:cs="David"/>
                <w:sz w:val="24"/>
                <w:szCs w:val="24"/>
                <w:rtl/>
              </w:rPr>
            </w:pPr>
            <w:r w:rsidRPr="00D107CF">
              <w:rPr>
                <w:rFonts w:cs="David" w:hint="cs"/>
                <w:sz w:val="24"/>
                <w:szCs w:val="24"/>
                <w:rtl/>
              </w:rPr>
              <w:t>המערערת ערערה  הן על ההרשעה והן על חומרת העונש</w:t>
            </w:r>
            <w:r w:rsidRPr="00D107CF">
              <w:rPr>
                <w:rFonts w:cs="David" w:hint="cs"/>
                <w:sz w:val="24"/>
                <w:szCs w:val="24"/>
              </w:rPr>
              <w:t>.</w:t>
            </w:r>
          </w:p>
        </w:tc>
        <w:tc>
          <w:tcPr>
            <w:tcW w:w="2551" w:type="dxa"/>
          </w:tcPr>
          <w:p w:rsidR="002F28C2" w:rsidRPr="00D107CF" w:rsidRDefault="00E11F88" w:rsidP="00D107CF">
            <w:pPr>
              <w:jc w:val="both"/>
              <w:rPr>
                <w:rFonts w:cs="David"/>
                <w:sz w:val="24"/>
                <w:szCs w:val="24"/>
                <w:rtl/>
              </w:rPr>
            </w:pPr>
            <w:r w:rsidRPr="00D107CF">
              <w:rPr>
                <w:rFonts w:cs="David" w:hint="cs"/>
                <w:sz w:val="24"/>
                <w:szCs w:val="24"/>
                <w:rtl/>
              </w:rPr>
              <w:t>הערעור נדחה.</w:t>
            </w:r>
          </w:p>
        </w:tc>
        <w:tc>
          <w:tcPr>
            <w:tcW w:w="3139" w:type="dxa"/>
          </w:tcPr>
          <w:p w:rsidR="002F28C2" w:rsidRPr="00D107CF" w:rsidRDefault="00A86415" w:rsidP="00151F14">
            <w:pPr>
              <w:jc w:val="both"/>
              <w:rPr>
                <w:rFonts w:cs="David"/>
                <w:sz w:val="24"/>
                <w:szCs w:val="24"/>
                <w:rtl/>
              </w:rPr>
            </w:pPr>
            <w:r w:rsidRPr="00D107CF">
              <w:rPr>
                <w:rFonts w:cs="David" w:hint="cs"/>
                <w:sz w:val="24"/>
                <w:szCs w:val="24"/>
                <w:rtl/>
              </w:rPr>
              <w:t>השופט חשין התייחס בפסק דינו לעבירת המטרד לפי סעיף 215 (ג)</w:t>
            </w:r>
            <w:r w:rsidR="00151F14">
              <w:rPr>
                <w:rFonts w:cs="David" w:hint="cs"/>
                <w:sz w:val="24"/>
                <w:szCs w:val="24"/>
                <w:rtl/>
              </w:rPr>
              <w:t>:</w:t>
            </w:r>
          </w:p>
          <w:p w:rsidR="00151F14" w:rsidRDefault="00151F14" w:rsidP="00D107CF">
            <w:pPr>
              <w:jc w:val="both"/>
              <w:rPr>
                <w:rFonts w:cs="David"/>
                <w:sz w:val="24"/>
                <w:szCs w:val="24"/>
                <w:rtl/>
              </w:rPr>
            </w:pPr>
          </w:p>
          <w:p w:rsidR="00B26D13" w:rsidRDefault="00151F14" w:rsidP="00D107CF">
            <w:pPr>
              <w:jc w:val="both"/>
              <w:rPr>
                <w:rFonts w:cs="David"/>
                <w:sz w:val="24"/>
                <w:szCs w:val="24"/>
                <w:rtl/>
              </w:rPr>
            </w:pPr>
            <w:r>
              <w:rPr>
                <w:rFonts w:cs="David" w:hint="cs"/>
                <w:sz w:val="24"/>
                <w:szCs w:val="24"/>
                <w:rtl/>
              </w:rPr>
              <w:t>"</w:t>
            </w:r>
            <w:r w:rsidR="00B26D13" w:rsidRPr="00D107CF">
              <w:rPr>
                <w:rFonts w:cs="David" w:hint="cs"/>
                <w:sz w:val="24"/>
                <w:szCs w:val="24"/>
                <w:rtl/>
              </w:rPr>
              <w:t>לעבירות שהמערערת הורשעה בהן שני פנים: מעבר מזה - ובו הורתן ולידתן - נועדו אותן עבירות לשמירת "המוסר הציבורי", למניעתה של "השחתת המידות", לאכיפת נורמות של מוסר על בני החברה, למניעת ניצולן לרעה של נשים, ועוד כיוצא באלו מטרות. על כך אומר חברי המשנה לנשיא, כי "סרסרות למעשי זנות עבירה</w:t>
            </w:r>
            <w:r w:rsidR="00B26D13" w:rsidRPr="00D107CF">
              <w:rPr>
                <w:rFonts w:cs="David" w:hint="cs"/>
                <w:sz w:val="24"/>
                <w:szCs w:val="24"/>
              </w:rPr>
              <w:t>  </w:t>
            </w:r>
            <w:r w:rsidR="00B26D13" w:rsidRPr="00D107CF">
              <w:rPr>
                <w:rFonts w:cs="David" w:hint="cs"/>
                <w:sz w:val="24"/>
                <w:szCs w:val="24"/>
                <w:rtl/>
              </w:rPr>
              <w:t>בזויה ומבזה היא, כך נראית היא בעיני המחוקק וכך נראית היא בעינינו</w:t>
            </w:r>
            <w:r w:rsidR="00B26D13" w:rsidRPr="00D107CF">
              <w:rPr>
                <w:rFonts w:cs="David" w:hint="cs"/>
                <w:sz w:val="24"/>
                <w:szCs w:val="24"/>
              </w:rPr>
              <w:t>". </w:t>
            </w:r>
            <w:r>
              <w:rPr>
                <w:rFonts w:cs="David" w:hint="cs"/>
                <w:sz w:val="24"/>
                <w:szCs w:val="24"/>
                <w:rtl/>
              </w:rPr>
              <w:t xml:space="preserve"> </w:t>
            </w:r>
            <w:r w:rsidR="00B26D13" w:rsidRPr="00D107CF">
              <w:rPr>
                <w:rFonts w:cs="David" w:hint="cs"/>
                <w:sz w:val="24"/>
                <w:szCs w:val="24"/>
                <w:rtl/>
              </w:rPr>
              <w:t>מן הצד האחר, יועדה לעבירות אלו שלפנינו המטרה של ביעור מטרדים, בין מטרדים ליחיד ובין מטרדים לרבים</w:t>
            </w:r>
            <w:r w:rsidR="00B26D13" w:rsidRPr="00D107CF">
              <w:rPr>
                <w:rFonts w:cs="David" w:hint="cs"/>
                <w:sz w:val="24"/>
                <w:szCs w:val="24"/>
              </w:rPr>
              <w:t>. </w:t>
            </w:r>
            <w:r>
              <w:rPr>
                <w:rFonts w:cs="David" w:hint="cs"/>
                <w:sz w:val="24"/>
                <w:szCs w:val="24"/>
                <w:rtl/>
              </w:rPr>
              <w:t xml:space="preserve"> </w:t>
            </w:r>
            <w:r w:rsidR="00B26D13" w:rsidRPr="00D107CF">
              <w:rPr>
                <w:rFonts w:cs="David" w:hint="cs"/>
                <w:sz w:val="24"/>
                <w:szCs w:val="24"/>
                <w:rtl/>
              </w:rPr>
              <w:t xml:space="preserve">מטרה זו אין היא נגזרת לא מהשקפת עולם, לא מערכי מוסר נעלים ולא מן הצורך לעשות לתיקון החברה ולהגנת החלשים בה. מזין אותה הצורך הפשוט והבסיסי, כי יותן לו לאדם - לאותו "שכן" </w:t>
            </w:r>
            <w:r w:rsidR="00B26D13" w:rsidRPr="00D107CF">
              <w:rPr>
                <w:rFonts w:cs="David" w:hint="cs"/>
                <w:sz w:val="24"/>
                <w:szCs w:val="24"/>
                <w:rtl/>
              </w:rPr>
              <w:softHyphen/>
              <w:t>לחיות את חייו בשקט ובשלווה, בהשקט ובבטחה, שלא יבוא לידי טרדה ושלא יפגעו ברווחתו</w:t>
            </w:r>
            <w:r w:rsidR="00997FDC">
              <w:rPr>
                <w:rFonts w:cs="David" w:hint="cs"/>
                <w:sz w:val="24"/>
                <w:szCs w:val="24"/>
                <w:rtl/>
              </w:rPr>
              <w:t>"</w:t>
            </w:r>
            <w:r w:rsidR="00B26D13" w:rsidRPr="00D107CF">
              <w:rPr>
                <w:rFonts w:cs="David" w:hint="cs"/>
                <w:sz w:val="24"/>
                <w:szCs w:val="24"/>
              </w:rPr>
              <w:t>.</w:t>
            </w:r>
          </w:p>
          <w:p w:rsidR="00997FDC" w:rsidRPr="00D107CF" w:rsidRDefault="00997FDC" w:rsidP="00D107CF">
            <w:pPr>
              <w:jc w:val="both"/>
              <w:rPr>
                <w:rFonts w:cs="David"/>
                <w:sz w:val="24"/>
                <w:szCs w:val="24"/>
                <w:rtl/>
              </w:rPr>
            </w:pPr>
          </w:p>
          <w:p w:rsidR="00E11F88" w:rsidRPr="00E11F88" w:rsidRDefault="00E11F88" w:rsidP="00D107CF">
            <w:pPr>
              <w:spacing w:after="80"/>
              <w:jc w:val="both"/>
              <w:rPr>
                <w:rFonts w:ascii="Times New Roman" w:eastAsia="Times New Roman" w:hAnsi="Times New Roman" w:cs="David"/>
                <w:sz w:val="24"/>
                <w:szCs w:val="24"/>
                <w:rtl/>
              </w:rPr>
            </w:pPr>
            <w:r w:rsidRPr="00E11F88">
              <w:rPr>
                <w:rFonts w:ascii="Times New Roman" w:eastAsia="Times New Roman" w:hAnsi="Times New Roman" w:cs="David" w:hint="cs"/>
                <w:sz w:val="24"/>
                <w:szCs w:val="24"/>
                <w:rtl/>
              </w:rPr>
              <w:lastRenderedPageBreak/>
              <w:t xml:space="preserve">כללם של דברים: מדיניות המשטרה באשר למכוני העיסוי למיניהם יצרה דין למעשה, ולפיו יש לראות בעלים ומנהלים של מכוני עיסוי כמו עוברים הם עבירה שעיקרה הוא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xml:space="preserve">, בעיקר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xml:space="preserve"> ליחיד; וכשם שהרשויות לא תתערבנה במעשי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xml:space="preserve"> פליליים, כעיקרון, אלא אם תבוא לפניהן תלונה על כך, כך אף בעבירות שעוברים מנהליהם של מכוני עיסוי (בתורת שכאלה). דין למעשה זה הינו גורם ראשון במעלה, לדעתי, בשיקולי גזירת העונש על המערערת. אין זה מתקבל על דעתי - ומכל בחינה שהיא - ואין זה צדק, כי מלכתחילה לא תיפתח חקירה בעניינו של מכון עיסוי אלא בסיווגו </w:t>
            </w:r>
            <w:proofErr w:type="spellStart"/>
            <w:r w:rsidRPr="00E11F88">
              <w:rPr>
                <w:rFonts w:ascii="Times New Roman" w:eastAsia="Times New Roman" w:hAnsi="Times New Roman" w:cs="David" w:hint="cs"/>
                <w:sz w:val="24"/>
                <w:szCs w:val="24"/>
                <w:rtl/>
              </w:rPr>
              <w:t>כמיטרד</w:t>
            </w:r>
            <w:proofErr w:type="spellEnd"/>
            <w:r w:rsidRPr="00E11F88">
              <w:rPr>
                <w:rFonts w:ascii="Times New Roman" w:eastAsia="Times New Roman" w:hAnsi="Times New Roman" w:cs="David" w:hint="cs"/>
                <w:sz w:val="24"/>
                <w:szCs w:val="24"/>
                <w:rtl/>
              </w:rPr>
              <w:t xml:space="preserve"> - ה</w:t>
            </w:r>
            <w:r w:rsidR="00997FDC">
              <w:rPr>
                <w:rFonts w:ascii="Times New Roman" w:eastAsia="Times New Roman" w:hAnsi="Times New Roman" w:cs="David" w:hint="cs"/>
                <w:sz w:val="24"/>
                <w:szCs w:val="24"/>
                <w:rtl/>
              </w:rPr>
              <w:t>י</w:t>
            </w:r>
            <w:r w:rsidRPr="00E11F88">
              <w:rPr>
                <w:rFonts w:ascii="Times New Roman" w:eastAsia="Times New Roman" w:hAnsi="Times New Roman" w:cs="David" w:hint="cs"/>
                <w:sz w:val="24"/>
                <w:szCs w:val="24"/>
                <w:rtl/>
              </w:rPr>
              <w:t xml:space="preserve">א ראיה שהחקירה לא נפתחה אלא על-פי תלונתו של שכן, כך ורק כך - ואילו במהלך הדרך, בבוא העניין לבית המשפט, נשנה כיוון, </w:t>
            </w:r>
            <w:proofErr w:type="spellStart"/>
            <w:r w:rsidRPr="00E11F88">
              <w:rPr>
                <w:rFonts w:ascii="Times New Roman" w:eastAsia="Times New Roman" w:hAnsi="Times New Roman" w:cs="David" w:hint="cs"/>
                <w:sz w:val="24"/>
                <w:szCs w:val="24"/>
                <w:rtl/>
              </w:rPr>
              <w:t>והמיטרד</w:t>
            </w:r>
            <w:proofErr w:type="spellEnd"/>
            <w:r w:rsidRPr="00E11F88">
              <w:rPr>
                <w:rFonts w:ascii="Times New Roman" w:eastAsia="Times New Roman" w:hAnsi="Times New Roman" w:cs="David" w:hint="cs"/>
                <w:sz w:val="24"/>
                <w:szCs w:val="24"/>
                <w:rtl/>
              </w:rPr>
              <w:t xml:space="preserve"> יהפוך, כמו מעצמו, לעבירה חמורה, הגוררת עונש מאסר חובה.</w:t>
            </w:r>
          </w:p>
          <w:p w:rsidR="00E11F88" w:rsidRPr="00997FDC" w:rsidRDefault="00E11F88" w:rsidP="00997FDC">
            <w:pPr>
              <w:spacing w:after="80"/>
              <w:jc w:val="both"/>
              <w:rPr>
                <w:rFonts w:ascii="Times New Roman" w:eastAsia="Times New Roman" w:hAnsi="Times New Roman" w:cs="David"/>
                <w:sz w:val="24"/>
                <w:szCs w:val="24"/>
                <w:rtl/>
              </w:rPr>
            </w:pPr>
            <w:r w:rsidRPr="00E11F88">
              <w:rPr>
                <w:rFonts w:ascii="Times New Roman" w:eastAsia="Times New Roman" w:hAnsi="Times New Roman" w:cs="David" w:hint="cs"/>
                <w:sz w:val="24"/>
                <w:szCs w:val="24"/>
                <w:rtl/>
              </w:rPr>
              <w:t>נזכור ונזכיר, כי מדברים אנו כל העת אך בעונש שהמערערת ראויה לו. וכשם שלא שמענו</w:t>
            </w:r>
            <w:r w:rsidRPr="00D107CF">
              <w:rPr>
                <w:rFonts w:ascii="Times New Roman" w:eastAsia="Times New Roman" w:hAnsi="Times New Roman" w:cs="David"/>
                <w:sz w:val="24"/>
                <w:szCs w:val="24"/>
              </w:rPr>
              <w:t xml:space="preserve"> </w:t>
            </w:r>
            <w:r w:rsidRPr="00E11F88">
              <w:rPr>
                <w:rFonts w:ascii="Times New Roman" w:eastAsia="Times New Roman" w:hAnsi="Times New Roman" w:cs="David" w:hint="cs"/>
                <w:sz w:val="24"/>
                <w:szCs w:val="24"/>
                <w:rtl/>
              </w:rPr>
              <w:t xml:space="preserve">עד הנה כי מי שהורשע בעבירת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xml:space="preserve"> על דרך הסתם יישלח אל הכלא וחופשו יינטל</w:t>
            </w:r>
            <w:r w:rsidRPr="00E11F88">
              <w:rPr>
                <w:rFonts w:ascii="Times New Roman" w:eastAsia="Times New Roman" w:hAnsi="Times New Roman" w:cs="David" w:hint="cs"/>
                <w:sz w:val="24"/>
                <w:szCs w:val="24"/>
              </w:rPr>
              <w:t> </w:t>
            </w:r>
            <w:r w:rsidRPr="00E11F88">
              <w:rPr>
                <w:rFonts w:ascii="Times New Roman" w:eastAsia="Times New Roman" w:hAnsi="Times New Roman" w:cs="David" w:hint="cs"/>
                <w:sz w:val="24"/>
                <w:szCs w:val="24"/>
                <w:rtl/>
              </w:rPr>
              <w:t xml:space="preserve">ממנו, כן דין המערערת. על-פי מדיניות </w:t>
            </w:r>
            <w:r w:rsidRPr="00E11F88">
              <w:rPr>
                <w:rFonts w:ascii="Times New Roman" w:eastAsia="Times New Roman" w:hAnsi="Times New Roman" w:cs="David" w:hint="cs"/>
                <w:sz w:val="24"/>
                <w:szCs w:val="24"/>
                <w:rtl/>
              </w:rPr>
              <w:lastRenderedPageBreak/>
              <w:t>המשטרה לא נפתחה חקירה בעניינה של</w:t>
            </w:r>
            <w:r w:rsidRPr="00E11F88">
              <w:rPr>
                <w:rFonts w:ascii="Times New Roman" w:eastAsia="Times New Roman" w:hAnsi="Times New Roman" w:cs="David" w:hint="cs"/>
                <w:sz w:val="24"/>
                <w:szCs w:val="24"/>
              </w:rPr>
              <w:t> </w:t>
            </w:r>
            <w:r w:rsidRPr="00E11F88">
              <w:rPr>
                <w:rFonts w:ascii="Times New Roman" w:eastAsia="Times New Roman" w:hAnsi="Times New Roman" w:cs="David" w:hint="cs"/>
                <w:sz w:val="24"/>
                <w:szCs w:val="24"/>
                <w:rtl/>
              </w:rPr>
              <w:t>המערערת אלא לאחר ששכן הגיש תלונה נגדה; על-פי הנהוג והמקובל ראו את המערערת</w:t>
            </w:r>
            <w:r w:rsidRPr="00E11F88">
              <w:rPr>
                <w:rFonts w:ascii="Times New Roman" w:eastAsia="Times New Roman" w:hAnsi="Times New Roman" w:cs="David" w:hint="cs"/>
                <w:sz w:val="24"/>
                <w:szCs w:val="24"/>
              </w:rPr>
              <w:t> </w:t>
            </w:r>
            <w:r w:rsidRPr="00E11F88">
              <w:rPr>
                <w:rFonts w:ascii="Times New Roman" w:eastAsia="Times New Roman" w:hAnsi="Times New Roman" w:cs="David" w:hint="cs"/>
                <w:sz w:val="24"/>
                <w:szCs w:val="24"/>
                <w:rtl/>
              </w:rPr>
              <w:t xml:space="preserve">כמי שעברה עבירה של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xml:space="preserve"> או של מעין </w:t>
            </w:r>
            <w:proofErr w:type="spellStart"/>
            <w:r w:rsidRPr="00E11F88">
              <w:rPr>
                <w:rFonts w:ascii="Times New Roman" w:eastAsia="Times New Roman" w:hAnsi="Times New Roman" w:cs="David" w:hint="cs"/>
                <w:sz w:val="24"/>
                <w:szCs w:val="24"/>
                <w:rtl/>
              </w:rPr>
              <w:t>מיטרד</w:t>
            </w:r>
            <w:proofErr w:type="spellEnd"/>
            <w:r w:rsidRPr="00E11F88">
              <w:rPr>
                <w:rFonts w:ascii="Times New Roman" w:eastAsia="Times New Roman" w:hAnsi="Times New Roman" w:cs="David" w:hint="cs"/>
                <w:sz w:val="24"/>
                <w:szCs w:val="24"/>
                <w:rtl/>
              </w:rPr>
              <w:t>; ובאותו הקשר עצמו, לדעתי, יש</w:t>
            </w:r>
            <w:r w:rsidRPr="00E11F88">
              <w:rPr>
                <w:rFonts w:ascii="Times New Roman" w:eastAsia="Times New Roman" w:hAnsi="Times New Roman" w:cs="David" w:hint="cs"/>
                <w:sz w:val="24"/>
                <w:szCs w:val="24"/>
              </w:rPr>
              <w:t> </w:t>
            </w:r>
            <w:r w:rsidRPr="00E11F88">
              <w:rPr>
                <w:rFonts w:ascii="Times New Roman" w:eastAsia="Times New Roman" w:hAnsi="Times New Roman" w:cs="David" w:hint="cs"/>
                <w:sz w:val="24"/>
                <w:szCs w:val="24"/>
                <w:rtl/>
              </w:rPr>
              <w:t>לשקול למערערת את עונשה</w:t>
            </w:r>
            <w:r w:rsidRPr="00E11F88">
              <w:rPr>
                <w:rFonts w:ascii="Times New Roman" w:eastAsia="Times New Roman" w:hAnsi="Times New Roman" w:cs="David"/>
                <w:sz w:val="24"/>
                <w:szCs w:val="24"/>
              </w:rPr>
              <w:t>.</w:t>
            </w:r>
          </w:p>
        </w:tc>
      </w:tr>
      <w:tr w:rsidR="00B26D13" w:rsidRPr="00D107CF" w:rsidTr="00AB5647">
        <w:trPr>
          <w:trHeight w:val="989"/>
        </w:trPr>
        <w:tc>
          <w:tcPr>
            <w:tcW w:w="2017" w:type="dxa"/>
          </w:tcPr>
          <w:p w:rsidR="00C0321D" w:rsidRPr="00C0321D" w:rsidRDefault="00C0321D" w:rsidP="00D107CF">
            <w:pPr>
              <w:spacing w:before="100"/>
              <w:jc w:val="both"/>
              <w:rPr>
                <w:rFonts w:ascii="Times New Roman" w:eastAsia="Times New Roman" w:hAnsi="Times New Roman" w:cs="David"/>
                <w:color w:val="000000"/>
                <w:sz w:val="24"/>
                <w:szCs w:val="24"/>
              </w:rPr>
            </w:pPr>
            <w:r w:rsidRPr="00C0321D">
              <w:rPr>
                <w:rFonts w:ascii="Times New Roman" w:eastAsia="Times New Roman" w:hAnsi="Times New Roman" w:cs="David" w:hint="cs"/>
                <w:b/>
                <w:bCs/>
                <w:color w:val="000000"/>
                <w:sz w:val="24"/>
                <w:szCs w:val="24"/>
                <w:rtl/>
              </w:rPr>
              <w:lastRenderedPageBreak/>
              <w:t>ת</w:t>
            </w:r>
            <w:r w:rsidRPr="00D107CF">
              <w:rPr>
                <w:rFonts w:ascii="Times New Roman" w:eastAsia="Times New Roman" w:hAnsi="Times New Roman" w:cs="David" w:hint="cs"/>
                <w:b/>
                <w:bCs/>
                <w:color w:val="000000"/>
                <w:sz w:val="24"/>
                <w:szCs w:val="24"/>
                <w:rtl/>
              </w:rPr>
              <w:t>"</w:t>
            </w:r>
            <w:r w:rsidRPr="00C0321D">
              <w:rPr>
                <w:rFonts w:ascii="Times New Roman" w:eastAsia="Times New Roman" w:hAnsi="Times New Roman" w:cs="David" w:hint="cs"/>
                <w:b/>
                <w:bCs/>
                <w:color w:val="000000"/>
                <w:sz w:val="24"/>
                <w:szCs w:val="24"/>
                <w:rtl/>
              </w:rPr>
              <w:t>פ (ת"א) 4990/04  מדינת ישראל נ' אילת ניר </w:t>
            </w:r>
          </w:p>
          <w:p w:rsidR="002F28C2" w:rsidRPr="00D107CF" w:rsidRDefault="00C0321D" w:rsidP="00D107CF">
            <w:pPr>
              <w:jc w:val="both"/>
              <w:rPr>
                <w:rFonts w:cs="David"/>
                <w:sz w:val="24"/>
                <w:szCs w:val="24"/>
                <w:rtl/>
              </w:rPr>
            </w:pPr>
            <w:r w:rsidRPr="00D107CF">
              <w:rPr>
                <w:rFonts w:cs="David" w:hint="cs"/>
                <w:sz w:val="24"/>
                <w:szCs w:val="24"/>
                <w:rtl/>
              </w:rPr>
              <w:t>(שלום תל אביב-יפו)</w:t>
            </w:r>
          </w:p>
        </w:tc>
        <w:tc>
          <w:tcPr>
            <w:tcW w:w="1984" w:type="dxa"/>
          </w:tcPr>
          <w:p w:rsidR="00C60D93" w:rsidRPr="00D107CF" w:rsidRDefault="00C60D93" w:rsidP="00D107CF">
            <w:pPr>
              <w:jc w:val="both"/>
              <w:rPr>
                <w:rFonts w:cs="David"/>
                <w:color w:val="000000"/>
                <w:sz w:val="24"/>
                <w:szCs w:val="24"/>
                <w:rtl/>
              </w:rPr>
            </w:pPr>
            <w:r w:rsidRPr="00D107CF">
              <w:rPr>
                <w:rFonts w:cs="David" w:hint="cs"/>
                <w:color w:val="000000"/>
                <w:sz w:val="24"/>
                <w:szCs w:val="24"/>
                <w:rtl/>
              </w:rPr>
              <w:t>עבירת סרסרות למעשה זנות, לפי סעיף 199(א)(2) לחוק העונשין.</w:t>
            </w:r>
          </w:p>
          <w:p w:rsidR="00C60D93" w:rsidRPr="00D107CF" w:rsidRDefault="00AB5647" w:rsidP="00D107CF">
            <w:pPr>
              <w:jc w:val="both"/>
              <w:rPr>
                <w:rFonts w:cs="David"/>
                <w:color w:val="000000"/>
                <w:sz w:val="24"/>
                <w:szCs w:val="24"/>
                <w:rtl/>
              </w:rPr>
            </w:pPr>
            <w:r>
              <w:rPr>
                <w:rFonts w:cs="David" w:hint="cs"/>
                <w:color w:val="000000"/>
                <w:sz w:val="24"/>
                <w:szCs w:val="24"/>
                <w:rtl/>
              </w:rPr>
              <w:t xml:space="preserve">עבירת </w:t>
            </w:r>
            <w:r w:rsidR="00C60D93" w:rsidRPr="00D107CF">
              <w:rPr>
                <w:rFonts w:cs="David" w:hint="cs"/>
                <w:color w:val="000000"/>
                <w:sz w:val="24"/>
                <w:szCs w:val="24"/>
                <w:rtl/>
              </w:rPr>
              <w:t>החזקת מקום לשם עיסוק לזנות, לפי סעיף 204 לחוק העונשין.</w:t>
            </w:r>
          </w:p>
          <w:p w:rsidR="00C60D93" w:rsidRPr="00D107CF" w:rsidRDefault="00C60D93" w:rsidP="00D107CF">
            <w:pPr>
              <w:jc w:val="both"/>
              <w:rPr>
                <w:rFonts w:cs="David"/>
                <w:color w:val="000000"/>
                <w:sz w:val="24"/>
                <w:szCs w:val="24"/>
                <w:rtl/>
              </w:rPr>
            </w:pPr>
            <w:r w:rsidRPr="00D107CF">
              <w:rPr>
                <w:rFonts w:cs="David" w:hint="cs"/>
                <w:color w:val="000000"/>
                <w:sz w:val="24"/>
                <w:szCs w:val="24"/>
                <w:rtl/>
              </w:rPr>
              <w:t xml:space="preserve">עבירת מטרד לציבור לפי סעיף 15 (ג) לחוק העונשין. </w:t>
            </w:r>
          </w:p>
          <w:p w:rsidR="00C60D93" w:rsidRPr="00D107CF" w:rsidRDefault="00C60D93" w:rsidP="00D107CF">
            <w:pPr>
              <w:jc w:val="both"/>
              <w:rPr>
                <w:rFonts w:cs="David"/>
                <w:sz w:val="24"/>
                <w:szCs w:val="24"/>
                <w:rtl/>
              </w:rPr>
            </w:pPr>
          </w:p>
        </w:tc>
        <w:tc>
          <w:tcPr>
            <w:tcW w:w="3828" w:type="dxa"/>
          </w:tcPr>
          <w:p w:rsidR="002F28C2" w:rsidRPr="00D107CF" w:rsidRDefault="00C60D93" w:rsidP="00D107CF">
            <w:pPr>
              <w:jc w:val="both"/>
              <w:rPr>
                <w:rFonts w:cs="David"/>
                <w:sz w:val="24"/>
                <w:szCs w:val="24"/>
                <w:rtl/>
              </w:rPr>
            </w:pPr>
            <w:r w:rsidRPr="00D107CF">
              <w:rPr>
                <w:rFonts w:cs="David" w:hint="cs"/>
                <w:sz w:val="24"/>
                <w:szCs w:val="24"/>
                <w:rtl/>
              </w:rPr>
              <w:t xml:space="preserve">הנאשמים ניהלו שתי דירות לשם זנות בתל אביב.  לטענת חלק מהנאשמים- המקום לא שימש כבית בושת אלא כמכון עיסוי. </w:t>
            </w:r>
          </w:p>
        </w:tc>
        <w:tc>
          <w:tcPr>
            <w:tcW w:w="2551" w:type="dxa"/>
          </w:tcPr>
          <w:p w:rsidR="002F28C2" w:rsidRPr="00D107CF" w:rsidRDefault="00C60D93" w:rsidP="00D107CF">
            <w:pPr>
              <w:jc w:val="both"/>
              <w:rPr>
                <w:rFonts w:cs="David"/>
                <w:sz w:val="24"/>
                <w:szCs w:val="24"/>
                <w:rtl/>
              </w:rPr>
            </w:pPr>
            <w:r w:rsidRPr="00D107CF">
              <w:rPr>
                <w:rFonts w:cs="David" w:hint="cs"/>
                <w:sz w:val="24"/>
                <w:szCs w:val="24"/>
                <w:rtl/>
              </w:rPr>
              <w:t xml:space="preserve">בית המשפט הרשיע את הנאשמים בעבירות המיוחסות להם, וזיכה אותם מחמת הספק בעבירת המטרד. </w:t>
            </w:r>
          </w:p>
        </w:tc>
        <w:tc>
          <w:tcPr>
            <w:tcW w:w="3139" w:type="dxa"/>
          </w:tcPr>
          <w:p w:rsidR="00C0321D" w:rsidRPr="00C0321D" w:rsidRDefault="004367CC" w:rsidP="00D107CF">
            <w:pPr>
              <w:spacing w:after="80"/>
              <w:jc w:val="both"/>
              <w:rPr>
                <w:rFonts w:ascii="Times New Roman" w:eastAsia="Times New Roman" w:hAnsi="Times New Roman" w:cs="David"/>
                <w:sz w:val="24"/>
                <w:szCs w:val="24"/>
                <w:rtl/>
              </w:rPr>
            </w:pPr>
            <w:r w:rsidRPr="00D107CF">
              <w:rPr>
                <w:rFonts w:ascii="Times New Roman" w:eastAsia="Times New Roman" w:hAnsi="Times New Roman" w:cs="David" w:hint="cs"/>
                <w:sz w:val="24"/>
                <w:szCs w:val="24"/>
                <w:rtl/>
              </w:rPr>
              <w:t xml:space="preserve">לעניין עבירת הטרד לציבור קבע בית המשפט כי </w:t>
            </w:r>
            <w:r w:rsidR="00C0321D" w:rsidRPr="00C0321D">
              <w:rPr>
                <w:rFonts w:ascii="Times New Roman" w:eastAsia="Times New Roman" w:hAnsi="Times New Roman" w:cs="David" w:hint="cs"/>
                <w:sz w:val="24"/>
                <w:szCs w:val="24"/>
                <w:rtl/>
              </w:rPr>
              <w:t xml:space="preserve">האיסור שבעבירה </w:t>
            </w:r>
            <w:r w:rsidRPr="00D107CF">
              <w:rPr>
                <w:rFonts w:ascii="Times New Roman" w:eastAsia="Times New Roman" w:hAnsi="Times New Roman" w:cs="David" w:hint="cs"/>
                <w:sz w:val="24"/>
                <w:szCs w:val="24"/>
                <w:rtl/>
              </w:rPr>
              <w:t>הינו איסור רחב אשר</w:t>
            </w:r>
            <w:r w:rsidR="00C0321D" w:rsidRPr="00C0321D">
              <w:rPr>
                <w:rFonts w:ascii="Times New Roman" w:eastAsia="Times New Roman" w:hAnsi="Times New Roman" w:cs="David" w:hint="cs"/>
                <w:sz w:val="24"/>
                <w:szCs w:val="24"/>
                <w:rtl/>
              </w:rPr>
              <w:t xml:space="preserve"> בא למנוע מטרד לא רק במקום בו מתקיים העסק בזנות אלא גם לסביבה וכן הפרעה לתנועה בדרכים.</w:t>
            </w:r>
          </w:p>
          <w:p w:rsidR="00C0321D" w:rsidRPr="00C0321D" w:rsidRDefault="00AB5647" w:rsidP="00D107CF">
            <w:pPr>
              <w:spacing w:after="80"/>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עוד צוין כי </w:t>
            </w:r>
            <w:r w:rsidR="00C0321D" w:rsidRPr="00C0321D">
              <w:rPr>
                <w:rFonts w:ascii="Times New Roman" w:eastAsia="Times New Roman" w:hAnsi="Times New Roman" w:cs="David" w:hint="cs"/>
                <w:sz w:val="24"/>
                <w:szCs w:val="24"/>
                <w:rtl/>
              </w:rPr>
              <w:t>היו בידי החוקרים ראיות מנהליות בדמות תלונות טלפוניות אנונימיות וכן תלונה של בעל נכס במקום שהביא לידיעת החוקרים דברים ששמע מדייריו אשר הצביעו על מטרד לציבור. המשטרה לא תרגמה ראיות מנהליות אלה לראיות כשרות במשפט פלילי ולא חקרה נפגעים שיכלו להעיד מכלי ראשון על מטרד במקום.</w:t>
            </w:r>
          </w:p>
          <w:p w:rsidR="00C0321D" w:rsidRPr="00C0321D" w:rsidRDefault="00C0321D" w:rsidP="00D107CF">
            <w:pPr>
              <w:spacing w:after="80"/>
              <w:jc w:val="both"/>
              <w:rPr>
                <w:rFonts w:ascii="Times New Roman" w:eastAsia="Times New Roman" w:hAnsi="Times New Roman" w:cs="David"/>
                <w:sz w:val="24"/>
                <w:szCs w:val="24"/>
                <w:rtl/>
              </w:rPr>
            </w:pPr>
            <w:r w:rsidRPr="00C0321D">
              <w:rPr>
                <w:rFonts w:ascii="Times New Roman" w:eastAsia="Times New Roman" w:hAnsi="Times New Roman" w:cs="David" w:hint="cs"/>
                <w:sz w:val="24"/>
                <w:szCs w:val="24"/>
                <w:rtl/>
              </w:rPr>
              <w:t>בדברים של מר שמש זיו בעל דירה במקום יש אמירה אחת שהיא בגדר עדות ישירה: "... הסתובבתי בבניין וראיתי שיש משהו מסחרי, ואנשים באים ודופקים בדלת ופותחת מישהי עם חלוק...".</w:t>
            </w:r>
          </w:p>
          <w:p w:rsidR="00C0321D" w:rsidRPr="00C0321D" w:rsidRDefault="004367CC" w:rsidP="00D107CF">
            <w:pPr>
              <w:spacing w:after="80"/>
              <w:jc w:val="both"/>
              <w:rPr>
                <w:rFonts w:ascii="Times New Roman" w:eastAsia="Times New Roman" w:hAnsi="Times New Roman" w:cs="David"/>
                <w:sz w:val="24"/>
                <w:szCs w:val="24"/>
                <w:rtl/>
              </w:rPr>
            </w:pPr>
            <w:r w:rsidRPr="00D107CF">
              <w:rPr>
                <w:rFonts w:ascii="Times New Roman" w:eastAsia="Times New Roman" w:hAnsi="Times New Roman" w:cs="David" w:hint="cs"/>
                <w:sz w:val="24"/>
                <w:szCs w:val="24"/>
                <w:rtl/>
              </w:rPr>
              <w:t xml:space="preserve">בית המשפט קבע כי </w:t>
            </w:r>
            <w:r w:rsidR="00C0321D" w:rsidRPr="00C0321D">
              <w:rPr>
                <w:rFonts w:ascii="Times New Roman" w:eastAsia="Times New Roman" w:hAnsi="Times New Roman" w:cs="David" w:hint="cs"/>
                <w:sz w:val="24"/>
                <w:szCs w:val="24"/>
                <w:rtl/>
              </w:rPr>
              <w:t xml:space="preserve">אין באמירה </w:t>
            </w:r>
            <w:r w:rsidR="00C0321D" w:rsidRPr="00C0321D">
              <w:rPr>
                <w:rFonts w:ascii="Times New Roman" w:eastAsia="Times New Roman" w:hAnsi="Times New Roman" w:cs="David" w:hint="cs"/>
                <w:sz w:val="24"/>
                <w:szCs w:val="24"/>
                <w:rtl/>
              </w:rPr>
              <w:lastRenderedPageBreak/>
              <w:t xml:space="preserve">זו לבדה כדי להצביע על קיום מטרד במקום ועל כן </w:t>
            </w:r>
            <w:r w:rsidRPr="00D107CF">
              <w:rPr>
                <w:rFonts w:ascii="Times New Roman" w:eastAsia="Times New Roman" w:hAnsi="Times New Roman" w:cs="David" w:hint="cs"/>
                <w:sz w:val="24"/>
                <w:szCs w:val="24"/>
                <w:rtl/>
              </w:rPr>
              <w:t>זיכה</w:t>
            </w:r>
            <w:r w:rsidR="00C0321D" w:rsidRPr="00C0321D">
              <w:rPr>
                <w:rFonts w:ascii="Times New Roman" w:eastAsia="Times New Roman" w:hAnsi="Times New Roman" w:cs="David" w:hint="cs"/>
                <w:sz w:val="24"/>
                <w:szCs w:val="24"/>
                <w:rtl/>
              </w:rPr>
              <w:t xml:space="preserve"> את הנאשמים מן העבירה של מטרד לציבור, מחמת הספק.</w:t>
            </w:r>
          </w:p>
          <w:p w:rsidR="002F28C2" w:rsidRPr="00D107CF" w:rsidRDefault="002F28C2" w:rsidP="00D107CF">
            <w:pPr>
              <w:spacing w:after="80"/>
              <w:jc w:val="both"/>
              <w:rPr>
                <w:rFonts w:ascii="Times New Roman" w:eastAsia="Times New Roman" w:hAnsi="Times New Roman" w:cs="David"/>
                <w:sz w:val="24"/>
                <w:szCs w:val="24"/>
                <w:rtl/>
              </w:rPr>
            </w:pPr>
          </w:p>
        </w:tc>
      </w:tr>
      <w:tr w:rsidR="00B26D13" w:rsidRPr="00D107CF" w:rsidTr="00AB5647">
        <w:trPr>
          <w:trHeight w:val="989"/>
        </w:trPr>
        <w:tc>
          <w:tcPr>
            <w:tcW w:w="2017" w:type="dxa"/>
          </w:tcPr>
          <w:p w:rsidR="003B610F" w:rsidRPr="003B610F" w:rsidRDefault="003B610F" w:rsidP="00D107CF">
            <w:pPr>
              <w:spacing w:before="100"/>
              <w:jc w:val="both"/>
              <w:rPr>
                <w:rFonts w:ascii="Times New Roman" w:eastAsia="Times New Roman" w:hAnsi="Times New Roman" w:cs="David"/>
                <w:color w:val="000000"/>
                <w:sz w:val="24"/>
                <w:szCs w:val="24"/>
              </w:rPr>
            </w:pPr>
            <w:r w:rsidRPr="003B610F">
              <w:rPr>
                <w:rFonts w:ascii="Times New Roman" w:eastAsia="Times New Roman" w:hAnsi="Times New Roman" w:cs="David" w:hint="cs"/>
                <w:b/>
                <w:bCs/>
                <w:color w:val="000000"/>
                <w:sz w:val="24"/>
                <w:szCs w:val="24"/>
                <w:rtl/>
              </w:rPr>
              <w:lastRenderedPageBreak/>
              <w:t>ת</w:t>
            </w:r>
            <w:r w:rsidRPr="00D107CF">
              <w:rPr>
                <w:rFonts w:ascii="Times New Roman" w:eastAsia="Times New Roman" w:hAnsi="Times New Roman" w:cs="David" w:hint="cs"/>
                <w:b/>
                <w:bCs/>
                <w:color w:val="000000"/>
                <w:sz w:val="24"/>
                <w:szCs w:val="24"/>
                <w:rtl/>
              </w:rPr>
              <w:t>"</w:t>
            </w:r>
            <w:r w:rsidRPr="003B610F">
              <w:rPr>
                <w:rFonts w:ascii="Times New Roman" w:eastAsia="Times New Roman" w:hAnsi="Times New Roman" w:cs="David" w:hint="cs"/>
                <w:b/>
                <w:bCs/>
                <w:color w:val="000000"/>
                <w:sz w:val="24"/>
                <w:szCs w:val="24"/>
                <w:rtl/>
              </w:rPr>
              <w:t>פ (י-ם) 3213/04  מדינת ישראל נ' ממן אבי</w:t>
            </w:r>
          </w:p>
          <w:p w:rsidR="002F28C2" w:rsidRPr="00D107CF" w:rsidRDefault="00D107CF" w:rsidP="00D107CF">
            <w:pPr>
              <w:jc w:val="both"/>
              <w:rPr>
                <w:rFonts w:cs="David"/>
                <w:sz w:val="24"/>
                <w:szCs w:val="24"/>
                <w:rtl/>
              </w:rPr>
            </w:pPr>
            <w:r>
              <w:rPr>
                <w:rFonts w:cs="David" w:hint="cs"/>
                <w:sz w:val="24"/>
                <w:szCs w:val="24"/>
                <w:rtl/>
              </w:rPr>
              <w:t>(שלום ירושלים)</w:t>
            </w:r>
          </w:p>
        </w:tc>
        <w:tc>
          <w:tcPr>
            <w:tcW w:w="1984" w:type="dxa"/>
          </w:tcPr>
          <w:p w:rsidR="003B610F" w:rsidRPr="00D107CF" w:rsidRDefault="003B610F" w:rsidP="00D107CF">
            <w:pPr>
              <w:jc w:val="both"/>
              <w:rPr>
                <w:rFonts w:cs="David"/>
                <w:color w:val="000000"/>
                <w:sz w:val="24"/>
                <w:szCs w:val="24"/>
                <w:rtl/>
              </w:rPr>
            </w:pPr>
            <w:r w:rsidRPr="00D107CF">
              <w:rPr>
                <w:rFonts w:cs="David" w:hint="cs"/>
                <w:color w:val="000000"/>
                <w:sz w:val="24"/>
                <w:szCs w:val="24"/>
                <w:rtl/>
              </w:rPr>
              <w:t>עבירת סרסרות למעשה זנות, לפי סעיף 199(א)(2) לחוק העונשין.</w:t>
            </w:r>
          </w:p>
          <w:p w:rsidR="003B610F" w:rsidRPr="00D107CF" w:rsidRDefault="00AB5647" w:rsidP="00D107CF">
            <w:pPr>
              <w:jc w:val="both"/>
              <w:rPr>
                <w:rFonts w:cs="David"/>
                <w:color w:val="000000"/>
                <w:sz w:val="24"/>
                <w:szCs w:val="24"/>
                <w:rtl/>
              </w:rPr>
            </w:pPr>
            <w:r>
              <w:rPr>
                <w:rFonts w:cs="David" w:hint="cs"/>
                <w:color w:val="000000"/>
                <w:sz w:val="24"/>
                <w:szCs w:val="24"/>
                <w:rtl/>
              </w:rPr>
              <w:t xml:space="preserve">עבירת </w:t>
            </w:r>
            <w:r w:rsidR="003B610F" w:rsidRPr="00D107CF">
              <w:rPr>
                <w:rFonts w:cs="David" w:hint="cs"/>
                <w:color w:val="000000"/>
                <w:sz w:val="24"/>
                <w:szCs w:val="24"/>
                <w:rtl/>
              </w:rPr>
              <w:t>החזקת מקום לשם עיסוק לזנות, לפי סעיף 204 לחוק העונשין.</w:t>
            </w:r>
          </w:p>
          <w:p w:rsidR="003B610F" w:rsidRPr="00D107CF" w:rsidRDefault="003B610F" w:rsidP="00D107CF">
            <w:pPr>
              <w:jc w:val="both"/>
              <w:rPr>
                <w:rFonts w:cs="David"/>
                <w:color w:val="000000"/>
                <w:sz w:val="24"/>
                <w:szCs w:val="24"/>
                <w:rtl/>
              </w:rPr>
            </w:pPr>
            <w:r w:rsidRPr="00D107CF">
              <w:rPr>
                <w:rFonts w:cs="David" w:hint="cs"/>
                <w:color w:val="000000"/>
                <w:sz w:val="24"/>
                <w:szCs w:val="24"/>
                <w:rtl/>
              </w:rPr>
              <w:t xml:space="preserve">עבירת מטרד לציבור לפי סעיף 15 (ג) לחוק העונשין. </w:t>
            </w:r>
          </w:p>
          <w:p w:rsidR="002F28C2" w:rsidRPr="00D107CF" w:rsidRDefault="002F28C2" w:rsidP="00D107CF">
            <w:pPr>
              <w:jc w:val="both"/>
              <w:rPr>
                <w:rFonts w:cs="David"/>
                <w:sz w:val="24"/>
                <w:szCs w:val="24"/>
                <w:rtl/>
              </w:rPr>
            </w:pPr>
          </w:p>
        </w:tc>
        <w:tc>
          <w:tcPr>
            <w:tcW w:w="3828" w:type="dxa"/>
          </w:tcPr>
          <w:p w:rsidR="002F28C2" w:rsidRPr="00D107CF" w:rsidRDefault="003B610F" w:rsidP="00D107CF">
            <w:pPr>
              <w:jc w:val="both"/>
              <w:rPr>
                <w:rFonts w:cs="David"/>
                <w:sz w:val="24"/>
                <w:szCs w:val="24"/>
                <w:rtl/>
              </w:rPr>
            </w:pPr>
            <w:r w:rsidRPr="00D107CF">
              <w:rPr>
                <w:rFonts w:cs="David" w:hint="cs"/>
                <w:color w:val="000000"/>
                <w:sz w:val="24"/>
                <w:szCs w:val="24"/>
                <w:rtl/>
              </w:rPr>
              <w:t>קדמה להכרעת דין זו הכרעת דין קודמת שבוטלה על ידי ערכאת הערעור ולפיה זוכה הנאשם מחמת הספק בשל כך שלא הצליחה התביעה להביא לבית המשפט עדויות מספקות; ביטול הכרעת הדין הקודמת נועד לאפשר לתביעה הזדמנות נוספת לאתר עדים נוספים, עדה מרכזית נוספת אכן אותרה, בעקבות זאת חזרו הצדדים לסכם, ובהמשך לכך ניתנת הכרעת דין זאת</w:t>
            </w:r>
            <w:r w:rsidRPr="00D107CF">
              <w:rPr>
                <w:rFonts w:cs="David" w:hint="cs"/>
                <w:color w:val="000000"/>
                <w:sz w:val="24"/>
                <w:szCs w:val="24"/>
              </w:rPr>
              <w:t>.</w:t>
            </w:r>
          </w:p>
          <w:p w:rsidR="003B610F" w:rsidRPr="00D107CF" w:rsidRDefault="003B610F" w:rsidP="00D107CF">
            <w:pPr>
              <w:jc w:val="both"/>
              <w:rPr>
                <w:rFonts w:cs="David"/>
                <w:sz w:val="24"/>
                <w:szCs w:val="24"/>
                <w:rtl/>
              </w:rPr>
            </w:pPr>
            <w:r w:rsidRPr="00D107CF">
              <w:rPr>
                <w:rFonts w:cs="David" w:hint="cs"/>
                <w:sz w:val="24"/>
                <w:szCs w:val="24"/>
                <w:rtl/>
              </w:rPr>
              <w:t xml:space="preserve">התביעה הסתמכה על </w:t>
            </w:r>
            <w:r w:rsidR="00E06791" w:rsidRPr="00D107CF">
              <w:rPr>
                <w:rFonts w:cs="David" w:hint="cs"/>
                <w:sz w:val="24"/>
                <w:szCs w:val="24"/>
                <w:rtl/>
              </w:rPr>
              <w:t>שתי עדות</w:t>
            </w:r>
            <w:r w:rsidRPr="00D107CF">
              <w:rPr>
                <w:rFonts w:cs="David" w:hint="cs"/>
                <w:sz w:val="24"/>
                <w:szCs w:val="24"/>
                <w:rtl/>
              </w:rPr>
              <w:t xml:space="preserve"> תביעה שהעידו כי הנאשם הינו הבעלים של ב</w:t>
            </w:r>
            <w:r w:rsidR="00E06791" w:rsidRPr="00D107CF">
              <w:rPr>
                <w:rFonts w:cs="David" w:hint="cs"/>
                <w:sz w:val="24"/>
                <w:szCs w:val="24"/>
                <w:rtl/>
              </w:rPr>
              <w:t>י</w:t>
            </w:r>
            <w:r w:rsidR="00D107CF">
              <w:rPr>
                <w:rFonts w:cs="David" w:hint="cs"/>
                <w:sz w:val="24"/>
                <w:szCs w:val="24"/>
                <w:rtl/>
              </w:rPr>
              <w:t>ת בושת.</w:t>
            </w:r>
          </w:p>
        </w:tc>
        <w:tc>
          <w:tcPr>
            <w:tcW w:w="2551" w:type="dxa"/>
          </w:tcPr>
          <w:p w:rsidR="002F28C2" w:rsidRPr="00D107CF" w:rsidRDefault="00E06791" w:rsidP="00D107CF">
            <w:pPr>
              <w:jc w:val="both"/>
              <w:rPr>
                <w:rFonts w:cs="David"/>
                <w:sz w:val="24"/>
                <w:szCs w:val="24"/>
                <w:rtl/>
              </w:rPr>
            </w:pPr>
            <w:r w:rsidRPr="00D107CF">
              <w:rPr>
                <w:rFonts w:cs="David" w:hint="cs"/>
                <w:color w:val="000000"/>
                <w:sz w:val="24"/>
                <w:szCs w:val="24"/>
                <w:rtl/>
              </w:rPr>
              <w:t>בית המשפט הרשיע את הנאשם על סמך העדויות בעבירות הסרסרות והחזקת בית בושת, וקבע כי יש בניהול בית בושת בדירת מגורים גם כדי להוות מטרד לציבור</w:t>
            </w:r>
            <w:r w:rsidRPr="00D107CF">
              <w:rPr>
                <w:rFonts w:cs="David" w:hint="cs"/>
                <w:sz w:val="24"/>
                <w:szCs w:val="24"/>
                <w:rtl/>
              </w:rPr>
              <w:t>.</w:t>
            </w:r>
          </w:p>
        </w:tc>
        <w:tc>
          <w:tcPr>
            <w:tcW w:w="3139" w:type="dxa"/>
          </w:tcPr>
          <w:p w:rsidR="002F28C2" w:rsidRPr="00D107CF" w:rsidRDefault="00C375A3" w:rsidP="00D107CF">
            <w:pPr>
              <w:jc w:val="both"/>
              <w:rPr>
                <w:rFonts w:cs="David"/>
                <w:sz w:val="24"/>
                <w:szCs w:val="24"/>
                <w:rtl/>
              </w:rPr>
            </w:pPr>
            <w:r w:rsidRPr="00D107CF">
              <w:rPr>
                <w:rFonts w:cs="David" w:hint="cs"/>
                <w:color w:val="000000"/>
                <w:sz w:val="24"/>
                <w:szCs w:val="24"/>
                <w:rtl/>
              </w:rPr>
              <w:t>"יש בניהול בית בושת בדירת מגורים גם כדי להוות מטרד לציבור"</w:t>
            </w:r>
            <w:r w:rsidRPr="00D107CF">
              <w:rPr>
                <w:rFonts w:cs="David" w:hint="cs"/>
                <w:sz w:val="24"/>
                <w:szCs w:val="24"/>
                <w:rtl/>
              </w:rPr>
              <w:t>.</w:t>
            </w:r>
          </w:p>
        </w:tc>
      </w:tr>
      <w:tr w:rsidR="00AB5647" w:rsidRPr="00D107CF" w:rsidTr="00AB5647">
        <w:trPr>
          <w:trHeight w:val="989"/>
        </w:trPr>
        <w:tc>
          <w:tcPr>
            <w:tcW w:w="2017" w:type="dxa"/>
          </w:tcPr>
          <w:p w:rsidR="00AB5647" w:rsidRPr="00AB5647" w:rsidRDefault="00AB5647" w:rsidP="00AB5647">
            <w:pPr>
              <w:spacing w:before="100"/>
              <w:jc w:val="both"/>
              <w:rPr>
                <w:rFonts w:ascii="Times New Roman" w:eastAsia="Times New Roman" w:hAnsi="Times New Roman" w:cs="David"/>
                <w:color w:val="000000"/>
                <w:sz w:val="24"/>
                <w:szCs w:val="24"/>
              </w:rPr>
            </w:pPr>
            <w:proofErr w:type="spellStart"/>
            <w:r w:rsidRPr="00AB5647">
              <w:rPr>
                <w:rFonts w:ascii="Times New Roman" w:eastAsia="Times New Roman" w:hAnsi="Times New Roman" w:cs="David" w:hint="cs"/>
                <w:b/>
                <w:bCs/>
                <w:color w:val="000000"/>
                <w:sz w:val="24"/>
                <w:szCs w:val="24"/>
                <w:rtl/>
              </w:rPr>
              <w:t>תפ</w:t>
            </w:r>
            <w:proofErr w:type="spellEnd"/>
            <w:r w:rsidRPr="00AB5647">
              <w:rPr>
                <w:rFonts w:ascii="Times New Roman" w:eastAsia="Times New Roman" w:hAnsi="Times New Roman" w:cs="David" w:hint="cs"/>
                <w:b/>
                <w:bCs/>
                <w:color w:val="000000"/>
                <w:sz w:val="24"/>
                <w:szCs w:val="24"/>
                <w:rtl/>
              </w:rPr>
              <w:t xml:space="preserve"> (י-ם) 3479/04‏ ‏ מדינת ישראל נ' שרם </w:t>
            </w:r>
            <w:proofErr w:type="spellStart"/>
            <w:r w:rsidRPr="00AB5647">
              <w:rPr>
                <w:rFonts w:ascii="Times New Roman" w:eastAsia="Times New Roman" w:hAnsi="Times New Roman" w:cs="David" w:hint="cs"/>
                <w:b/>
                <w:bCs/>
                <w:color w:val="000000"/>
                <w:sz w:val="24"/>
                <w:szCs w:val="24"/>
                <w:rtl/>
              </w:rPr>
              <w:t>אליזבטה</w:t>
            </w:r>
            <w:proofErr w:type="spellEnd"/>
          </w:p>
          <w:p w:rsidR="00AB5647" w:rsidRPr="00AB5647" w:rsidRDefault="00AB5647" w:rsidP="00AB5647">
            <w:pPr>
              <w:spacing w:before="100"/>
              <w:jc w:val="both"/>
              <w:rPr>
                <w:rFonts w:ascii="Times New Roman" w:eastAsia="Times New Roman" w:hAnsi="Times New Roman" w:cs="David"/>
                <w:color w:val="000000"/>
                <w:sz w:val="24"/>
                <w:szCs w:val="24"/>
                <w:rtl/>
              </w:rPr>
            </w:pPr>
            <w:r w:rsidRPr="00AB5647">
              <w:rPr>
                <w:rFonts w:ascii="Times New Roman" w:eastAsia="Times New Roman" w:hAnsi="Times New Roman" w:cs="David" w:hint="cs"/>
                <w:color w:val="000000"/>
                <w:sz w:val="24"/>
                <w:szCs w:val="24"/>
                <w:rtl/>
              </w:rPr>
              <w:t>(שלום ירושלים)</w:t>
            </w:r>
          </w:p>
        </w:tc>
        <w:tc>
          <w:tcPr>
            <w:tcW w:w="1984" w:type="dxa"/>
          </w:tcPr>
          <w:p w:rsidR="00AB5647" w:rsidRPr="00AB5647" w:rsidRDefault="00AB5647" w:rsidP="00AB5647">
            <w:pPr>
              <w:jc w:val="both"/>
              <w:rPr>
                <w:rFonts w:cs="David"/>
                <w:color w:val="000000"/>
                <w:sz w:val="24"/>
                <w:szCs w:val="24"/>
                <w:rtl/>
              </w:rPr>
            </w:pPr>
            <w:r w:rsidRPr="00AB5647">
              <w:rPr>
                <w:rFonts w:cs="David" w:hint="cs"/>
                <w:color w:val="000000"/>
                <w:sz w:val="24"/>
                <w:szCs w:val="24"/>
                <w:rtl/>
              </w:rPr>
              <w:t>עבירת השכרת מקום לשם זנות, לפי סעיף 205 לחוק העונשין.</w:t>
            </w:r>
          </w:p>
          <w:p w:rsidR="00AB5647" w:rsidRPr="00AB5647" w:rsidRDefault="00AB5647" w:rsidP="00AB5647">
            <w:pPr>
              <w:jc w:val="both"/>
              <w:rPr>
                <w:rFonts w:cs="David"/>
                <w:color w:val="000000"/>
                <w:sz w:val="24"/>
                <w:szCs w:val="24"/>
                <w:rtl/>
              </w:rPr>
            </w:pPr>
            <w:r w:rsidRPr="00D626B2">
              <w:rPr>
                <w:rFonts w:cs="David" w:hint="cs"/>
                <w:color w:val="000000"/>
                <w:sz w:val="24"/>
                <w:szCs w:val="24"/>
                <w:highlight w:val="yellow"/>
                <w:rtl/>
              </w:rPr>
              <w:t>עבירת מטרד לציבור, לפי סעיף 215(א) לחוק העונשין.</w:t>
            </w:r>
            <w:r w:rsidRPr="00AB5647">
              <w:rPr>
                <w:rFonts w:cs="David" w:hint="cs"/>
                <w:color w:val="000000"/>
                <w:sz w:val="24"/>
                <w:szCs w:val="24"/>
                <w:rtl/>
              </w:rPr>
              <w:t xml:space="preserve"> </w:t>
            </w:r>
          </w:p>
        </w:tc>
        <w:tc>
          <w:tcPr>
            <w:tcW w:w="3828" w:type="dxa"/>
          </w:tcPr>
          <w:p w:rsidR="00AB5647" w:rsidRPr="00AB5647" w:rsidRDefault="00AB5647" w:rsidP="00AB5647">
            <w:pPr>
              <w:jc w:val="both"/>
              <w:rPr>
                <w:rFonts w:cs="David"/>
                <w:color w:val="000000"/>
                <w:sz w:val="24"/>
                <w:szCs w:val="24"/>
                <w:rtl/>
              </w:rPr>
            </w:pPr>
            <w:r w:rsidRPr="00AB5647">
              <w:rPr>
                <w:rFonts w:cs="David" w:hint="cs"/>
                <w:color w:val="000000"/>
                <w:sz w:val="24"/>
                <w:szCs w:val="24"/>
                <w:rtl/>
              </w:rPr>
              <w:t>הנאשמת שכרה והחזיקה מספר דירות שונות בירושלים, שם עסקו נשים בזנות, בנסיבות אשר היוו מטרד לדיירי הבית</w:t>
            </w:r>
            <w:r w:rsidRPr="00AB5647">
              <w:rPr>
                <w:rFonts w:cs="David" w:hint="cs"/>
                <w:color w:val="000000"/>
                <w:sz w:val="24"/>
                <w:szCs w:val="24"/>
              </w:rPr>
              <w:t>.</w:t>
            </w:r>
            <w:r w:rsidRPr="00AB5647">
              <w:rPr>
                <w:rFonts w:cs="David" w:hint="cs"/>
                <w:color w:val="000000"/>
                <w:sz w:val="24"/>
                <w:szCs w:val="24"/>
                <w:rtl/>
              </w:rPr>
              <w:t xml:space="preserve"> כמו כן, הנאשמת פרסמה את הדירות בעיתון. בעקבות הפרסום בעיתון הגיעו אל הדירות לקוחות אשר חלקם חפצו גם בשירותי מין. נשים שעסקו במתן שירותי מין ביצעו בלקוחות מעשי מין, בתמורה לאתנן. במהלך התקופה האמורה שילמה כל אחת מהנשים חלק מהאתנן שקיבלה לידי הנאשמת, לצורך כיסוי הוצאות שכר הדירה. הנאשמת קיבלה את הכספים ביודעה כי ניתנו בעד שירותי זנות</w:t>
            </w:r>
            <w:bookmarkStart w:id="0" w:name="ABSTRACT_END"/>
            <w:bookmarkEnd w:id="0"/>
            <w:r w:rsidRPr="00AB5647">
              <w:rPr>
                <w:rFonts w:cs="David" w:hint="cs"/>
                <w:color w:val="000000"/>
                <w:sz w:val="24"/>
                <w:szCs w:val="24"/>
              </w:rPr>
              <w:t>.</w:t>
            </w:r>
          </w:p>
        </w:tc>
        <w:tc>
          <w:tcPr>
            <w:tcW w:w="2551" w:type="dxa"/>
          </w:tcPr>
          <w:p w:rsidR="00AB5647" w:rsidRPr="00AB5647" w:rsidRDefault="00AB5647" w:rsidP="00AB5647">
            <w:pPr>
              <w:jc w:val="both"/>
              <w:rPr>
                <w:rFonts w:cs="David"/>
                <w:color w:val="000000"/>
                <w:sz w:val="24"/>
                <w:szCs w:val="24"/>
                <w:rtl/>
              </w:rPr>
            </w:pPr>
            <w:r w:rsidRPr="00AB5647">
              <w:rPr>
                <w:rFonts w:cs="David" w:hint="cs"/>
                <w:color w:val="000000"/>
                <w:sz w:val="24"/>
                <w:szCs w:val="24"/>
                <w:rtl/>
              </w:rPr>
              <w:t xml:space="preserve">בית המשפט הרשיע את הנאשמת בעבירות המיוחסות לה. </w:t>
            </w:r>
          </w:p>
          <w:p w:rsidR="00AB5647" w:rsidRPr="00AB5647" w:rsidRDefault="00AB5647" w:rsidP="00AB5647">
            <w:pPr>
              <w:jc w:val="both"/>
              <w:rPr>
                <w:rFonts w:cs="David"/>
                <w:color w:val="000000"/>
                <w:sz w:val="24"/>
                <w:szCs w:val="24"/>
                <w:rtl/>
              </w:rPr>
            </w:pPr>
          </w:p>
          <w:p w:rsidR="00AB5647" w:rsidRPr="00AB5647" w:rsidRDefault="00AB5647" w:rsidP="00AB5647">
            <w:pPr>
              <w:jc w:val="both"/>
              <w:rPr>
                <w:rFonts w:cs="David"/>
                <w:color w:val="000000"/>
                <w:sz w:val="24"/>
                <w:szCs w:val="24"/>
                <w:rtl/>
              </w:rPr>
            </w:pPr>
            <w:r w:rsidRPr="00AB5647">
              <w:rPr>
                <w:rFonts w:cs="David" w:hint="cs"/>
                <w:color w:val="000000"/>
                <w:sz w:val="24"/>
                <w:szCs w:val="24"/>
                <w:rtl/>
              </w:rPr>
              <w:t>גזר הדין:</w:t>
            </w:r>
          </w:p>
          <w:p w:rsidR="00AB5647" w:rsidRPr="00AB5647" w:rsidRDefault="00AB5647" w:rsidP="00AB5647">
            <w:pPr>
              <w:pStyle w:val="a6"/>
              <w:numPr>
                <w:ilvl w:val="0"/>
                <w:numId w:val="3"/>
              </w:numPr>
              <w:jc w:val="both"/>
              <w:rPr>
                <w:rFonts w:ascii="Times New Roman" w:eastAsia="Times New Roman" w:hAnsi="Times New Roman" w:cs="David"/>
                <w:color w:val="000000"/>
                <w:sz w:val="24"/>
                <w:szCs w:val="24"/>
              </w:rPr>
            </w:pPr>
            <w:r w:rsidRPr="00AB5647">
              <w:rPr>
                <w:rFonts w:ascii="Times New Roman" w:eastAsia="Times New Roman" w:hAnsi="Times New Roman" w:cs="David" w:hint="cs"/>
                <w:color w:val="000000"/>
                <w:sz w:val="24"/>
                <w:szCs w:val="24"/>
                <w:rtl/>
              </w:rPr>
              <w:t>מאסר על תנאי של 3 חודשים, אותו לא תרצה הנאשמת אלא אם תעבור, תוך 3 שנים, כל עבירה לפי </w:t>
            </w:r>
            <w:hyperlink r:id="rId8" w:history="1">
              <w:r w:rsidRPr="00AB5647">
                <w:rPr>
                  <w:rFonts w:ascii="Times New Roman" w:eastAsia="Times New Roman" w:hAnsi="Times New Roman" w:cs="David" w:hint="cs"/>
                  <w:color w:val="800080"/>
                  <w:sz w:val="24"/>
                  <w:szCs w:val="24"/>
                  <w:u w:val="single"/>
                  <w:rtl/>
                </w:rPr>
                <w:t>פרק ח'</w:t>
              </w:r>
            </w:hyperlink>
            <w:r w:rsidRPr="00AB5647">
              <w:rPr>
                <w:rFonts w:ascii="Times New Roman" w:eastAsia="Times New Roman" w:hAnsi="Times New Roman" w:cs="David" w:hint="cs"/>
                <w:color w:val="000000"/>
                <w:sz w:val="24"/>
                <w:szCs w:val="24"/>
                <w:rtl/>
              </w:rPr>
              <w:t> סימן י' וכן עבירה לפי סעיף </w:t>
            </w:r>
            <w:hyperlink r:id="rId9" w:history="1">
              <w:r w:rsidRPr="00AB5647">
                <w:rPr>
                  <w:rFonts w:ascii="Times New Roman" w:eastAsia="Times New Roman" w:hAnsi="Times New Roman" w:cs="David" w:hint="cs"/>
                  <w:color w:val="800080"/>
                  <w:sz w:val="24"/>
                  <w:szCs w:val="24"/>
                  <w:u w:val="single"/>
                  <w:rtl/>
                </w:rPr>
                <w:t>215</w:t>
              </w:r>
            </w:hyperlink>
            <w:r w:rsidRPr="00AB5647">
              <w:rPr>
                <w:rFonts w:ascii="Times New Roman" w:eastAsia="Times New Roman" w:hAnsi="Times New Roman" w:cs="David" w:hint="cs"/>
                <w:color w:val="000000"/>
                <w:sz w:val="24"/>
                <w:szCs w:val="24"/>
                <w:rtl/>
              </w:rPr>
              <w:t> ל</w:t>
            </w:r>
            <w:hyperlink r:id="rId10" w:history="1">
              <w:r w:rsidRPr="00AB5647">
                <w:rPr>
                  <w:rFonts w:ascii="Times New Roman" w:eastAsia="Times New Roman" w:hAnsi="Times New Roman" w:cs="David" w:hint="cs"/>
                  <w:color w:val="800080"/>
                  <w:sz w:val="24"/>
                  <w:szCs w:val="24"/>
                  <w:u w:val="single"/>
                  <w:rtl/>
                </w:rPr>
                <w:t>חוק העונשין</w:t>
              </w:r>
            </w:hyperlink>
            <w:r w:rsidRPr="00AB5647">
              <w:rPr>
                <w:rFonts w:ascii="Times New Roman" w:eastAsia="Times New Roman" w:hAnsi="Times New Roman" w:cs="David" w:hint="cs"/>
                <w:color w:val="000000"/>
                <w:sz w:val="24"/>
                <w:szCs w:val="24"/>
                <w:rtl/>
              </w:rPr>
              <w:t> תשל"ז-1977.</w:t>
            </w:r>
          </w:p>
          <w:p w:rsidR="00AB5647" w:rsidRPr="00AB5647" w:rsidRDefault="00AB5647" w:rsidP="00AB5647">
            <w:pPr>
              <w:pStyle w:val="a6"/>
              <w:numPr>
                <w:ilvl w:val="0"/>
                <w:numId w:val="3"/>
              </w:numPr>
              <w:jc w:val="both"/>
              <w:rPr>
                <w:rFonts w:ascii="Times New Roman" w:eastAsia="Times New Roman" w:hAnsi="Times New Roman" w:cs="David"/>
                <w:color w:val="000000"/>
                <w:sz w:val="24"/>
                <w:szCs w:val="24"/>
              </w:rPr>
            </w:pPr>
            <w:r w:rsidRPr="00AB5647">
              <w:rPr>
                <w:rFonts w:ascii="Times New Roman" w:eastAsia="Times New Roman" w:hAnsi="Times New Roman" w:cs="David" w:hint="cs"/>
                <w:color w:val="000000"/>
                <w:sz w:val="24"/>
                <w:szCs w:val="24"/>
                <w:rtl/>
              </w:rPr>
              <w:t xml:space="preserve">הנאשמת תשלם קנס </w:t>
            </w:r>
            <w:r w:rsidRPr="00AB5647">
              <w:rPr>
                <w:rFonts w:ascii="Times New Roman" w:eastAsia="Times New Roman" w:hAnsi="Times New Roman" w:cs="David" w:hint="cs"/>
                <w:color w:val="000000"/>
                <w:sz w:val="24"/>
                <w:szCs w:val="24"/>
                <w:rtl/>
              </w:rPr>
              <w:lastRenderedPageBreak/>
              <w:t xml:space="preserve">בסך 7,000 ₪ או 60 ימי מאסר תמורתו. הקנס ישולם ב- 20 תשלומים חודשיים </w:t>
            </w:r>
            <w:proofErr w:type="spellStart"/>
            <w:r w:rsidRPr="00AB5647">
              <w:rPr>
                <w:rFonts w:ascii="Times New Roman" w:eastAsia="Times New Roman" w:hAnsi="Times New Roman" w:cs="David" w:hint="cs"/>
                <w:color w:val="000000"/>
                <w:sz w:val="24"/>
                <w:szCs w:val="24"/>
                <w:rtl/>
              </w:rPr>
              <w:t>שוים</w:t>
            </w:r>
            <w:proofErr w:type="spellEnd"/>
            <w:r w:rsidRPr="00AB5647">
              <w:rPr>
                <w:rFonts w:ascii="Times New Roman" w:eastAsia="Times New Roman" w:hAnsi="Times New Roman" w:cs="David" w:hint="cs"/>
                <w:color w:val="000000"/>
                <w:sz w:val="24"/>
                <w:szCs w:val="24"/>
                <w:rtl/>
              </w:rPr>
              <w:t xml:space="preserve"> ורצופים. התשלום הראשון יבוצע עד ליום 01.1.06 והתשלומים הבאים בכל 1 לחודש בחודשים שלאחר מכן. אם לא יבוצע תשלום במועדו תעמוד יתרת הקנס </w:t>
            </w:r>
            <w:proofErr w:type="spellStart"/>
            <w:r w:rsidRPr="00AB5647">
              <w:rPr>
                <w:rFonts w:ascii="Times New Roman" w:eastAsia="Times New Roman" w:hAnsi="Times New Roman" w:cs="David" w:hint="cs"/>
                <w:color w:val="000000"/>
                <w:sz w:val="24"/>
                <w:szCs w:val="24"/>
                <w:rtl/>
              </w:rPr>
              <w:t>לפרעון</w:t>
            </w:r>
            <w:proofErr w:type="spellEnd"/>
            <w:r w:rsidRPr="00AB5647">
              <w:rPr>
                <w:rFonts w:ascii="Times New Roman" w:eastAsia="Times New Roman" w:hAnsi="Times New Roman" w:cs="David" w:hint="cs"/>
                <w:color w:val="000000"/>
                <w:sz w:val="24"/>
                <w:szCs w:val="24"/>
                <w:rtl/>
              </w:rPr>
              <w:t xml:space="preserve"> </w:t>
            </w:r>
            <w:proofErr w:type="spellStart"/>
            <w:r w:rsidRPr="00AB5647">
              <w:rPr>
                <w:rFonts w:ascii="Times New Roman" w:eastAsia="Times New Roman" w:hAnsi="Times New Roman" w:cs="David" w:hint="cs"/>
                <w:color w:val="000000"/>
                <w:sz w:val="24"/>
                <w:szCs w:val="24"/>
                <w:rtl/>
              </w:rPr>
              <w:t>מיידי</w:t>
            </w:r>
            <w:proofErr w:type="spellEnd"/>
            <w:r w:rsidRPr="00AB5647">
              <w:rPr>
                <w:rFonts w:ascii="Times New Roman" w:eastAsia="Times New Roman" w:hAnsi="Times New Roman" w:cs="David" w:hint="cs"/>
                <w:color w:val="000000"/>
                <w:sz w:val="24"/>
                <w:szCs w:val="24"/>
                <w:rtl/>
              </w:rPr>
              <w:t>.</w:t>
            </w:r>
          </w:p>
          <w:p w:rsidR="00AB5647" w:rsidRPr="00EB670C" w:rsidRDefault="00AB5647" w:rsidP="00EB670C">
            <w:pPr>
              <w:pStyle w:val="a6"/>
              <w:numPr>
                <w:ilvl w:val="0"/>
                <w:numId w:val="3"/>
              </w:numPr>
              <w:jc w:val="both"/>
              <w:rPr>
                <w:rFonts w:ascii="Times New Roman" w:eastAsia="Times New Roman" w:hAnsi="Times New Roman" w:cs="David"/>
                <w:color w:val="000000"/>
                <w:sz w:val="24"/>
                <w:szCs w:val="24"/>
                <w:rtl/>
              </w:rPr>
            </w:pPr>
            <w:r w:rsidRPr="00AB5647">
              <w:rPr>
                <w:rFonts w:ascii="Times New Roman" w:eastAsia="Times New Roman" w:hAnsi="Times New Roman" w:cs="David" w:hint="cs"/>
                <w:color w:val="000000"/>
                <w:sz w:val="24"/>
                <w:szCs w:val="24"/>
                <w:rtl/>
              </w:rPr>
              <w:t xml:space="preserve">הנאשמת תחתום היום על התחייבות עצמית על סך 7,000 ₪, </w:t>
            </w:r>
            <w:proofErr w:type="spellStart"/>
            <w:r w:rsidRPr="00AB5647">
              <w:rPr>
                <w:rFonts w:ascii="Times New Roman" w:eastAsia="Times New Roman" w:hAnsi="Times New Roman" w:cs="David" w:hint="cs"/>
                <w:color w:val="000000"/>
                <w:sz w:val="24"/>
                <w:szCs w:val="24"/>
                <w:rtl/>
              </w:rPr>
              <w:t>להמנע</w:t>
            </w:r>
            <w:proofErr w:type="spellEnd"/>
            <w:r w:rsidRPr="00AB5647">
              <w:rPr>
                <w:rFonts w:ascii="Times New Roman" w:eastAsia="Times New Roman" w:hAnsi="Times New Roman" w:cs="David" w:hint="cs"/>
                <w:color w:val="000000"/>
                <w:sz w:val="24"/>
                <w:szCs w:val="24"/>
                <w:rtl/>
              </w:rPr>
              <w:t xml:space="preserve"> מלעבור כל עבירה לפי </w:t>
            </w:r>
            <w:hyperlink r:id="rId11" w:history="1">
              <w:r w:rsidRPr="00AB5647">
                <w:rPr>
                  <w:rFonts w:ascii="Times New Roman" w:eastAsia="Times New Roman" w:hAnsi="Times New Roman" w:cs="David" w:hint="cs"/>
                  <w:color w:val="800080"/>
                  <w:sz w:val="24"/>
                  <w:szCs w:val="24"/>
                  <w:u w:val="single"/>
                  <w:rtl/>
                </w:rPr>
                <w:t>פרק ח'</w:t>
              </w:r>
            </w:hyperlink>
            <w:r w:rsidRPr="00AB5647">
              <w:rPr>
                <w:rFonts w:ascii="Times New Roman" w:eastAsia="Times New Roman" w:hAnsi="Times New Roman" w:cs="David" w:hint="cs"/>
                <w:color w:val="000000"/>
                <w:sz w:val="24"/>
                <w:szCs w:val="24"/>
                <w:rtl/>
              </w:rPr>
              <w:t> סימן י' ועבירה לפי סעיף </w:t>
            </w:r>
            <w:hyperlink r:id="rId12" w:history="1">
              <w:r w:rsidRPr="00AB5647">
                <w:rPr>
                  <w:rFonts w:ascii="Times New Roman" w:eastAsia="Times New Roman" w:hAnsi="Times New Roman" w:cs="David" w:hint="cs"/>
                  <w:color w:val="800080"/>
                  <w:sz w:val="24"/>
                  <w:szCs w:val="24"/>
                  <w:u w:val="single"/>
                  <w:rtl/>
                </w:rPr>
                <w:t>215</w:t>
              </w:r>
            </w:hyperlink>
            <w:r w:rsidRPr="00AB5647">
              <w:rPr>
                <w:rFonts w:ascii="Times New Roman" w:eastAsia="Times New Roman" w:hAnsi="Times New Roman" w:cs="David" w:hint="cs"/>
                <w:color w:val="000000"/>
                <w:sz w:val="24"/>
                <w:szCs w:val="24"/>
                <w:rtl/>
              </w:rPr>
              <w:t> ל</w:t>
            </w:r>
            <w:hyperlink r:id="rId13" w:history="1">
              <w:r w:rsidRPr="00AB5647">
                <w:rPr>
                  <w:rFonts w:ascii="Times New Roman" w:eastAsia="Times New Roman" w:hAnsi="Times New Roman" w:cs="David" w:hint="cs"/>
                  <w:color w:val="800080"/>
                  <w:sz w:val="24"/>
                  <w:szCs w:val="24"/>
                  <w:u w:val="single"/>
                  <w:rtl/>
                </w:rPr>
                <w:t>חוק העונשין</w:t>
              </w:r>
            </w:hyperlink>
            <w:r w:rsidRPr="00AB5647">
              <w:rPr>
                <w:rFonts w:ascii="Times New Roman" w:eastAsia="Times New Roman" w:hAnsi="Times New Roman" w:cs="David" w:hint="cs"/>
                <w:color w:val="000000"/>
                <w:sz w:val="24"/>
                <w:szCs w:val="24"/>
                <w:rtl/>
              </w:rPr>
              <w:t xml:space="preserve">, משך 3 שנים מהיום. אם לא תחתם ההתחייבות </w:t>
            </w:r>
            <w:proofErr w:type="spellStart"/>
            <w:r w:rsidRPr="00AB5647">
              <w:rPr>
                <w:rFonts w:ascii="Times New Roman" w:eastAsia="Times New Roman" w:hAnsi="Times New Roman" w:cs="David" w:hint="cs"/>
                <w:color w:val="000000"/>
                <w:sz w:val="24"/>
                <w:szCs w:val="24"/>
                <w:rtl/>
              </w:rPr>
              <w:t>תאסר</w:t>
            </w:r>
            <w:proofErr w:type="spellEnd"/>
            <w:r w:rsidRPr="00AB5647">
              <w:rPr>
                <w:rFonts w:ascii="Times New Roman" w:eastAsia="Times New Roman" w:hAnsi="Times New Roman" w:cs="David" w:hint="cs"/>
                <w:color w:val="000000"/>
                <w:sz w:val="24"/>
                <w:szCs w:val="24"/>
                <w:rtl/>
              </w:rPr>
              <w:t xml:space="preserve"> הנאשמת ל- 30 יום.</w:t>
            </w:r>
          </w:p>
        </w:tc>
        <w:tc>
          <w:tcPr>
            <w:tcW w:w="3139" w:type="dxa"/>
          </w:tcPr>
          <w:p w:rsidR="00D626B2" w:rsidRPr="00D626B2" w:rsidRDefault="00D626B2" w:rsidP="00D626B2">
            <w:pPr>
              <w:jc w:val="both"/>
              <w:rPr>
                <w:rFonts w:cs="David"/>
                <w:color w:val="000000"/>
                <w:sz w:val="24"/>
                <w:szCs w:val="24"/>
              </w:rPr>
            </w:pPr>
            <w:r w:rsidRPr="00D626B2">
              <w:rPr>
                <w:rFonts w:cs="David" w:hint="cs"/>
                <w:color w:val="000000"/>
                <w:sz w:val="24"/>
                <w:szCs w:val="24"/>
                <w:rtl/>
              </w:rPr>
              <w:lastRenderedPageBreak/>
              <w:t>בעניין הנאשמת הוגש תסקיר שירות המבחן אשר קבע כי מצבה הבריאותי של נאשמת קשה. עם זאת, בית המשפט קבע כי על אף מצבה הבריאותי הקשה, הנאשמת סבורה כי היא יכולה לפעול ככל העולה על רוחה, והשכירה דירות לנשים שעסקו בזנות והיוו מטרד לדיירי הבתים.</w:t>
            </w:r>
          </w:p>
          <w:p w:rsidR="00D626B2" w:rsidRPr="00D626B2" w:rsidRDefault="00D626B2" w:rsidP="00D626B2">
            <w:pPr>
              <w:spacing w:line="300" w:lineRule="atLeast"/>
              <w:jc w:val="both"/>
              <w:rPr>
                <w:rFonts w:cs="David"/>
                <w:color w:val="000000"/>
                <w:sz w:val="24"/>
                <w:szCs w:val="24"/>
                <w:rtl/>
              </w:rPr>
            </w:pPr>
            <w:r w:rsidRPr="00D626B2">
              <w:rPr>
                <w:rFonts w:cs="David" w:hint="cs"/>
                <w:color w:val="000000"/>
                <w:sz w:val="24"/>
                <w:szCs w:val="24"/>
                <w:rtl/>
              </w:rPr>
              <w:t xml:space="preserve">הנאשמת איננה כשירה לבצע </w:t>
            </w:r>
            <w:proofErr w:type="spellStart"/>
            <w:r w:rsidRPr="00D626B2">
              <w:rPr>
                <w:rFonts w:cs="David" w:hint="cs"/>
                <w:color w:val="000000"/>
                <w:sz w:val="24"/>
                <w:szCs w:val="24"/>
                <w:rtl/>
              </w:rPr>
              <w:t>של"צ</w:t>
            </w:r>
            <w:proofErr w:type="spellEnd"/>
            <w:r w:rsidRPr="00D626B2">
              <w:rPr>
                <w:rFonts w:cs="David" w:hint="cs"/>
                <w:color w:val="000000"/>
                <w:sz w:val="24"/>
                <w:szCs w:val="24"/>
                <w:rtl/>
              </w:rPr>
              <w:t xml:space="preserve"> או מאסר בעבודות שירות. עם זאת, בהתחשב בכך שהעבירות בוצעו במהלך תקופת מחלתה של הנאשמת, מחלה זו איננה יכולה </w:t>
            </w:r>
            <w:r w:rsidRPr="00D626B2">
              <w:rPr>
                <w:rFonts w:cs="David" w:hint="cs"/>
                <w:color w:val="000000"/>
                <w:sz w:val="24"/>
                <w:szCs w:val="24"/>
                <w:rtl/>
              </w:rPr>
              <w:lastRenderedPageBreak/>
              <w:t>לתת לנאשמת חסינות מפני ענישה ראויה.</w:t>
            </w:r>
          </w:p>
          <w:p w:rsidR="00AB5647" w:rsidRPr="00D626B2" w:rsidRDefault="00AB5647" w:rsidP="00D626B2">
            <w:pPr>
              <w:spacing w:line="300" w:lineRule="atLeast"/>
              <w:jc w:val="both"/>
              <w:rPr>
                <w:rFonts w:cs="David"/>
                <w:color w:val="000000"/>
                <w:sz w:val="24"/>
                <w:szCs w:val="24"/>
                <w:rtl/>
              </w:rPr>
            </w:pPr>
          </w:p>
        </w:tc>
      </w:tr>
      <w:tr w:rsidR="00B26D13" w:rsidRPr="00D107CF" w:rsidTr="00AB5647">
        <w:trPr>
          <w:trHeight w:val="989"/>
        </w:trPr>
        <w:tc>
          <w:tcPr>
            <w:tcW w:w="2017" w:type="dxa"/>
          </w:tcPr>
          <w:p w:rsidR="00B26D13" w:rsidRPr="00D107CF" w:rsidRDefault="00B26D13" w:rsidP="00D107CF">
            <w:pPr>
              <w:pStyle w:val="a4"/>
              <w:bidi/>
              <w:spacing w:beforeAutospacing="0" w:after="0" w:afterAutospacing="0"/>
              <w:jc w:val="both"/>
              <w:rPr>
                <w:rFonts w:cs="David"/>
              </w:rPr>
            </w:pPr>
            <w:r w:rsidRPr="00D107CF">
              <w:rPr>
                <w:rFonts w:cs="David" w:hint="cs"/>
                <w:b/>
                <w:bCs/>
                <w:rtl/>
              </w:rPr>
              <w:lastRenderedPageBreak/>
              <w:t xml:space="preserve">ע"ח (ת"א) 3629-06-11‏ ‏ מדינת ישראל נ' אינה </w:t>
            </w:r>
            <w:proofErr w:type="spellStart"/>
            <w:r w:rsidRPr="00D107CF">
              <w:rPr>
                <w:rFonts w:cs="David" w:hint="cs"/>
                <w:b/>
                <w:bCs/>
                <w:rtl/>
              </w:rPr>
              <w:t>איוונוב</w:t>
            </w:r>
            <w:proofErr w:type="spellEnd"/>
          </w:p>
          <w:p w:rsidR="002F28C2" w:rsidRPr="00D107CF" w:rsidRDefault="00B26D13" w:rsidP="00D107CF">
            <w:pPr>
              <w:jc w:val="both"/>
              <w:rPr>
                <w:rFonts w:cs="David"/>
                <w:sz w:val="24"/>
                <w:szCs w:val="24"/>
                <w:rtl/>
              </w:rPr>
            </w:pPr>
            <w:r w:rsidRPr="00D107CF">
              <w:rPr>
                <w:rFonts w:cs="David" w:hint="cs"/>
                <w:sz w:val="24"/>
                <w:szCs w:val="24"/>
                <w:rtl/>
              </w:rPr>
              <w:t>(מחוזי תל אביב)</w:t>
            </w:r>
          </w:p>
        </w:tc>
        <w:tc>
          <w:tcPr>
            <w:tcW w:w="1984" w:type="dxa"/>
          </w:tcPr>
          <w:p w:rsidR="002F28C2" w:rsidRPr="00D107CF" w:rsidRDefault="00AB5647" w:rsidP="00D107CF">
            <w:pPr>
              <w:jc w:val="both"/>
              <w:rPr>
                <w:rFonts w:cs="David"/>
                <w:sz w:val="24"/>
                <w:szCs w:val="24"/>
                <w:rtl/>
              </w:rPr>
            </w:pPr>
            <w:r>
              <w:rPr>
                <w:rFonts w:cs="David" w:hint="cs"/>
                <w:sz w:val="24"/>
                <w:szCs w:val="24"/>
                <w:rtl/>
              </w:rPr>
              <w:t>עבירת</w:t>
            </w:r>
            <w:r w:rsidR="00B26D13" w:rsidRPr="00D107CF">
              <w:rPr>
                <w:rFonts w:cs="David" w:hint="cs"/>
                <w:sz w:val="24"/>
                <w:szCs w:val="24"/>
                <w:rtl/>
              </w:rPr>
              <w:t xml:space="preserve"> מטרד לציבור, לפי סעיף 215 (ג) לחוק העונשין.</w:t>
            </w:r>
          </w:p>
        </w:tc>
        <w:tc>
          <w:tcPr>
            <w:tcW w:w="3828" w:type="dxa"/>
          </w:tcPr>
          <w:p w:rsidR="00B26D13" w:rsidRPr="00B26D13" w:rsidRDefault="00B26D13" w:rsidP="00D107CF">
            <w:pPr>
              <w:jc w:val="both"/>
              <w:rPr>
                <w:rFonts w:ascii="Times New Roman" w:eastAsia="Times New Roman" w:hAnsi="Times New Roman" w:cs="David"/>
                <w:sz w:val="24"/>
                <w:szCs w:val="24"/>
              </w:rPr>
            </w:pPr>
            <w:r w:rsidRPr="00D107CF">
              <w:rPr>
                <w:rFonts w:ascii="Times New Roman" w:eastAsia="Times New Roman" w:hAnsi="Times New Roman" w:cs="David" w:hint="cs"/>
                <w:sz w:val="24"/>
                <w:szCs w:val="24"/>
                <w:rtl/>
              </w:rPr>
              <w:t>ע</w:t>
            </w:r>
            <w:r w:rsidRPr="00B26D13">
              <w:rPr>
                <w:rFonts w:ascii="Times New Roman" w:eastAsia="Times New Roman" w:hAnsi="Times New Roman" w:cs="David" w:hint="cs"/>
                <w:sz w:val="24"/>
                <w:szCs w:val="24"/>
                <w:rtl/>
              </w:rPr>
              <w:t>רר המדינה על החלטת בית משפט קמא אשר הורה על ביטול צו איסור כניסה למקום שהוצא כנגד המשיבות על ידי קצין משטרה.</w:t>
            </w:r>
          </w:p>
          <w:p w:rsidR="00B26D13" w:rsidRPr="00B26D13" w:rsidRDefault="00B26D13" w:rsidP="00D107CF">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נגד המשיבות הוצא צו איסור כניסה למקום, מכוח סעיף </w:t>
            </w:r>
            <w:hyperlink r:id="rId14" w:history="1">
              <w:r w:rsidRPr="00D107CF">
                <w:rPr>
                  <w:rFonts w:ascii="Times New Roman" w:eastAsia="Times New Roman" w:hAnsi="Times New Roman" w:cs="David" w:hint="cs"/>
                  <w:sz w:val="24"/>
                  <w:szCs w:val="24"/>
                  <w:rtl/>
                </w:rPr>
                <w:t>42(ב)</w:t>
              </w:r>
            </w:hyperlink>
            <w:r w:rsidRPr="00B26D13">
              <w:rPr>
                <w:rFonts w:ascii="Times New Roman" w:eastAsia="Times New Roman" w:hAnsi="Times New Roman" w:cs="David" w:hint="cs"/>
                <w:sz w:val="24"/>
                <w:szCs w:val="24"/>
                <w:rtl/>
              </w:rPr>
              <w:t> ל</w:t>
            </w:r>
            <w:hyperlink r:id="rId15" w:history="1">
              <w:r w:rsidRPr="00D107CF">
                <w:rPr>
                  <w:rFonts w:ascii="Times New Roman" w:eastAsia="Times New Roman" w:hAnsi="Times New Roman" w:cs="David" w:hint="cs"/>
                  <w:sz w:val="24"/>
                  <w:szCs w:val="24"/>
                  <w:rtl/>
                </w:rPr>
                <w:t>חוק סדר הדין הפלילי (סמכויות אכיפה – מעצרים)</w:t>
              </w:r>
            </w:hyperlink>
            <w:r w:rsidRPr="00B26D13">
              <w:rPr>
                <w:rFonts w:ascii="Times New Roman" w:eastAsia="Times New Roman" w:hAnsi="Times New Roman" w:cs="David" w:hint="cs"/>
                <w:sz w:val="24"/>
                <w:szCs w:val="24"/>
                <w:rtl/>
              </w:rPr>
              <w:t>, צו האיסור הוצא בגין החשד לביצוע עבירת מטרד לציבור (עיסוק בזנות) – עבירה לפי סעיף </w:t>
            </w:r>
            <w:hyperlink r:id="rId16" w:history="1">
              <w:r w:rsidRPr="00D107CF">
                <w:rPr>
                  <w:rFonts w:ascii="Times New Roman" w:eastAsia="Times New Roman" w:hAnsi="Times New Roman" w:cs="David" w:hint="cs"/>
                  <w:sz w:val="24"/>
                  <w:szCs w:val="24"/>
                  <w:rtl/>
                </w:rPr>
                <w:t>215(ג)</w:t>
              </w:r>
            </w:hyperlink>
            <w:r w:rsidRPr="00B26D13">
              <w:rPr>
                <w:rFonts w:ascii="Times New Roman" w:eastAsia="Times New Roman" w:hAnsi="Times New Roman" w:cs="David" w:hint="cs"/>
                <w:sz w:val="24"/>
                <w:szCs w:val="24"/>
                <w:rtl/>
              </w:rPr>
              <w:t> ל</w:t>
            </w:r>
            <w:hyperlink r:id="rId17" w:history="1">
              <w:r w:rsidRPr="00D107CF">
                <w:rPr>
                  <w:rFonts w:ascii="Times New Roman" w:eastAsia="Times New Roman" w:hAnsi="Times New Roman" w:cs="David" w:hint="cs"/>
                  <w:sz w:val="24"/>
                  <w:szCs w:val="24"/>
                  <w:rtl/>
                </w:rPr>
                <w:t>חוק העונשין</w:t>
              </w:r>
            </w:hyperlink>
            <w:r w:rsidRPr="00B26D13">
              <w:rPr>
                <w:rFonts w:ascii="Times New Roman" w:eastAsia="Times New Roman" w:hAnsi="Times New Roman" w:cs="David" w:hint="cs"/>
                <w:sz w:val="24"/>
                <w:szCs w:val="24"/>
                <w:rtl/>
              </w:rPr>
              <w:t xml:space="preserve">, תשל"ז – </w:t>
            </w:r>
            <w:r w:rsidRPr="00B26D13">
              <w:rPr>
                <w:rFonts w:ascii="Times New Roman" w:eastAsia="Times New Roman" w:hAnsi="Times New Roman" w:cs="David" w:hint="cs"/>
                <w:sz w:val="24"/>
                <w:szCs w:val="24"/>
                <w:rtl/>
              </w:rPr>
              <w:lastRenderedPageBreak/>
              <w:t>1977</w:t>
            </w:r>
            <w:r w:rsidRPr="00D107CF">
              <w:rPr>
                <w:rFonts w:ascii="Times New Roman" w:eastAsia="Times New Roman" w:hAnsi="Times New Roman" w:cs="David" w:hint="cs"/>
                <w:sz w:val="24"/>
                <w:szCs w:val="24"/>
                <w:rtl/>
              </w:rPr>
              <w:t>.</w:t>
            </w:r>
          </w:p>
          <w:p w:rsidR="00B26D13" w:rsidRPr="00B26D13" w:rsidRDefault="00B26D13" w:rsidP="00D107CF">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ביום 27.4.11, הוצא צו סגירה מנה</w:t>
            </w:r>
            <w:r w:rsidRPr="00D107CF">
              <w:rPr>
                <w:rFonts w:ascii="Times New Roman" w:eastAsia="Times New Roman" w:hAnsi="Times New Roman" w:cs="David" w:hint="cs"/>
                <w:sz w:val="24"/>
                <w:szCs w:val="24"/>
                <w:rtl/>
              </w:rPr>
              <w:t>לי נגד בית הבושת שהתנהל בדירה בתל אביב,</w:t>
            </w:r>
            <w:r w:rsidRPr="00B26D13">
              <w:rPr>
                <w:rFonts w:ascii="Times New Roman" w:eastAsia="Times New Roman" w:hAnsi="Times New Roman" w:cs="David" w:hint="cs"/>
                <w:sz w:val="24"/>
                <w:szCs w:val="24"/>
                <w:rtl/>
              </w:rPr>
              <w:t xml:space="preserve"> לפי חוק הגבלת שימוש במקומות לשם מניעת ביצוע עבירות, </w:t>
            </w:r>
            <w:proofErr w:type="spellStart"/>
            <w:r w:rsidRPr="00B26D13">
              <w:rPr>
                <w:rFonts w:ascii="Times New Roman" w:eastAsia="Times New Roman" w:hAnsi="Times New Roman" w:cs="David" w:hint="cs"/>
                <w:sz w:val="24"/>
                <w:szCs w:val="24"/>
                <w:rtl/>
              </w:rPr>
              <w:t>התשס"ה</w:t>
            </w:r>
            <w:proofErr w:type="spellEnd"/>
            <w:r w:rsidRPr="00B26D13">
              <w:rPr>
                <w:rFonts w:ascii="Times New Roman" w:eastAsia="Times New Roman" w:hAnsi="Times New Roman" w:cs="David" w:hint="cs"/>
                <w:sz w:val="24"/>
                <w:szCs w:val="24"/>
                <w:rtl/>
              </w:rPr>
              <w:t xml:space="preserve"> – 2005</w:t>
            </w:r>
            <w:r w:rsidRPr="00D107CF">
              <w:rPr>
                <w:rFonts w:ascii="Times New Roman" w:eastAsia="Times New Roman" w:hAnsi="Times New Roman" w:cs="David" w:hint="cs"/>
                <w:sz w:val="24"/>
                <w:szCs w:val="24"/>
                <w:rtl/>
              </w:rPr>
              <w:t>.</w:t>
            </w:r>
          </w:p>
          <w:p w:rsidR="00B26D13" w:rsidRPr="00B26D13" w:rsidRDefault="00B26D13" w:rsidP="00D107CF">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ביום 29.5.11, לאחר שפג תוקפו של צו הסגירה המנהלי ולאחר שלא חודש בצו שיפוטי, נמצאו המשיבות בדירה, עוכבו לחקירה בחשד לעבירה של מטרד לציבור על ידי מי שעוסקים בזנות, ושוחררו בערבות, תוך שחתמו על הסכמתן להתרחק מהמקום למשך 15 יום.</w:t>
            </w:r>
          </w:p>
          <w:p w:rsidR="00B26D13" w:rsidRPr="00B26D13" w:rsidRDefault="00B26D13" w:rsidP="00D107CF">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על החלטה זו – להרחיק את המשיבות מהמקום - הוגש ערר על ידי המשיבות לבית משפט השלום.</w:t>
            </w:r>
          </w:p>
          <w:p w:rsidR="00B26D13" w:rsidRPr="00B26D13" w:rsidRDefault="00B26D13" w:rsidP="00D107CF">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בדיון מיום 1.6.11, קבע כבוד השופט בקר כי צו ההרחקה הוצא שלא כחוק, לפי שחלפו 30 יום מהוצאת הצו הראשון והמשטרה  "בהעדר יכולת להוציא צו מנהלי נוסף" נגד המקום - פנתה לדרך "עוקפת" וזאת על ידי מתן צווי הרחקה לנשים העובדות במקום.</w:t>
            </w:r>
          </w:p>
          <w:p w:rsidR="002F28C2" w:rsidRPr="00EB670C" w:rsidRDefault="00B26D13" w:rsidP="00EB670C">
            <w:pPr>
              <w:jc w:val="both"/>
              <w:rPr>
                <w:rFonts w:ascii="Times New Roman" w:eastAsia="Times New Roman" w:hAnsi="Times New Roman" w:cs="David"/>
                <w:sz w:val="24"/>
                <w:szCs w:val="24"/>
                <w:rtl/>
              </w:rPr>
            </w:pPr>
            <w:r w:rsidRPr="00B26D13">
              <w:rPr>
                <w:rFonts w:ascii="Times New Roman" w:eastAsia="Times New Roman" w:hAnsi="Times New Roman" w:cs="David" w:hint="cs"/>
                <w:sz w:val="24"/>
                <w:szCs w:val="24"/>
                <w:rtl/>
              </w:rPr>
              <w:t>על החלטה זו הוגש הערר שבפניי.</w:t>
            </w:r>
          </w:p>
        </w:tc>
        <w:tc>
          <w:tcPr>
            <w:tcW w:w="2551" w:type="dxa"/>
          </w:tcPr>
          <w:p w:rsidR="00B26D13" w:rsidRPr="00D107CF" w:rsidRDefault="00B26D13" w:rsidP="00D107CF">
            <w:pPr>
              <w:jc w:val="both"/>
              <w:rPr>
                <w:rFonts w:cs="David"/>
                <w:sz w:val="24"/>
                <w:szCs w:val="24"/>
              </w:rPr>
            </w:pPr>
            <w:r w:rsidRPr="00D107CF">
              <w:rPr>
                <w:rFonts w:cs="David" w:hint="cs"/>
                <w:sz w:val="24"/>
                <w:szCs w:val="24"/>
                <w:rtl/>
              </w:rPr>
              <w:lastRenderedPageBreak/>
              <w:t>בית המשפט המחוזי קיבל את ערר המדינה וביטל את החלטת בית המשפט השלום, לפיה וטל צו איסור כניסה למקום שהוצא כנגד המשיבות על ידי קצין משטרה.</w:t>
            </w:r>
          </w:p>
          <w:p w:rsidR="002F28C2" w:rsidRPr="00D107CF" w:rsidRDefault="002F28C2" w:rsidP="00D107CF">
            <w:pPr>
              <w:jc w:val="both"/>
              <w:rPr>
                <w:rFonts w:cs="David"/>
                <w:sz w:val="24"/>
                <w:szCs w:val="24"/>
                <w:rtl/>
              </w:rPr>
            </w:pPr>
          </w:p>
        </w:tc>
        <w:tc>
          <w:tcPr>
            <w:tcW w:w="3139" w:type="dxa"/>
          </w:tcPr>
          <w:p w:rsidR="00AB5647" w:rsidRDefault="00AB5647" w:rsidP="00D107CF">
            <w:pPr>
              <w:jc w:val="both"/>
              <w:rPr>
                <w:rFonts w:cs="David"/>
                <w:sz w:val="24"/>
                <w:szCs w:val="24"/>
                <w:rtl/>
              </w:rPr>
            </w:pPr>
            <w:r>
              <w:rPr>
                <w:rFonts w:cs="David" w:hint="cs"/>
                <w:sz w:val="24"/>
                <w:szCs w:val="24"/>
                <w:rtl/>
              </w:rPr>
              <w:t>לעניין עבירת המטרד קבע בית המשפט:</w:t>
            </w:r>
          </w:p>
          <w:p w:rsidR="00AB5647" w:rsidRDefault="00B26D13" w:rsidP="00AB5647">
            <w:pPr>
              <w:pStyle w:val="a6"/>
              <w:numPr>
                <w:ilvl w:val="0"/>
                <w:numId w:val="2"/>
              </w:numPr>
              <w:jc w:val="both"/>
              <w:rPr>
                <w:rFonts w:cs="David"/>
                <w:sz w:val="24"/>
                <w:szCs w:val="24"/>
              </w:rPr>
            </w:pPr>
            <w:r w:rsidRPr="00AB5647">
              <w:rPr>
                <w:rFonts w:cs="David" w:hint="cs"/>
                <w:sz w:val="24"/>
                <w:szCs w:val="24"/>
                <w:rtl/>
              </w:rPr>
              <w:t>מוקד העבירה המנויה</w:t>
            </w:r>
            <w:r w:rsidRPr="00AB5647">
              <w:rPr>
                <w:rFonts w:cs="David" w:hint="cs"/>
                <w:sz w:val="24"/>
                <w:szCs w:val="24"/>
              </w:rPr>
              <w:t> </w:t>
            </w:r>
            <w:hyperlink r:id="rId18" w:history="1">
              <w:r w:rsidRPr="00AB5647">
                <w:rPr>
                  <w:rStyle w:val="Hyperlink"/>
                  <w:rFonts w:cs="David" w:hint="cs"/>
                  <w:color w:val="auto"/>
                  <w:sz w:val="24"/>
                  <w:szCs w:val="24"/>
                  <w:u w:val="none"/>
                  <w:rtl/>
                </w:rPr>
                <w:t>בסעיף 215(ג)</w:t>
              </w:r>
            </w:hyperlink>
            <w:r w:rsidRPr="00AB5647">
              <w:rPr>
                <w:rFonts w:cs="David" w:hint="cs"/>
                <w:sz w:val="24"/>
                <w:szCs w:val="24"/>
              </w:rPr>
              <w:t> </w:t>
            </w:r>
            <w:r w:rsidRPr="00AB5647">
              <w:rPr>
                <w:rFonts w:cs="David" w:hint="cs"/>
                <w:sz w:val="24"/>
                <w:szCs w:val="24"/>
                <w:rtl/>
              </w:rPr>
              <w:t>הינו</w:t>
            </w:r>
            <w:r w:rsidRPr="00AB5647">
              <w:rPr>
                <w:rFonts w:cs="David" w:hint="cs"/>
                <w:sz w:val="24"/>
                <w:szCs w:val="24"/>
              </w:rPr>
              <w:t> </w:t>
            </w:r>
            <w:r w:rsidRPr="00AB5647">
              <w:rPr>
                <w:rFonts w:cs="David" w:hint="cs"/>
                <w:sz w:val="24"/>
                <w:szCs w:val="24"/>
                <w:rtl/>
              </w:rPr>
              <w:t>בנסיבות העיסוק בזנות.</w:t>
            </w:r>
            <w:r w:rsidRPr="00AB5647">
              <w:rPr>
                <w:rFonts w:cs="David" w:hint="cs"/>
                <w:sz w:val="24"/>
                <w:szCs w:val="24"/>
              </w:rPr>
              <w:t xml:space="preserve"> </w:t>
            </w:r>
            <w:r w:rsidRPr="00AB5647">
              <w:rPr>
                <w:rFonts w:cs="David" w:hint="cs"/>
                <w:sz w:val="24"/>
                <w:szCs w:val="24"/>
                <w:rtl/>
              </w:rPr>
              <w:t>העיסוק כשלעצמו אינו עבירה, אלא נסיבות העיסוק – ככל שיוצרות מטרד לדיירי הסביבה – הן אשר מקימות עבירה</w:t>
            </w:r>
            <w:r w:rsidRPr="00AB5647">
              <w:rPr>
                <w:rFonts w:cs="David" w:hint="cs"/>
                <w:sz w:val="24"/>
                <w:szCs w:val="24"/>
              </w:rPr>
              <w:t>.</w:t>
            </w:r>
          </w:p>
          <w:p w:rsidR="00AB5647" w:rsidRDefault="00B26D13" w:rsidP="00AB5647">
            <w:pPr>
              <w:pStyle w:val="a6"/>
              <w:numPr>
                <w:ilvl w:val="0"/>
                <w:numId w:val="2"/>
              </w:numPr>
              <w:jc w:val="both"/>
              <w:rPr>
                <w:rFonts w:cs="David"/>
                <w:sz w:val="24"/>
                <w:szCs w:val="24"/>
              </w:rPr>
            </w:pPr>
            <w:r w:rsidRPr="00AB5647">
              <w:rPr>
                <w:rFonts w:cs="David" w:hint="cs"/>
                <w:sz w:val="24"/>
                <w:szCs w:val="24"/>
                <w:rtl/>
              </w:rPr>
              <w:lastRenderedPageBreak/>
              <w:t>זכותו של כל אזרח ליהנות משקט ושלווה בביתו ובאזור מגוריו - הוא העומד בבסיס עבירת המטרד. רק משנפגע ערך מוגן זה – קמה עבירה לפי סעיף</w:t>
            </w:r>
            <w:r w:rsidR="005262FC" w:rsidRPr="00AB5647">
              <w:rPr>
                <w:rFonts w:cs="David" w:hint="cs"/>
                <w:sz w:val="24"/>
                <w:szCs w:val="24"/>
                <w:rtl/>
              </w:rPr>
              <w:t xml:space="preserve"> 215 </w:t>
            </w:r>
            <w:r w:rsidRPr="00AB5647">
              <w:rPr>
                <w:rFonts w:cs="David" w:hint="cs"/>
                <w:sz w:val="24"/>
                <w:szCs w:val="24"/>
                <w:rtl/>
              </w:rPr>
              <w:t>(ג).</w:t>
            </w:r>
          </w:p>
          <w:p w:rsidR="00B26D13" w:rsidRPr="00AB5647" w:rsidRDefault="00B26D13" w:rsidP="00AB5647">
            <w:pPr>
              <w:pStyle w:val="a6"/>
              <w:numPr>
                <w:ilvl w:val="0"/>
                <w:numId w:val="2"/>
              </w:numPr>
              <w:jc w:val="both"/>
              <w:rPr>
                <w:rFonts w:cs="David"/>
                <w:sz w:val="24"/>
                <w:szCs w:val="24"/>
                <w:rtl/>
              </w:rPr>
            </w:pPr>
            <w:r w:rsidRPr="00AB5647">
              <w:rPr>
                <w:rFonts w:cs="David" w:hint="cs"/>
                <w:sz w:val="24"/>
                <w:szCs w:val="24"/>
                <w:rtl/>
              </w:rPr>
              <w:t>לצורך הפעלת סמכותה מכוח</w:t>
            </w:r>
            <w:r w:rsidRPr="00AB5647">
              <w:rPr>
                <w:rFonts w:cs="David" w:hint="cs"/>
                <w:sz w:val="24"/>
                <w:szCs w:val="24"/>
              </w:rPr>
              <w:t> </w:t>
            </w:r>
            <w:hyperlink r:id="rId19" w:history="1">
              <w:r w:rsidRPr="00AB5647">
                <w:rPr>
                  <w:rStyle w:val="Hyperlink"/>
                  <w:rFonts w:cs="David" w:hint="cs"/>
                  <w:color w:val="auto"/>
                  <w:sz w:val="24"/>
                  <w:szCs w:val="24"/>
                  <w:u w:val="none"/>
                  <w:rtl/>
                </w:rPr>
                <w:t>חוק המעצרים</w:t>
              </w:r>
            </w:hyperlink>
            <w:r w:rsidR="005262FC" w:rsidRPr="00AB5647">
              <w:rPr>
                <w:rFonts w:cs="David" w:hint="cs"/>
                <w:sz w:val="24"/>
                <w:szCs w:val="24"/>
                <w:rtl/>
              </w:rPr>
              <w:t>,</w:t>
            </w:r>
            <w:r w:rsidR="005262FC" w:rsidRPr="00AB5647">
              <w:rPr>
                <w:rFonts w:cs="David"/>
                <w:sz w:val="24"/>
                <w:szCs w:val="24"/>
              </w:rPr>
              <w:t xml:space="preserve"> </w:t>
            </w:r>
            <w:r w:rsidRPr="00AB5647">
              <w:rPr>
                <w:rFonts w:cs="David" w:hint="cs"/>
                <w:sz w:val="24"/>
                <w:szCs w:val="24"/>
                <w:rtl/>
              </w:rPr>
              <w:t>נדרשת המשטרה להוכיח כי התקיימה עבירה אחרת בתכלית – עבירת המטרד. יתרה מכך, בהפעילה את סמכותה מכוח</w:t>
            </w:r>
            <w:r w:rsidRPr="00AB5647">
              <w:rPr>
                <w:rFonts w:cs="David" w:hint="cs"/>
                <w:sz w:val="24"/>
                <w:szCs w:val="24"/>
              </w:rPr>
              <w:t> </w:t>
            </w:r>
            <w:hyperlink r:id="rId20" w:history="1">
              <w:r w:rsidRPr="00AB5647">
                <w:rPr>
                  <w:rStyle w:val="Hyperlink"/>
                  <w:rFonts w:cs="David" w:hint="cs"/>
                  <w:color w:val="auto"/>
                  <w:sz w:val="24"/>
                  <w:szCs w:val="24"/>
                  <w:u w:val="none"/>
                  <w:rtl/>
                </w:rPr>
                <w:t>חוק המעצרים</w:t>
              </w:r>
            </w:hyperlink>
            <w:r w:rsidR="00736399" w:rsidRPr="00AB5647">
              <w:rPr>
                <w:rFonts w:cs="David" w:hint="cs"/>
                <w:sz w:val="24"/>
                <w:szCs w:val="24"/>
                <w:rtl/>
              </w:rPr>
              <w:t>,</w:t>
            </w:r>
            <w:r w:rsidRPr="00AB5647">
              <w:rPr>
                <w:rFonts w:cs="David" w:hint="cs"/>
                <w:sz w:val="24"/>
                <w:szCs w:val="24"/>
              </w:rPr>
              <w:t> </w:t>
            </w:r>
            <w:r w:rsidRPr="00AB5647">
              <w:rPr>
                <w:rFonts w:cs="David" w:hint="cs"/>
                <w:sz w:val="24"/>
                <w:szCs w:val="24"/>
                <w:rtl/>
              </w:rPr>
              <w:t>על המשטרה לנקוט משנה זהירות, לפי שאין במטרת החוק לפגוע ביצאניות, או למגר את התופעה, כי אם להגן על הציבור, ככל שעיסוקן זה פוגע בסדר הציבורי</w:t>
            </w:r>
            <w:r w:rsidRPr="00AB5647">
              <w:rPr>
                <w:rFonts w:cs="David" w:hint="cs"/>
                <w:sz w:val="24"/>
                <w:szCs w:val="24"/>
              </w:rPr>
              <w:t>.</w:t>
            </w:r>
          </w:p>
        </w:tc>
      </w:tr>
      <w:tr w:rsidR="00B26D13" w:rsidRPr="00D107CF" w:rsidTr="00AB5647">
        <w:trPr>
          <w:trHeight w:val="989"/>
        </w:trPr>
        <w:tc>
          <w:tcPr>
            <w:tcW w:w="2017" w:type="dxa"/>
          </w:tcPr>
          <w:p w:rsidR="00D37A05" w:rsidRPr="00D37A05" w:rsidRDefault="00D37A05" w:rsidP="00D107CF">
            <w:pPr>
              <w:spacing w:before="100"/>
              <w:jc w:val="both"/>
              <w:rPr>
                <w:rFonts w:ascii="Times New Roman" w:eastAsia="Times New Roman" w:hAnsi="Times New Roman" w:cs="David"/>
                <w:sz w:val="24"/>
                <w:szCs w:val="24"/>
              </w:rPr>
            </w:pPr>
            <w:r w:rsidRPr="00D37A05">
              <w:rPr>
                <w:rFonts w:ascii="Times New Roman" w:eastAsia="Times New Roman" w:hAnsi="Times New Roman" w:cs="David" w:hint="cs"/>
                <w:b/>
                <w:bCs/>
                <w:sz w:val="24"/>
                <w:szCs w:val="24"/>
                <w:rtl/>
              </w:rPr>
              <w:lastRenderedPageBreak/>
              <w:t>ת</w:t>
            </w:r>
            <w:r w:rsidRPr="00D107CF">
              <w:rPr>
                <w:rFonts w:ascii="Times New Roman" w:eastAsia="Times New Roman" w:hAnsi="Times New Roman" w:cs="David" w:hint="cs"/>
                <w:b/>
                <w:bCs/>
                <w:sz w:val="24"/>
                <w:szCs w:val="24"/>
                <w:rtl/>
              </w:rPr>
              <w:t>"</w:t>
            </w:r>
            <w:r w:rsidRPr="00D37A05">
              <w:rPr>
                <w:rFonts w:ascii="Times New Roman" w:eastAsia="Times New Roman" w:hAnsi="Times New Roman" w:cs="David" w:hint="cs"/>
                <w:b/>
                <w:bCs/>
                <w:sz w:val="24"/>
                <w:szCs w:val="24"/>
                <w:rtl/>
              </w:rPr>
              <w:t>פ (ת"א) 45111-01-13‏ ‏ מדינת ישראל נ' מאור מרדכי שמשון - הסתיים‏</w:t>
            </w:r>
          </w:p>
          <w:p w:rsidR="002F28C2" w:rsidRPr="00D107CF" w:rsidRDefault="00D37A05" w:rsidP="00D107CF">
            <w:pPr>
              <w:jc w:val="both"/>
              <w:rPr>
                <w:rFonts w:cs="David"/>
                <w:sz w:val="24"/>
                <w:szCs w:val="24"/>
                <w:rtl/>
              </w:rPr>
            </w:pPr>
            <w:r w:rsidRPr="00D107CF">
              <w:rPr>
                <w:rFonts w:cs="David" w:hint="cs"/>
                <w:sz w:val="24"/>
                <w:szCs w:val="24"/>
                <w:rtl/>
              </w:rPr>
              <w:t>(שלום</w:t>
            </w:r>
            <w:r w:rsidR="00736399" w:rsidRPr="00D107CF">
              <w:rPr>
                <w:rFonts w:cs="David" w:hint="cs"/>
                <w:sz w:val="24"/>
                <w:szCs w:val="24"/>
                <w:rtl/>
              </w:rPr>
              <w:t xml:space="preserve"> תל אביב- יפו</w:t>
            </w:r>
            <w:r w:rsidRPr="00D107CF">
              <w:rPr>
                <w:rFonts w:cs="David" w:hint="cs"/>
                <w:sz w:val="24"/>
                <w:szCs w:val="24"/>
                <w:rtl/>
              </w:rPr>
              <w:t>)</w:t>
            </w:r>
          </w:p>
        </w:tc>
        <w:tc>
          <w:tcPr>
            <w:tcW w:w="1984" w:type="dxa"/>
          </w:tcPr>
          <w:p w:rsidR="00D37A05" w:rsidRPr="00D107CF" w:rsidRDefault="00AB5647" w:rsidP="00D107CF">
            <w:pPr>
              <w:jc w:val="both"/>
              <w:rPr>
                <w:rFonts w:cs="David"/>
                <w:sz w:val="24"/>
                <w:szCs w:val="24"/>
                <w:rtl/>
              </w:rPr>
            </w:pPr>
            <w:r>
              <w:rPr>
                <w:rFonts w:cs="David" w:hint="cs"/>
                <w:sz w:val="24"/>
                <w:szCs w:val="24"/>
                <w:rtl/>
              </w:rPr>
              <w:t xml:space="preserve">עבירת </w:t>
            </w:r>
            <w:r w:rsidR="00E11F88" w:rsidRPr="00D107CF">
              <w:rPr>
                <w:rFonts w:cs="David" w:hint="cs"/>
                <w:sz w:val="24"/>
                <w:szCs w:val="24"/>
                <w:rtl/>
              </w:rPr>
              <w:t>החזקת מקום לשם עיסוק בזנות</w:t>
            </w:r>
            <w:r w:rsidR="00D37A05" w:rsidRPr="00D107CF">
              <w:rPr>
                <w:rFonts w:cs="David" w:hint="cs"/>
                <w:sz w:val="24"/>
                <w:szCs w:val="24"/>
                <w:rtl/>
              </w:rPr>
              <w:t>, לפי סעיף 204 לחוק העונשין.</w:t>
            </w:r>
          </w:p>
          <w:p w:rsidR="00D37A05" w:rsidRPr="00D107CF" w:rsidRDefault="00AB5647" w:rsidP="00D107CF">
            <w:pPr>
              <w:jc w:val="both"/>
              <w:rPr>
                <w:rFonts w:cs="David"/>
                <w:sz w:val="24"/>
                <w:szCs w:val="24"/>
                <w:rtl/>
              </w:rPr>
            </w:pPr>
            <w:r>
              <w:rPr>
                <w:rFonts w:cs="David" w:hint="cs"/>
                <w:sz w:val="24"/>
                <w:szCs w:val="24"/>
                <w:rtl/>
              </w:rPr>
              <w:t xml:space="preserve">עבירת </w:t>
            </w:r>
            <w:r w:rsidR="00D37A05" w:rsidRPr="00D107CF">
              <w:rPr>
                <w:rFonts w:cs="David" w:hint="cs"/>
                <w:sz w:val="24"/>
                <w:szCs w:val="24"/>
                <w:rtl/>
              </w:rPr>
              <w:t>הפרעה לשוטר בעת מילוי תפקידו, לפי סעיף 275 לחוק העונשין.</w:t>
            </w:r>
          </w:p>
          <w:p w:rsidR="002F28C2" w:rsidRPr="00D107CF" w:rsidRDefault="00AB5647" w:rsidP="00D107CF">
            <w:pPr>
              <w:jc w:val="both"/>
              <w:rPr>
                <w:rFonts w:cs="David"/>
                <w:sz w:val="24"/>
                <w:szCs w:val="24"/>
                <w:rtl/>
              </w:rPr>
            </w:pPr>
            <w:r>
              <w:rPr>
                <w:rFonts w:cs="David" w:hint="cs"/>
                <w:sz w:val="24"/>
                <w:szCs w:val="24"/>
                <w:rtl/>
              </w:rPr>
              <w:t>עבירת</w:t>
            </w:r>
            <w:r w:rsidR="00E11F88" w:rsidRPr="00D107CF">
              <w:rPr>
                <w:rFonts w:cs="David" w:hint="cs"/>
                <w:sz w:val="24"/>
                <w:szCs w:val="24"/>
                <w:rtl/>
              </w:rPr>
              <w:t xml:space="preserve"> מטרד לציבור, </w:t>
            </w:r>
            <w:r w:rsidR="00D37A05" w:rsidRPr="00D107CF">
              <w:rPr>
                <w:rFonts w:cs="David" w:hint="cs"/>
                <w:sz w:val="24"/>
                <w:szCs w:val="24"/>
                <w:rtl/>
              </w:rPr>
              <w:t xml:space="preserve">לפי סעיף 215 (ג) לחוק </w:t>
            </w:r>
            <w:r w:rsidR="00D37A05" w:rsidRPr="00D107CF">
              <w:rPr>
                <w:rFonts w:cs="David" w:hint="cs"/>
                <w:sz w:val="24"/>
                <w:szCs w:val="24"/>
                <w:rtl/>
              </w:rPr>
              <w:lastRenderedPageBreak/>
              <w:t>העונשין.</w:t>
            </w:r>
          </w:p>
        </w:tc>
        <w:tc>
          <w:tcPr>
            <w:tcW w:w="3828" w:type="dxa"/>
          </w:tcPr>
          <w:p w:rsidR="002F28C2" w:rsidRPr="00D107CF" w:rsidRDefault="00D37A05" w:rsidP="00D107CF">
            <w:pPr>
              <w:jc w:val="both"/>
              <w:rPr>
                <w:rFonts w:cs="David"/>
                <w:sz w:val="24"/>
                <w:szCs w:val="24"/>
                <w:rtl/>
              </w:rPr>
            </w:pPr>
            <w:r w:rsidRPr="00D107CF">
              <w:rPr>
                <w:rFonts w:cs="David" w:hint="cs"/>
                <w:sz w:val="24"/>
                <w:szCs w:val="24"/>
                <w:rtl/>
              </w:rPr>
              <w:lastRenderedPageBreak/>
              <w:t>הנאשמת החזיקה דירה לשם עיסוק בזנות בה סופקו שירותי מין תמורת אתנן, באופן אשר היווה מטרד לאנשים הגרים בסביבה</w:t>
            </w:r>
            <w:r w:rsidRPr="00D107CF">
              <w:rPr>
                <w:rFonts w:cs="David" w:hint="cs"/>
                <w:sz w:val="24"/>
                <w:szCs w:val="24"/>
              </w:rPr>
              <w:t>.</w:t>
            </w:r>
          </w:p>
        </w:tc>
        <w:tc>
          <w:tcPr>
            <w:tcW w:w="2551" w:type="dxa"/>
          </w:tcPr>
          <w:p w:rsidR="00C60185" w:rsidRPr="00D107CF" w:rsidRDefault="00C60185" w:rsidP="00D107CF">
            <w:pPr>
              <w:pStyle w:val="listparagraph"/>
              <w:bidi/>
              <w:spacing w:before="0" w:beforeAutospacing="0" w:after="0" w:afterAutospacing="0"/>
              <w:jc w:val="both"/>
              <w:rPr>
                <w:rFonts w:cs="David"/>
              </w:rPr>
            </w:pPr>
            <w:r w:rsidRPr="00D107CF">
              <w:rPr>
                <w:rFonts w:cs="David" w:hint="cs"/>
                <w:rtl/>
              </w:rPr>
              <w:t>הנאשמת הורשעה בעבירות המיוחסות לה, והושת עליה מאסר על תנאי למשך 8 חודשים, לתקופה של שלוש שנים והתנאי שהנאשמת לא תעבור עבירות על </w:t>
            </w:r>
            <w:hyperlink r:id="rId21" w:history="1">
              <w:r w:rsidRPr="00D107CF">
                <w:rPr>
                  <w:rStyle w:val="Hyperlink"/>
                  <w:rFonts w:cs="David" w:hint="cs"/>
                  <w:color w:val="auto"/>
                  <w:u w:val="none"/>
                  <w:rtl/>
                </w:rPr>
                <w:t>סימן י</w:t>
              </w:r>
            </w:hyperlink>
            <w:r w:rsidRPr="00D107CF">
              <w:rPr>
                <w:rFonts w:cs="David" w:hint="cs"/>
                <w:rtl/>
              </w:rPr>
              <w:t> לפרק ח' ב</w:t>
            </w:r>
            <w:hyperlink r:id="rId22" w:history="1">
              <w:r w:rsidRPr="00D107CF">
                <w:rPr>
                  <w:rStyle w:val="Hyperlink"/>
                  <w:rFonts w:cs="David" w:hint="cs"/>
                  <w:color w:val="auto"/>
                  <w:u w:val="none"/>
                  <w:rtl/>
                </w:rPr>
                <w:t>חוק העונשין</w:t>
              </w:r>
            </w:hyperlink>
            <w:r w:rsidRPr="00D107CF">
              <w:rPr>
                <w:rFonts w:cs="David" w:hint="cs"/>
                <w:rtl/>
              </w:rPr>
              <w:t> למעט סעיף 214א .</w:t>
            </w:r>
          </w:p>
          <w:p w:rsidR="00C60185" w:rsidRPr="00D107CF" w:rsidRDefault="00C60185" w:rsidP="00D107CF">
            <w:pPr>
              <w:pStyle w:val="listparagraph"/>
              <w:bidi/>
              <w:spacing w:before="0" w:beforeAutospacing="0" w:after="0" w:afterAutospacing="0"/>
              <w:jc w:val="both"/>
              <w:rPr>
                <w:rFonts w:cs="David"/>
                <w:rtl/>
              </w:rPr>
            </w:pPr>
            <w:r w:rsidRPr="00D107CF">
              <w:rPr>
                <w:rFonts w:cs="David" w:hint="cs"/>
                <w:rtl/>
              </w:rPr>
              <w:t xml:space="preserve">מאסר על תנאי למשך 3 חודשים, לתקופה של </w:t>
            </w:r>
            <w:r w:rsidRPr="00D107CF">
              <w:rPr>
                <w:rFonts w:cs="David" w:hint="cs"/>
                <w:rtl/>
              </w:rPr>
              <w:lastRenderedPageBreak/>
              <w:t>שנתיים והתנאי שהנאשמת לא תעבור את  יתר העבירות בהן הורשעה.</w:t>
            </w:r>
          </w:p>
          <w:p w:rsidR="00C60185" w:rsidRPr="00D107CF" w:rsidRDefault="00C60185" w:rsidP="00D107CF">
            <w:pPr>
              <w:pStyle w:val="listparagraph"/>
              <w:bidi/>
              <w:spacing w:before="0" w:beforeAutospacing="0" w:after="0" w:afterAutospacing="0"/>
              <w:jc w:val="both"/>
              <w:rPr>
                <w:rFonts w:cs="David"/>
                <w:rtl/>
              </w:rPr>
            </w:pPr>
            <w:r w:rsidRPr="00D107CF">
              <w:rPr>
                <w:rFonts w:cs="David" w:hint="cs"/>
                <w:rtl/>
              </w:rPr>
              <w:t>קנס בסך 750 ₪, או 3 ימי מאסר תמורתו. הקנס ישולם ב- 3 תשלומים חודשיים, שווים ורציפים.</w:t>
            </w:r>
          </w:p>
          <w:p w:rsidR="002F28C2" w:rsidRPr="00D107CF" w:rsidRDefault="002F28C2" w:rsidP="00D107CF">
            <w:pPr>
              <w:jc w:val="both"/>
              <w:rPr>
                <w:rFonts w:cs="David"/>
                <w:sz w:val="24"/>
                <w:szCs w:val="24"/>
                <w:rtl/>
              </w:rPr>
            </w:pPr>
          </w:p>
        </w:tc>
        <w:tc>
          <w:tcPr>
            <w:tcW w:w="3139" w:type="dxa"/>
          </w:tcPr>
          <w:p w:rsidR="002F28C2" w:rsidRPr="00D107CF" w:rsidRDefault="002F28C2" w:rsidP="00D107CF">
            <w:pPr>
              <w:jc w:val="both"/>
              <w:rPr>
                <w:rFonts w:cs="David"/>
                <w:sz w:val="24"/>
                <w:szCs w:val="24"/>
                <w:rtl/>
              </w:rPr>
            </w:pPr>
          </w:p>
        </w:tc>
      </w:tr>
    </w:tbl>
    <w:p w:rsidR="008F1FA2" w:rsidRDefault="008F1FA2" w:rsidP="00D107CF">
      <w:pPr>
        <w:spacing w:line="240" w:lineRule="auto"/>
        <w:jc w:val="both"/>
        <w:rPr>
          <w:rFonts w:cs="David"/>
          <w:sz w:val="24"/>
          <w:szCs w:val="24"/>
          <w:rtl/>
        </w:rPr>
      </w:pPr>
      <w:bookmarkStart w:id="1" w:name="_GoBack"/>
      <w:bookmarkEnd w:id="1"/>
    </w:p>
    <w:sectPr w:rsidR="008F1FA2" w:rsidSect="002F28C2">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635"/>
    <w:multiLevelType w:val="hybridMultilevel"/>
    <w:tmpl w:val="41D63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8F7DB3"/>
    <w:multiLevelType w:val="hybridMultilevel"/>
    <w:tmpl w:val="E0025CD8"/>
    <w:lvl w:ilvl="0" w:tplc="5BC0358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706D7"/>
    <w:multiLevelType w:val="hybridMultilevel"/>
    <w:tmpl w:val="5E9AA6FA"/>
    <w:lvl w:ilvl="0" w:tplc="851053BA">
      <w:start w:val="1"/>
      <w:numFmt w:val="hebrew1"/>
      <w:lvlText w:val="%1."/>
      <w:lvlJc w:val="left"/>
      <w:pPr>
        <w:ind w:left="360" w:hanging="360"/>
      </w:pPr>
      <w:rPr>
        <w:rFonts w:cs="Narkisim"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9D"/>
    <w:rsid w:val="00142B3C"/>
    <w:rsid w:val="00151F14"/>
    <w:rsid w:val="00246A18"/>
    <w:rsid w:val="002F28C2"/>
    <w:rsid w:val="00301262"/>
    <w:rsid w:val="003B610F"/>
    <w:rsid w:val="004367CC"/>
    <w:rsid w:val="005262FC"/>
    <w:rsid w:val="005F36BD"/>
    <w:rsid w:val="005F3E83"/>
    <w:rsid w:val="00736399"/>
    <w:rsid w:val="007C23D4"/>
    <w:rsid w:val="007E704C"/>
    <w:rsid w:val="008048E2"/>
    <w:rsid w:val="008F1FA2"/>
    <w:rsid w:val="00997FDC"/>
    <w:rsid w:val="00A86415"/>
    <w:rsid w:val="00AA619D"/>
    <w:rsid w:val="00AB5647"/>
    <w:rsid w:val="00B26D13"/>
    <w:rsid w:val="00C0321D"/>
    <w:rsid w:val="00C217AD"/>
    <w:rsid w:val="00C375A3"/>
    <w:rsid w:val="00C60185"/>
    <w:rsid w:val="00C60D93"/>
    <w:rsid w:val="00D107CF"/>
    <w:rsid w:val="00D37A05"/>
    <w:rsid w:val="00D626B2"/>
    <w:rsid w:val="00E06791"/>
    <w:rsid w:val="00E11F88"/>
    <w:rsid w:val="00EB6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42B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כותרת עליונה תו"/>
    <w:basedOn w:val="a0"/>
    <w:link w:val="a4"/>
    <w:uiPriority w:val="99"/>
    <w:semiHidden/>
    <w:rsid w:val="00142B3C"/>
    <w:rPr>
      <w:rFonts w:ascii="Times New Roman" w:eastAsia="Times New Roman" w:hAnsi="Times New Roman" w:cs="Times New Roman"/>
      <w:sz w:val="24"/>
      <w:szCs w:val="24"/>
    </w:rPr>
  </w:style>
  <w:style w:type="character" w:styleId="Hyperlink">
    <w:name w:val="Hyperlink"/>
    <w:basedOn w:val="a0"/>
    <w:uiPriority w:val="99"/>
    <w:semiHidden/>
    <w:unhideWhenUsed/>
    <w:rsid w:val="007E704C"/>
    <w:rPr>
      <w:color w:val="0000FF"/>
      <w:u w:val="single"/>
    </w:rPr>
  </w:style>
  <w:style w:type="paragraph" w:customStyle="1" w:styleId="listparagraph">
    <w:name w:val="listparagraph"/>
    <w:basedOn w:val="a"/>
    <w:rsid w:val="00C60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62FC"/>
    <w:pPr>
      <w:ind w:left="720"/>
      <w:contextualSpacing/>
    </w:pPr>
  </w:style>
  <w:style w:type="character" w:styleId="FollowedHyperlink">
    <w:name w:val="FollowedHyperlink"/>
    <w:basedOn w:val="a0"/>
    <w:uiPriority w:val="99"/>
    <w:semiHidden/>
    <w:unhideWhenUsed/>
    <w:rsid w:val="003B61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42B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כותרת עליונה תו"/>
    <w:basedOn w:val="a0"/>
    <w:link w:val="a4"/>
    <w:uiPriority w:val="99"/>
    <w:semiHidden/>
    <w:rsid w:val="00142B3C"/>
    <w:rPr>
      <w:rFonts w:ascii="Times New Roman" w:eastAsia="Times New Roman" w:hAnsi="Times New Roman" w:cs="Times New Roman"/>
      <w:sz w:val="24"/>
      <w:szCs w:val="24"/>
    </w:rPr>
  </w:style>
  <w:style w:type="character" w:styleId="Hyperlink">
    <w:name w:val="Hyperlink"/>
    <w:basedOn w:val="a0"/>
    <w:uiPriority w:val="99"/>
    <w:semiHidden/>
    <w:unhideWhenUsed/>
    <w:rsid w:val="007E704C"/>
    <w:rPr>
      <w:color w:val="0000FF"/>
      <w:u w:val="single"/>
    </w:rPr>
  </w:style>
  <w:style w:type="paragraph" w:customStyle="1" w:styleId="listparagraph">
    <w:name w:val="listparagraph"/>
    <w:basedOn w:val="a"/>
    <w:rsid w:val="00C60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62FC"/>
    <w:pPr>
      <w:ind w:left="720"/>
      <w:contextualSpacing/>
    </w:pPr>
  </w:style>
  <w:style w:type="character" w:styleId="FollowedHyperlink">
    <w:name w:val="FollowedHyperlink"/>
    <w:basedOn w:val="a0"/>
    <w:uiPriority w:val="99"/>
    <w:semiHidden/>
    <w:unhideWhenUsed/>
    <w:rsid w:val="003B6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889">
      <w:bodyDiv w:val="1"/>
      <w:marLeft w:val="0"/>
      <w:marRight w:val="0"/>
      <w:marTop w:val="0"/>
      <w:marBottom w:val="0"/>
      <w:divBdr>
        <w:top w:val="none" w:sz="0" w:space="0" w:color="auto"/>
        <w:left w:val="none" w:sz="0" w:space="0" w:color="auto"/>
        <w:bottom w:val="none" w:sz="0" w:space="0" w:color="auto"/>
        <w:right w:val="none" w:sz="0" w:space="0" w:color="auto"/>
      </w:divBdr>
    </w:div>
    <w:div w:id="96415932">
      <w:bodyDiv w:val="1"/>
      <w:marLeft w:val="0"/>
      <w:marRight w:val="0"/>
      <w:marTop w:val="0"/>
      <w:marBottom w:val="0"/>
      <w:divBdr>
        <w:top w:val="none" w:sz="0" w:space="0" w:color="auto"/>
        <w:left w:val="none" w:sz="0" w:space="0" w:color="auto"/>
        <w:bottom w:val="none" w:sz="0" w:space="0" w:color="auto"/>
        <w:right w:val="none" w:sz="0" w:space="0" w:color="auto"/>
      </w:divBdr>
    </w:div>
    <w:div w:id="442843284">
      <w:bodyDiv w:val="1"/>
      <w:marLeft w:val="0"/>
      <w:marRight w:val="0"/>
      <w:marTop w:val="0"/>
      <w:marBottom w:val="0"/>
      <w:divBdr>
        <w:top w:val="none" w:sz="0" w:space="0" w:color="auto"/>
        <w:left w:val="none" w:sz="0" w:space="0" w:color="auto"/>
        <w:bottom w:val="none" w:sz="0" w:space="0" w:color="auto"/>
        <w:right w:val="none" w:sz="0" w:space="0" w:color="auto"/>
      </w:divBdr>
    </w:div>
    <w:div w:id="584532907">
      <w:bodyDiv w:val="1"/>
      <w:marLeft w:val="0"/>
      <w:marRight w:val="0"/>
      <w:marTop w:val="0"/>
      <w:marBottom w:val="0"/>
      <w:divBdr>
        <w:top w:val="none" w:sz="0" w:space="0" w:color="auto"/>
        <w:left w:val="none" w:sz="0" w:space="0" w:color="auto"/>
        <w:bottom w:val="none" w:sz="0" w:space="0" w:color="auto"/>
        <w:right w:val="none" w:sz="0" w:space="0" w:color="auto"/>
      </w:divBdr>
    </w:div>
    <w:div w:id="740181017">
      <w:bodyDiv w:val="1"/>
      <w:marLeft w:val="0"/>
      <w:marRight w:val="0"/>
      <w:marTop w:val="0"/>
      <w:marBottom w:val="0"/>
      <w:divBdr>
        <w:top w:val="none" w:sz="0" w:space="0" w:color="auto"/>
        <w:left w:val="none" w:sz="0" w:space="0" w:color="auto"/>
        <w:bottom w:val="none" w:sz="0" w:space="0" w:color="auto"/>
        <w:right w:val="none" w:sz="0" w:space="0" w:color="auto"/>
      </w:divBdr>
    </w:div>
    <w:div w:id="797917465">
      <w:bodyDiv w:val="1"/>
      <w:marLeft w:val="0"/>
      <w:marRight w:val="0"/>
      <w:marTop w:val="0"/>
      <w:marBottom w:val="0"/>
      <w:divBdr>
        <w:top w:val="none" w:sz="0" w:space="0" w:color="auto"/>
        <w:left w:val="none" w:sz="0" w:space="0" w:color="auto"/>
        <w:bottom w:val="none" w:sz="0" w:space="0" w:color="auto"/>
        <w:right w:val="none" w:sz="0" w:space="0" w:color="auto"/>
      </w:divBdr>
    </w:div>
    <w:div w:id="858473034">
      <w:bodyDiv w:val="1"/>
      <w:marLeft w:val="0"/>
      <w:marRight w:val="0"/>
      <w:marTop w:val="0"/>
      <w:marBottom w:val="0"/>
      <w:divBdr>
        <w:top w:val="none" w:sz="0" w:space="0" w:color="auto"/>
        <w:left w:val="none" w:sz="0" w:space="0" w:color="auto"/>
        <w:bottom w:val="none" w:sz="0" w:space="0" w:color="auto"/>
        <w:right w:val="none" w:sz="0" w:space="0" w:color="auto"/>
      </w:divBdr>
    </w:div>
    <w:div w:id="928390721">
      <w:bodyDiv w:val="1"/>
      <w:marLeft w:val="0"/>
      <w:marRight w:val="0"/>
      <w:marTop w:val="0"/>
      <w:marBottom w:val="0"/>
      <w:divBdr>
        <w:top w:val="none" w:sz="0" w:space="0" w:color="auto"/>
        <w:left w:val="none" w:sz="0" w:space="0" w:color="auto"/>
        <w:bottom w:val="none" w:sz="0" w:space="0" w:color="auto"/>
        <w:right w:val="none" w:sz="0" w:space="0" w:color="auto"/>
      </w:divBdr>
    </w:div>
    <w:div w:id="971447333">
      <w:bodyDiv w:val="1"/>
      <w:marLeft w:val="0"/>
      <w:marRight w:val="0"/>
      <w:marTop w:val="0"/>
      <w:marBottom w:val="0"/>
      <w:divBdr>
        <w:top w:val="none" w:sz="0" w:space="0" w:color="auto"/>
        <w:left w:val="none" w:sz="0" w:space="0" w:color="auto"/>
        <w:bottom w:val="none" w:sz="0" w:space="0" w:color="auto"/>
        <w:right w:val="none" w:sz="0" w:space="0" w:color="auto"/>
      </w:divBdr>
    </w:div>
    <w:div w:id="1137145111">
      <w:bodyDiv w:val="1"/>
      <w:marLeft w:val="0"/>
      <w:marRight w:val="0"/>
      <w:marTop w:val="0"/>
      <w:marBottom w:val="0"/>
      <w:divBdr>
        <w:top w:val="none" w:sz="0" w:space="0" w:color="auto"/>
        <w:left w:val="none" w:sz="0" w:space="0" w:color="auto"/>
        <w:bottom w:val="none" w:sz="0" w:space="0" w:color="auto"/>
        <w:right w:val="none" w:sz="0" w:space="0" w:color="auto"/>
      </w:divBdr>
    </w:div>
    <w:div w:id="1551376571">
      <w:bodyDiv w:val="1"/>
      <w:marLeft w:val="0"/>
      <w:marRight w:val="0"/>
      <w:marTop w:val="0"/>
      <w:marBottom w:val="0"/>
      <w:divBdr>
        <w:top w:val="none" w:sz="0" w:space="0" w:color="auto"/>
        <w:left w:val="none" w:sz="0" w:space="0" w:color="auto"/>
        <w:bottom w:val="none" w:sz="0" w:space="0" w:color="auto"/>
        <w:right w:val="none" w:sz="0" w:space="0" w:color="auto"/>
      </w:divBdr>
    </w:div>
    <w:div w:id="1586188487">
      <w:bodyDiv w:val="1"/>
      <w:marLeft w:val="0"/>
      <w:marRight w:val="0"/>
      <w:marTop w:val="0"/>
      <w:marBottom w:val="0"/>
      <w:divBdr>
        <w:top w:val="none" w:sz="0" w:space="0" w:color="auto"/>
        <w:left w:val="none" w:sz="0" w:space="0" w:color="auto"/>
        <w:bottom w:val="none" w:sz="0" w:space="0" w:color="auto"/>
        <w:right w:val="none" w:sz="0" w:space="0" w:color="auto"/>
      </w:divBdr>
    </w:div>
    <w:div w:id="1931696287">
      <w:bodyDiv w:val="1"/>
      <w:marLeft w:val="0"/>
      <w:marRight w:val="0"/>
      <w:marTop w:val="0"/>
      <w:marBottom w:val="0"/>
      <w:divBdr>
        <w:top w:val="none" w:sz="0" w:space="0" w:color="auto"/>
        <w:left w:val="none" w:sz="0" w:space="0" w:color="auto"/>
        <w:bottom w:val="none" w:sz="0" w:space="0" w:color="auto"/>
        <w:right w:val="none" w:sz="0" w:space="0" w:color="auto"/>
      </w:divBdr>
    </w:div>
    <w:div w:id="1956210744">
      <w:bodyDiv w:val="1"/>
      <w:marLeft w:val="0"/>
      <w:marRight w:val="0"/>
      <w:marTop w:val="0"/>
      <w:marBottom w:val="0"/>
      <w:divBdr>
        <w:top w:val="none" w:sz="0" w:space="0" w:color="auto"/>
        <w:left w:val="none" w:sz="0" w:space="0" w:color="auto"/>
        <w:bottom w:val="none" w:sz="0" w:space="0" w:color="auto"/>
        <w:right w:val="none" w:sz="0" w:space="0" w:color="auto"/>
      </w:divBdr>
    </w:div>
    <w:div w:id="20416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0301/hCjS" TargetMode="External"/><Relationship Id="rId13" Type="http://schemas.openxmlformats.org/officeDocument/2006/relationships/hyperlink" Target="http://www.nevo.co.il/law/70301" TargetMode="External"/><Relationship Id="rId18" Type="http://schemas.openxmlformats.org/officeDocument/2006/relationships/hyperlink" Target="http://www.nevo.co.il/law/70301/215.c" TargetMode="External"/><Relationship Id="rId3" Type="http://schemas.openxmlformats.org/officeDocument/2006/relationships/styles" Target="styles.xml"/><Relationship Id="rId21" Type="http://schemas.openxmlformats.org/officeDocument/2006/relationships/hyperlink" Target="http://www.nevo.co.il/law/70301/hCjS" TargetMode="External"/><Relationship Id="rId7" Type="http://schemas.openxmlformats.org/officeDocument/2006/relationships/hyperlink" Target="http://www.nevo.co.il/law/70301/199" TargetMode="External"/><Relationship Id="rId12" Type="http://schemas.openxmlformats.org/officeDocument/2006/relationships/hyperlink" Target="http://www.nevo.co.il/law/70301/215" TargetMode="External"/><Relationship Id="rId17" Type="http://schemas.openxmlformats.org/officeDocument/2006/relationships/hyperlink" Target="http://www.nevo.co.il/law/70301" TargetMode="External"/><Relationship Id="rId2" Type="http://schemas.openxmlformats.org/officeDocument/2006/relationships/numbering" Target="numbering.xml"/><Relationship Id="rId16" Type="http://schemas.openxmlformats.org/officeDocument/2006/relationships/hyperlink" Target="http://www.nevo.co.il/law/70301/215.c" TargetMode="External"/><Relationship Id="rId20" Type="http://schemas.openxmlformats.org/officeDocument/2006/relationships/hyperlink" Target="http://www.nevo.co.il/law/985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vo.co.il/law/70301/hCj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evo.co.il/law/98568" TargetMode="External"/><Relationship Id="rId23" Type="http://schemas.openxmlformats.org/officeDocument/2006/relationships/fontTable" Target="fontTable.xml"/><Relationship Id="rId10" Type="http://schemas.openxmlformats.org/officeDocument/2006/relationships/hyperlink" Target="http://www.nevo.co.il/law/70301" TargetMode="External"/><Relationship Id="rId19" Type="http://schemas.openxmlformats.org/officeDocument/2006/relationships/hyperlink" Target="http://www.nevo.co.il/law/98568" TargetMode="External"/><Relationship Id="rId4" Type="http://schemas.microsoft.com/office/2007/relationships/stylesWithEffects" Target="stylesWithEffects.xml"/><Relationship Id="rId9" Type="http://schemas.openxmlformats.org/officeDocument/2006/relationships/hyperlink" Target="http://www.nevo.co.il/law/70301/215" TargetMode="External"/><Relationship Id="rId14" Type="http://schemas.openxmlformats.org/officeDocument/2006/relationships/hyperlink" Target="http://www.nevo.co.il/law/98568/42.b" TargetMode="External"/><Relationship Id="rId22" Type="http://schemas.openxmlformats.org/officeDocument/2006/relationships/hyperlink" Target="http://www.nevo.co.il/law/703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CF9D-953E-4F0A-B75F-12F15645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825ACFC</Template>
  <TotalTime>337</TotalTime>
  <Pages>7</Pages>
  <Words>1623</Words>
  <Characters>8118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Porat</dc:creator>
  <cp:keywords/>
  <dc:description/>
  <cp:lastModifiedBy>Dana Rothschild</cp:lastModifiedBy>
  <cp:revision>18</cp:revision>
  <dcterms:created xsi:type="dcterms:W3CDTF">2018-10-29T09:05:00Z</dcterms:created>
  <dcterms:modified xsi:type="dcterms:W3CDTF">2018-11-12T12:32:00Z</dcterms:modified>
</cp:coreProperties>
</file>