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p>
      <w:pPr>
        <w:spacing w:after="0" w:line="240" w:lineRule="auto"/>
        <w:contextualSpacing/>
        <w:rPr>
          <w:rFonts w:ascii="David" w:hAnsi="David" w:cs="David"/>
          <w:b/>
          <w:bCs/>
          <w:sz w:val="24"/>
          <w:szCs w:val="24"/>
          <w:rtl/>
        </w:rPr>
      </w:pPr>
    </w:p>
    <w:p>
      <w:pPr>
        <w:contextualSpacing/>
        <w:rPr>
          <w:rFonts w:ascii="David" w:hAnsi="David" w:cs="David"/>
          <w:sz w:val="24"/>
          <w:szCs w:val="24"/>
          <w:rtl/>
        </w:rPr>
      </w:pPr>
      <w:r>
        <w:rPr>
          <w:rFonts w:ascii="David" w:hAnsi="David" w:cs="David" w:hint="cs"/>
          <w:sz w:val="24"/>
          <w:szCs w:val="24"/>
          <w:rtl/>
        </w:rPr>
        <w:t>נחתם ביום:</w:t>
      </w:r>
    </w:p>
    <w:p>
      <w:pPr>
        <w:contextualSpacing/>
        <w:rPr>
          <w:rFonts w:ascii="David" w:hAnsi="David" w:cs="David"/>
          <w:sz w:val="24"/>
          <w:szCs w:val="24"/>
          <w:rtl/>
        </w:rPr>
      </w:pPr>
      <w:r>
        <w:rPr>
          <w:rFonts w:ascii="David" w:hAnsi="David" w:cs="David" w:hint="cs"/>
          <w:sz w:val="24"/>
          <w:szCs w:val="24"/>
          <w:rtl/>
        </w:rPr>
        <w:t>מועד להגשה: 8.1.22 בהתאם להחלטה מיום 11.11.22</w:t>
      </w:r>
    </w:p>
    <w:p>
      <w:pPr>
        <w:spacing w:after="0" w:line="240" w:lineRule="auto"/>
        <w:contextualSpacing/>
        <w:rPr>
          <w:rFonts w:ascii="David" w:hAnsi="David" w:cs="David"/>
          <w:b/>
          <w:bCs/>
          <w:sz w:val="24"/>
          <w:szCs w:val="24"/>
          <w:rtl/>
        </w:rPr>
      </w:pPr>
      <w:r>
        <w:rPr>
          <w:rFonts w:ascii="David" w:hAnsi="David" w:cs="David"/>
          <w:b/>
          <w:bCs/>
          <w:sz w:val="24"/>
          <w:szCs w:val="24"/>
          <w:rtl/>
        </w:rPr>
        <w:t xml:space="preserve">בבית המשפט </w:t>
      </w:r>
      <w:r>
        <w:rPr>
          <w:rFonts w:ascii="David" w:hAnsi="David" w:cs="David" w:hint="cs"/>
          <w:b/>
          <w:bCs/>
          <w:sz w:val="24"/>
          <w:szCs w:val="24"/>
          <w:rtl/>
        </w:rPr>
        <w:t>המחוזי</w:t>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hint="cs"/>
          <w:b/>
          <w:bCs/>
          <w:sz w:val="24"/>
          <w:szCs w:val="24"/>
          <w:rtl/>
        </w:rPr>
        <w:t xml:space="preserve">   ערעור 7993-11-22</w:t>
      </w:r>
    </w:p>
    <w:p>
      <w:pPr>
        <w:spacing w:after="0" w:line="240" w:lineRule="auto"/>
        <w:contextualSpacing/>
        <w:rPr>
          <w:rFonts w:ascii="David" w:hAnsi="David" w:cs="David"/>
          <w:sz w:val="24"/>
          <w:szCs w:val="24"/>
          <w:rtl/>
        </w:rPr>
      </w:pPr>
      <w:r>
        <w:rPr>
          <w:rFonts w:ascii="David" w:hAnsi="David" w:cs="David" w:hint="cs"/>
          <w:b/>
          <w:bCs/>
          <w:sz w:val="24"/>
          <w:szCs w:val="24"/>
          <w:u w:val="single"/>
          <w:rtl/>
        </w:rPr>
        <w:t>מחוז מרכז</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 xml:space="preserve">         בפני הרכב הש' נד"ב, קיציס, רוטנברג</w:t>
      </w:r>
    </w:p>
    <w:p>
      <w:pPr>
        <w:spacing w:after="0" w:line="240" w:lineRule="auto"/>
        <w:contextualSpacing/>
        <w:rPr>
          <w:rFonts w:ascii="David" w:hAnsi="David" w:cs="David"/>
          <w:sz w:val="24"/>
          <w:szCs w:val="24"/>
          <w:rtl/>
        </w:rPr>
      </w:pP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 xml:space="preserve">  קבוע ליום 15.2.23</w:t>
      </w:r>
    </w:p>
    <w:p>
      <w:pPr>
        <w:contextualSpacing/>
        <w:rPr>
          <w:rFonts w:ascii="David" w:hAnsi="David" w:cs="David"/>
          <w:sz w:val="24"/>
          <w:szCs w:val="24"/>
          <w:rtl/>
        </w:rPr>
      </w:pPr>
    </w:p>
    <w:p>
      <w:pPr>
        <w:ind w:left="720" w:firstLine="720"/>
        <w:rPr>
          <w:rFonts w:ascii="David" w:hAnsi="David" w:cs="David"/>
          <w:b/>
          <w:bCs/>
          <w:sz w:val="28"/>
          <w:szCs w:val="28"/>
          <w:u w:val="single"/>
          <w:rtl/>
        </w:rPr>
      </w:pPr>
      <w:r>
        <w:rPr>
          <w:rFonts w:ascii="David" w:hAnsi="David" w:cs="David" w:hint="cs"/>
          <w:b/>
          <w:bCs/>
          <w:sz w:val="28"/>
          <w:szCs w:val="28"/>
          <w:u w:val="single"/>
          <w:rtl/>
        </w:rPr>
        <w:t>תשובה לערעור מטעם הימנותא בע"מ (המשיבה מס' 17)</w:t>
      </w:r>
    </w:p>
    <w:p>
      <w:pPr>
        <w:spacing w:line="276" w:lineRule="auto"/>
        <w:contextualSpacing/>
        <w:rPr>
          <w:rFonts w:ascii="David" w:hAnsi="David" w:cs="David"/>
          <w:sz w:val="24"/>
          <w:szCs w:val="24"/>
          <w:rtl/>
        </w:rPr>
      </w:pPr>
      <w:r>
        <w:rPr>
          <w:rFonts w:ascii="David" w:hAnsi="David" w:cs="David"/>
          <w:b/>
          <w:bCs/>
          <w:sz w:val="24"/>
          <w:szCs w:val="24"/>
          <w:u w:val="single"/>
          <w:rtl/>
        </w:rPr>
        <w:t>בעניין</w:t>
      </w:r>
      <w:r>
        <w:rPr>
          <w:rFonts w:ascii="David" w:hAnsi="David" w:cs="David"/>
          <w:sz w:val="24"/>
          <w:szCs w:val="24"/>
          <w:rtl/>
        </w:rPr>
        <w:t xml:space="preserve">: </w:t>
      </w:r>
      <w:r>
        <w:rPr>
          <w:rFonts w:ascii="David" w:hAnsi="David" w:cs="David"/>
          <w:sz w:val="24"/>
          <w:szCs w:val="24"/>
          <w:rtl/>
        </w:rPr>
        <w:tab/>
      </w:r>
      <w:r>
        <w:rPr>
          <w:rFonts w:ascii="David" w:hAnsi="David" w:cs="David"/>
          <w:sz w:val="24"/>
          <w:szCs w:val="24"/>
          <w:rtl/>
        </w:rPr>
        <w:tab/>
      </w:r>
    </w:p>
    <w:p>
      <w:pPr>
        <w:spacing w:line="276" w:lineRule="auto"/>
        <w:ind w:left="1440" w:firstLine="720"/>
        <w:rPr>
          <w:rFonts w:ascii="David" w:hAnsi="David" w:cs="David"/>
          <w:b/>
          <w:bCs/>
          <w:sz w:val="24"/>
          <w:szCs w:val="24"/>
          <w:rtl/>
        </w:rPr>
      </w:pPr>
      <w:r>
        <w:rPr>
          <w:rFonts w:ascii="David" w:hAnsi="David" w:cs="David" w:hint="cs"/>
          <w:b/>
          <w:bCs/>
          <w:sz w:val="24"/>
          <w:szCs w:val="24"/>
          <w:rtl/>
        </w:rPr>
        <w:t xml:space="preserve">עו"ד זיו כספי </w:t>
      </w:r>
      <w:r>
        <w:rPr>
          <w:rFonts w:ascii="David" w:hAnsi="David" w:cs="David"/>
          <w:b/>
          <w:bCs/>
          <w:sz w:val="24"/>
          <w:szCs w:val="24"/>
          <w:rtl/>
        </w:rPr>
        <w:t>–</w:t>
      </w:r>
      <w:r>
        <w:rPr>
          <w:rFonts w:ascii="David" w:hAnsi="David" w:cs="David" w:hint="cs"/>
          <w:b/>
          <w:bCs/>
          <w:sz w:val="24"/>
          <w:szCs w:val="24"/>
          <w:rtl/>
        </w:rPr>
        <w:t xml:space="preserve"> כונס נכסים</w:t>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hint="cs"/>
          <w:b/>
          <w:bCs/>
          <w:sz w:val="24"/>
          <w:szCs w:val="24"/>
          <w:u w:val="single"/>
          <w:rtl/>
        </w:rPr>
        <w:t>המערערים</w:t>
      </w:r>
      <w:r>
        <w:rPr>
          <w:rFonts w:ascii="David" w:hAnsi="David" w:cs="David" w:hint="cs"/>
          <w:b/>
          <w:bCs/>
          <w:sz w:val="24"/>
          <w:szCs w:val="24"/>
          <w:rtl/>
        </w:rPr>
        <w:t>;</w:t>
      </w:r>
    </w:p>
    <w:p>
      <w:pPr>
        <w:spacing w:line="276" w:lineRule="auto"/>
        <w:ind w:left="1440" w:firstLine="720"/>
        <w:rPr>
          <w:rFonts w:ascii="David" w:hAnsi="David" w:cs="David"/>
          <w:b/>
          <w:bCs/>
          <w:sz w:val="24"/>
          <w:szCs w:val="24"/>
          <w:rtl/>
        </w:rPr>
      </w:pPr>
      <w:r>
        <w:rPr>
          <w:rFonts w:ascii="David" w:hAnsi="David" w:cs="David" w:hint="cs"/>
          <w:b/>
          <w:bCs/>
          <w:sz w:val="24"/>
          <w:szCs w:val="24"/>
          <w:rtl/>
        </w:rPr>
        <w:t xml:space="preserve">עו"ד יובל טילינגר </w:t>
      </w:r>
      <w:r>
        <w:rPr>
          <w:rFonts w:ascii="David" w:hAnsi="David" w:cs="David"/>
          <w:b/>
          <w:bCs/>
          <w:sz w:val="24"/>
          <w:szCs w:val="24"/>
          <w:rtl/>
        </w:rPr>
        <w:t>–</w:t>
      </w:r>
      <w:r>
        <w:rPr>
          <w:rFonts w:ascii="David" w:hAnsi="David" w:cs="David" w:hint="cs"/>
          <w:b/>
          <w:bCs/>
          <w:sz w:val="24"/>
          <w:szCs w:val="24"/>
          <w:rtl/>
        </w:rPr>
        <w:t xml:space="preserve"> כונס נכסים</w:t>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p>
    <w:p>
      <w:pPr>
        <w:contextualSpacing/>
        <w:rPr>
          <w:rFonts w:ascii="David" w:hAnsi="David" w:cs="David"/>
          <w:sz w:val="24"/>
          <w:szCs w:val="24"/>
          <w:rtl/>
        </w:rPr>
      </w:pP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hint="cs"/>
          <w:sz w:val="24"/>
          <w:szCs w:val="24"/>
          <w:rtl/>
        </w:rPr>
        <w:t xml:space="preserve">ע"י ב"כ עוה"ד זיו כספי </w:t>
      </w:r>
    </w:p>
    <w:p>
      <w:pPr>
        <w:contextualSpacing/>
        <w:rPr>
          <w:rFonts w:ascii="David" w:hAnsi="David" w:cs="David"/>
          <w:sz w:val="24"/>
          <w:szCs w:val="24"/>
          <w:rtl/>
        </w:rPr>
      </w:pP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מרח' רוטשילד 15, ראשון לציון</w:t>
      </w:r>
    </w:p>
    <w:p>
      <w:pPr>
        <w:contextualSpacing/>
        <w:rPr>
          <w:rFonts w:ascii="David" w:hAnsi="David" w:cs="David"/>
          <w:sz w:val="24"/>
          <w:szCs w:val="24"/>
          <w:rtl/>
        </w:rPr>
      </w:pP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טל' 03-9640777 פקס: 03-9669841</w:t>
      </w:r>
    </w:p>
    <w:p>
      <w:pPr>
        <w:contextualSpacing/>
        <w:rPr>
          <w:rFonts w:ascii="David" w:hAnsi="David" w:cs="David"/>
          <w:rtl/>
        </w:rPr>
      </w:pPr>
      <w:r>
        <w:rPr>
          <w:rFonts w:ascii="David" w:hAnsi="David" w:cs="David"/>
          <w:sz w:val="24"/>
          <w:szCs w:val="24"/>
          <w:rtl/>
        </w:rPr>
        <w:tab/>
      </w:r>
      <w:r>
        <w:rPr>
          <w:rFonts w:ascii="David" w:hAnsi="David" w:cs="David"/>
          <w:sz w:val="24"/>
          <w:szCs w:val="24"/>
          <w:rtl/>
        </w:rPr>
        <w:tab/>
      </w:r>
    </w:p>
    <w:p>
      <w:pPr>
        <w:contextualSpacing/>
        <w:rPr>
          <w:rFonts w:ascii="David" w:hAnsi="David" w:cs="David"/>
          <w:sz w:val="24"/>
          <w:szCs w:val="24"/>
          <w:rtl/>
        </w:rPr>
      </w:pPr>
      <w:r>
        <w:rPr>
          <w:rFonts w:ascii="David" w:hAnsi="David" w:cs="David" w:hint="cs"/>
          <w:sz w:val="24"/>
          <w:szCs w:val="24"/>
          <w:rtl/>
        </w:rPr>
        <w:t xml:space="preserve"> </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hint="cs"/>
          <w:sz w:val="24"/>
          <w:szCs w:val="24"/>
          <w:rtl/>
        </w:rPr>
        <w:t xml:space="preserve">     </w:t>
      </w:r>
      <w:r>
        <w:rPr>
          <w:rFonts w:ascii="David" w:hAnsi="David" w:cs="David"/>
          <w:sz w:val="24"/>
          <w:szCs w:val="24"/>
          <w:rtl/>
        </w:rPr>
        <w:t>-נגד-</w:t>
      </w:r>
    </w:p>
    <w:p>
      <w:pPr>
        <w:contextualSpacing/>
        <w:rPr>
          <w:rFonts w:ascii="David" w:hAnsi="David" w:cs="David"/>
          <w:sz w:val="24"/>
          <w:szCs w:val="24"/>
        </w:rPr>
      </w:pP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p>
    <w:p>
      <w:pPr>
        <w:ind w:left="1440" w:firstLine="720"/>
        <w:rPr>
          <w:rFonts w:ascii="David" w:hAnsi="David" w:cs="David"/>
          <w:b/>
          <w:bCs/>
          <w:sz w:val="24"/>
          <w:szCs w:val="24"/>
          <w:rtl/>
        </w:rPr>
      </w:pPr>
      <w:r>
        <w:rPr>
          <w:rFonts w:ascii="David" w:hAnsi="David" w:cs="David" w:hint="cs"/>
          <w:b/>
          <w:bCs/>
          <w:sz w:val="24"/>
          <w:szCs w:val="24"/>
          <w:rtl/>
        </w:rPr>
        <w:t>הימנותא בע"מ ח.פ 510002298</w:t>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hint="cs"/>
          <w:b/>
          <w:bCs/>
          <w:sz w:val="24"/>
          <w:szCs w:val="24"/>
          <w:rtl/>
        </w:rPr>
        <w:t xml:space="preserve">          </w:t>
      </w:r>
      <w:r>
        <w:rPr>
          <w:rFonts w:ascii="David" w:hAnsi="David" w:cs="David" w:hint="cs"/>
          <w:b/>
          <w:bCs/>
          <w:sz w:val="24"/>
          <w:szCs w:val="24"/>
          <w:u w:val="single"/>
          <w:rtl/>
        </w:rPr>
        <w:t>המשיבה 17</w:t>
      </w:r>
      <w:r>
        <w:rPr>
          <w:rFonts w:ascii="David" w:hAnsi="David" w:cs="David" w:hint="cs"/>
          <w:b/>
          <w:bCs/>
          <w:sz w:val="24"/>
          <w:szCs w:val="24"/>
          <w:rtl/>
        </w:rPr>
        <w:t>;</w:t>
      </w:r>
    </w:p>
    <w:p>
      <w:pPr>
        <w:spacing w:line="240" w:lineRule="auto"/>
        <w:ind w:left="1440" w:firstLine="720"/>
        <w:contextualSpacing/>
        <w:rPr>
          <w:rFonts w:ascii="David" w:hAnsi="David" w:cs="David"/>
          <w:sz w:val="24"/>
          <w:szCs w:val="24"/>
          <w:rtl/>
        </w:rPr>
      </w:pPr>
      <w:r>
        <w:rPr>
          <w:rFonts w:ascii="David" w:hAnsi="David" w:cs="David"/>
          <w:sz w:val="24"/>
          <w:szCs w:val="24"/>
          <w:rtl/>
        </w:rPr>
        <w:t>ע</w:t>
      </w:r>
      <w:r>
        <w:rPr>
          <w:rFonts w:ascii="David" w:hAnsi="David" w:cs="David" w:hint="cs"/>
          <w:sz w:val="24"/>
          <w:szCs w:val="24"/>
          <w:rtl/>
        </w:rPr>
        <w:t>"י ב"כ משרד עורכי דין יוסי האזרחי</w:t>
      </w:r>
    </w:p>
    <w:p>
      <w:pPr>
        <w:spacing w:line="240" w:lineRule="auto"/>
        <w:ind w:left="1440" w:firstLine="720"/>
        <w:contextualSpacing/>
        <w:rPr>
          <w:rFonts w:ascii="David" w:hAnsi="David" w:cs="David"/>
          <w:sz w:val="24"/>
          <w:szCs w:val="24"/>
          <w:rtl/>
        </w:rPr>
      </w:pPr>
      <w:r>
        <w:rPr>
          <w:rFonts w:ascii="David" w:hAnsi="David" w:cs="David" w:hint="cs"/>
          <w:sz w:val="24"/>
          <w:szCs w:val="24"/>
          <w:rtl/>
        </w:rPr>
        <w:t xml:space="preserve">עוה"ד יוסי האזרחי מ.ר 58573 </w:t>
      </w:r>
    </w:p>
    <w:p>
      <w:pPr>
        <w:spacing w:line="240" w:lineRule="auto"/>
        <w:ind w:left="1440" w:firstLine="720"/>
        <w:contextualSpacing/>
        <w:rPr>
          <w:rFonts w:ascii="David" w:hAnsi="David" w:cs="David"/>
          <w:sz w:val="24"/>
          <w:szCs w:val="24"/>
          <w:rtl/>
        </w:rPr>
      </w:pPr>
      <w:r>
        <w:rPr>
          <w:rFonts w:ascii="David" w:hAnsi="David" w:cs="David" w:hint="cs"/>
          <w:sz w:val="24"/>
          <w:szCs w:val="24"/>
          <w:rtl/>
        </w:rPr>
        <w:t xml:space="preserve">ו/או עוה"ד דנה ברונשטיין מ.ר 63592 </w:t>
      </w:r>
    </w:p>
    <w:p>
      <w:pPr>
        <w:spacing w:line="240" w:lineRule="auto"/>
        <w:ind w:left="1440" w:firstLine="720"/>
        <w:contextualSpacing/>
        <w:rPr>
          <w:rFonts w:ascii="David" w:hAnsi="David" w:cs="David"/>
          <w:sz w:val="24"/>
          <w:szCs w:val="24"/>
          <w:rtl/>
        </w:rPr>
      </w:pPr>
      <w:r>
        <w:rPr>
          <w:rFonts w:ascii="David" w:hAnsi="David" w:cs="David" w:hint="cs"/>
          <w:sz w:val="24"/>
          <w:szCs w:val="24"/>
          <w:rtl/>
        </w:rPr>
        <w:t>משדרות דוד המלך 28, תל אביב</w:t>
      </w:r>
    </w:p>
    <w:p>
      <w:pPr>
        <w:spacing w:line="240" w:lineRule="auto"/>
        <w:ind w:left="1440" w:firstLine="720"/>
        <w:contextualSpacing/>
        <w:rPr>
          <w:rFonts w:ascii="David" w:hAnsi="David" w:cs="David"/>
          <w:sz w:val="24"/>
          <w:szCs w:val="24"/>
          <w:rtl/>
        </w:rPr>
      </w:pPr>
      <w:r>
        <w:rPr>
          <w:rFonts w:ascii="David" w:hAnsi="David" w:cs="David" w:hint="cs"/>
          <w:sz w:val="24"/>
          <w:szCs w:val="24"/>
          <w:rtl/>
        </w:rPr>
        <w:t>טל': 03-6959942 פקס: 1533-6959942</w:t>
      </w:r>
    </w:p>
    <w:p>
      <w:pPr>
        <w:spacing w:line="240" w:lineRule="auto"/>
        <w:ind w:left="1440" w:firstLine="720"/>
        <w:contextualSpacing/>
        <w:rPr>
          <w:rFonts w:ascii="David" w:hAnsi="David" w:cs="David"/>
          <w:sz w:val="24"/>
          <w:szCs w:val="24"/>
          <w:rtl/>
        </w:rPr>
      </w:pPr>
      <w:r>
        <w:rPr>
          <w:rFonts w:ascii="David" w:hAnsi="David" w:cs="David" w:hint="cs"/>
          <w:sz w:val="24"/>
          <w:szCs w:val="24"/>
          <w:rtl/>
        </w:rPr>
        <w:t xml:space="preserve">דוא"ל: </w:t>
      </w:r>
      <w:hyperlink r:id="rId4" w:history="1">
        <w:r>
          <w:rPr>
            <w:rStyle w:val="Hyperlink"/>
            <w:rFonts w:ascii="David" w:hAnsi="David" w:cs="David"/>
            <w:sz w:val="24"/>
            <w:szCs w:val="24"/>
          </w:rPr>
          <w:t>office@hylaw.co.il</w:t>
        </w:r>
      </w:hyperlink>
    </w:p>
    <w:p>
      <w:pPr>
        <w:contextualSpacing/>
        <w:rPr>
          <w:rFonts w:ascii="David" w:hAnsi="David" w:cs="David"/>
          <w:sz w:val="24"/>
          <w:szCs w:val="24"/>
        </w:rPr>
      </w:pPr>
    </w:p>
    <w:p>
      <w:pPr>
        <w:contextualSpacing/>
        <w:rPr>
          <w:rFonts w:ascii="David" w:hAnsi="David" w:cs="David"/>
          <w:sz w:val="24"/>
          <w:szCs w:val="24"/>
          <w:rtl/>
        </w:rPr>
      </w:pPr>
    </w:p>
    <w:p>
      <w:pPr>
        <w:spacing w:before="240" w:after="240" w:line="276" w:lineRule="auto"/>
        <w:ind w:left="-58"/>
        <w:jc w:val="both"/>
        <w:rPr>
          <w:rFonts w:ascii="David" w:hAnsi="David" w:cs="David"/>
          <w:sz w:val="24"/>
          <w:szCs w:val="24"/>
          <w:rtl/>
        </w:rPr>
      </w:pPr>
      <w:r>
        <w:rPr>
          <w:rFonts w:ascii="David" w:hAnsi="David" w:cs="David" w:hint="cs"/>
          <w:sz w:val="24"/>
          <w:szCs w:val="24"/>
          <w:rtl/>
        </w:rPr>
        <w:t>בהתאם להחלטת בית המשפט הנכבד מיום 11.11.22, מתכבדת בזאת המשיבה 17, הימנותא בע"מ (להלן גם: "</w:t>
      </w:r>
      <w:r>
        <w:rPr>
          <w:rFonts w:ascii="David" w:hAnsi="David" w:cs="David" w:hint="cs"/>
          <w:b/>
          <w:bCs/>
          <w:sz w:val="24"/>
          <w:szCs w:val="24"/>
          <w:rtl/>
        </w:rPr>
        <w:t>הימנותא</w:t>
      </w:r>
      <w:r>
        <w:rPr>
          <w:rFonts w:ascii="David" w:hAnsi="David" w:cs="David" w:hint="cs"/>
          <w:sz w:val="24"/>
          <w:szCs w:val="24"/>
          <w:rtl/>
        </w:rPr>
        <w:t>"), להגיש תשובה לערעור המערערים (להלן גם: "</w:t>
      </w:r>
      <w:r>
        <w:rPr>
          <w:rFonts w:ascii="David" w:hAnsi="David" w:cs="David" w:hint="cs"/>
          <w:b/>
          <w:bCs/>
          <w:sz w:val="24"/>
          <w:szCs w:val="24"/>
          <w:rtl/>
        </w:rPr>
        <w:t>כונסי הנכסים</w:t>
      </w:r>
      <w:r>
        <w:rPr>
          <w:rFonts w:ascii="David" w:hAnsi="David" w:cs="David" w:hint="cs"/>
          <w:sz w:val="24"/>
          <w:szCs w:val="24"/>
          <w:rtl/>
        </w:rPr>
        <w:t>").</w:t>
      </w:r>
    </w:p>
    <w:p>
      <w:pPr>
        <w:spacing w:before="240" w:after="240" w:line="276" w:lineRule="auto"/>
        <w:ind w:left="-58"/>
        <w:jc w:val="both"/>
        <w:rPr>
          <w:rFonts w:ascii="David" w:hAnsi="David" w:cs="David"/>
          <w:sz w:val="24"/>
          <w:szCs w:val="24"/>
          <w:rtl/>
        </w:rPr>
      </w:pPr>
      <w:r>
        <w:rPr>
          <w:rFonts w:ascii="David" w:hAnsi="David" w:cs="David" w:hint="cs"/>
          <w:sz w:val="24"/>
          <w:szCs w:val="24"/>
          <w:rtl/>
        </w:rPr>
        <w:t>בית המשפט יתבקש לדחות את הערעור תוך חיוב כונסי הנכסים בהוצאות הימנותא בצירוף שכ"ט הכולל מע"מ, וזאת מהטעמים שיפורטו להלן.</w:t>
      </w:r>
    </w:p>
    <w:p>
      <w:pPr>
        <w:spacing w:before="240" w:after="240" w:line="276" w:lineRule="auto"/>
        <w:ind w:left="-58"/>
        <w:jc w:val="both"/>
        <w:rPr>
          <w:rFonts w:cs="David"/>
          <w:b/>
          <w:bCs/>
          <w:sz w:val="24"/>
          <w:szCs w:val="24"/>
          <w:u w:val="single"/>
          <w:rtl/>
        </w:rPr>
      </w:pPr>
      <w:bookmarkStart w:id="0" w:name="_Hlk86837939"/>
      <w:r>
        <w:rPr>
          <w:rFonts w:cs="David" w:hint="cs"/>
          <w:b/>
          <w:bCs/>
          <w:sz w:val="24"/>
          <w:szCs w:val="24"/>
          <w:u w:val="single"/>
          <w:rtl/>
        </w:rPr>
        <w:t>נימוקי התשובה:</w:t>
      </w:r>
    </w:p>
    <w:p>
      <w:pPr>
        <w:spacing w:before="240" w:after="240" w:line="276" w:lineRule="auto"/>
        <w:ind w:left="-58"/>
        <w:jc w:val="both"/>
        <w:rPr>
          <w:rFonts w:cs="David"/>
          <w:b/>
          <w:bCs/>
          <w:sz w:val="24"/>
          <w:szCs w:val="24"/>
          <w:u w:val="single"/>
        </w:rPr>
      </w:pPr>
      <w:r>
        <w:rPr>
          <w:rFonts w:cs="David" w:hint="cs"/>
          <w:b/>
          <w:bCs/>
          <w:sz w:val="24"/>
          <w:szCs w:val="24"/>
          <w:u w:val="single"/>
          <w:rtl/>
        </w:rPr>
        <w:t>פתח דבר:</w:t>
      </w:r>
    </w:p>
    <w:p>
      <w:pPr>
        <w:numPr>
          <w:ilvl w:val="0"/>
          <w:numId w:val="1"/>
        </w:numPr>
        <w:spacing w:before="240" w:after="240" w:line="276" w:lineRule="auto"/>
        <w:ind w:left="-58" w:hanging="368"/>
        <w:jc w:val="both"/>
        <w:rPr>
          <w:rFonts w:cs="David"/>
          <w:sz w:val="24"/>
          <w:szCs w:val="24"/>
        </w:rPr>
      </w:pPr>
      <w:r>
        <w:rPr>
          <w:rFonts w:cs="David" w:hint="cs"/>
          <w:sz w:val="24"/>
          <w:szCs w:val="24"/>
          <w:rtl/>
        </w:rPr>
        <w:t>כונסי הנכסים הגישו בקשה מפורטת לפסיקת שכר הטרחה לבית משפט קמא ובהתאם הוגשה תשובה מטעם המשיבים, וביניהם הימנותא.</w:t>
      </w:r>
    </w:p>
    <w:p>
      <w:pPr>
        <w:numPr>
          <w:ilvl w:val="0"/>
          <w:numId w:val="1"/>
        </w:numPr>
        <w:spacing w:before="240" w:after="240" w:line="276" w:lineRule="auto"/>
        <w:ind w:left="-58" w:hanging="368"/>
        <w:jc w:val="both"/>
        <w:rPr>
          <w:rFonts w:cs="David"/>
          <w:sz w:val="24"/>
          <w:szCs w:val="24"/>
        </w:rPr>
      </w:pPr>
      <w:r>
        <w:rPr>
          <w:rFonts w:cs="David" w:hint="cs"/>
          <w:sz w:val="24"/>
          <w:szCs w:val="24"/>
          <w:rtl/>
        </w:rPr>
        <w:t>כונסי הנכסים אף הגיבו לתשובות המשיבים,ואילו בית המשפט קמא הנכבד הוציא תחת ידו החלטה מנומקת ומפורטת ובבסיסה התרשמותו הבלתי אמצעית מכל הנסיבות העובדתיות בתיק, לרבות, היקף עבודת כונסי הנכסים ואיכותה, התמורה שהתקבלה על ידי המשיבים וכיו"ב.</w:t>
      </w:r>
    </w:p>
    <w:p>
      <w:pPr>
        <w:numPr>
          <w:ilvl w:val="0"/>
          <w:numId w:val="1"/>
        </w:numPr>
        <w:spacing w:before="240" w:after="240" w:line="276" w:lineRule="auto"/>
        <w:ind w:left="-58" w:hanging="368"/>
        <w:jc w:val="both"/>
        <w:rPr>
          <w:rFonts w:cs="David"/>
          <w:sz w:val="24"/>
          <w:szCs w:val="24"/>
        </w:rPr>
      </w:pPr>
      <w:r>
        <w:rPr>
          <w:rFonts w:cs="David" w:hint="cs"/>
          <w:sz w:val="24"/>
          <w:szCs w:val="24"/>
          <w:rtl/>
        </w:rPr>
        <w:t>למעשה, הערעור דנא אינו מגלה כל עילה ו/או נימוק חדשים מאלה שכבר שטחו כונסי הנכסים בפני בית קמא הנכבד כאשר במסגרת הבקשה כונסי הנכסים אינם "תוקפים" את שיטת החישוב שבחר בית משפט קמא לצורך חישוב שכרם. כונסי הנכסים סבורים, פשוט, שבית משפט קמא הנכבד שגה כי הוא לא קבע מספר יותר גבוה. הא ותו לא.</w:t>
      </w:r>
    </w:p>
    <w:p>
      <w:pPr>
        <w:spacing w:before="240" w:after="240" w:line="276" w:lineRule="auto"/>
        <w:ind w:left="-58"/>
        <w:jc w:val="both"/>
        <w:rPr>
          <w:rFonts w:cs="David"/>
          <w:sz w:val="24"/>
          <w:szCs w:val="24"/>
        </w:rPr>
      </w:pPr>
      <w:r>
        <w:rPr>
          <w:rFonts w:cs="David" w:hint="cs"/>
          <w:sz w:val="24"/>
          <w:szCs w:val="24"/>
          <w:rtl/>
        </w:rPr>
        <w:t>בנסיבות אלה הרי שאין לבית משפט נכבד זה, כל יסוד לחרוג מההלכה המפורשת כי בית משפט לערעור לא יתערב בקביעת בית משפט קמא בנוגע לשכר טרחת בעלי תפקיד אלא במקרים חריגים.</w:t>
      </w:r>
    </w:p>
    <w:p>
      <w:pPr>
        <w:numPr>
          <w:ilvl w:val="0"/>
          <w:numId w:val="1"/>
        </w:numPr>
        <w:spacing w:before="240" w:after="240" w:line="276" w:lineRule="auto"/>
        <w:ind w:left="-58" w:hanging="368"/>
        <w:jc w:val="both"/>
        <w:rPr>
          <w:rFonts w:cs="David"/>
          <w:sz w:val="24"/>
          <w:szCs w:val="24"/>
        </w:rPr>
      </w:pPr>
      <w:r>
        <w:rPr>
          <w:rFonts w:cs="David" w:hint="cs"/>
          <w:sz w:val="24"/>
          <w:szCs w:val="24"/>
          <w:rtl/>
        </w:rPr>
        <w:t>נוכח האמור, הרי שקיים דמיון רב בין תשובת הימנותא לבקשת כונסי הנכסים לפסיקת שכ"ט בפני בית משפט קמא, לבין תשובת הימנותא לערעור כאן.</w:t>
      </w:r>
    </w:p>
    <w:p>
      <w:pPr>
        <w:spacing w:before="240" w:after="240" w:line="276" w:lineRule="auto"/>
        <w:ind w:left="-58"/>
        <w:jc w:val="both"/>
        <w:rPr>
          <w:rFonts w:cs="David"/>
          <w:b/>
          <w:bCs/>
          <w:sz w:val="24"/>
          <w:szCs w:val="24"/>
          <w:u w:val="single"/>
        </w:rPr>
      </w:pPr>
      <w:r>
        <w:rPr>
          <w:rFonts w:cs="David" w:hint="cs"/>
          <w:b/>
          <w:bCs/>
          <w:sz w:val="24"/>
          <w:szCs w:val="24"/>
          <w:u w:val="single"/>
          <w:rtl/>
        </w:rPr>
        <w:t>התייחסות הימנותא לערעור:</w:t>
      </w:r>
    </w:p>
    <w:p>
      <w:pPr>
        <w:numPr>
          <w:ilvl w:val="0"/>
          <w:numId w:val="1"/>
        </w:numPr>
        <w:spacing w:before="240" w:after="240" w:line="276" w:lineRule="auto"/>
        <w:ind w:left="-58" w:hanging="368"/>
        <w:jc w:val="both"/>
        <w:rPr>
          <w:rFonts w:cs="David"/>
          <w:sz w:val="24"/>
          <w:szCs w:val="24"/>
        </w:rPr>
      </w:pPr>
      <w:r>
        <w:rPr>
          <w:rFonts w:cs="David" w:hint="cs"/>
          <w:sz w:val="24"/>
          <w:szCs w:val="24"/>
          <w:rtl/>
        </w:rPr>
        <w:t xml:space="preserve">בטרם נפנה לפסיקה </w:t>
      </w:r>
      <w:r>
        <w:rPr>
          <w:rFonts w:cs="David" w:hint="cs"/>
          <w:sz w:val="24"/>
          <w:szCs w:val="24"/>
          <w:u w:val="single"/>
          <w:rtl/>
        </w:rPr>
        <w:t>העדכנית</w:t>
      </w:r>
      <w:r>
        <w:rPr>
          <w:rFonts w:cs="David" w:hint="cs"/>
          <w:sz w:val="24"/>
          <w:szCs w:val="24"/>
          <w:rtl/>
        </w:rPr>
        <w:t xml:space="preserve"> </w:t>
      </w:r>
      <w:r>
        <w:rPr>
          <w:rFonts w:cs="David" w:hint="cs"/>
          <w:sz w:val="24"/>
          <w:szCs w:val="24"/>
          <w:u w:val="single"/>
          <w:rtl/>
        </w:rPr>
        <w:t>והרלוונטית</w:t>
      </w:r>
      <w:r>
        <w:rPr>
          <w:rFonts w:cs="David" w:hint="cs"/>
          <w:sz w:val="24"/>
          <w:szCs w:val="24"/>
          <w:rtl/>
        </w:rPr>
        <w:t xml:space="preserve"> לנסיבות המקרה בפנינו נציין את העובדות הפשוטות אך מהותיות לבקשת כונסי הנכסים, להלן:</w:t>
      </w:r>
    </w:p>
    <w:p>
      <w:pPr>
        <w:pStyle w:val="ListParagraph"/>
        <w:numPr>
          <w:ilvl w:val="0"/>
          <w:numId w:val="4"/>
        </w:numPr>
        <w:spacing w:before="240" w:after="240" w:line="276" w:lineRule="auto"/>
        <w:jc w:val="both"/>
        <w:rPr>
          <w:rFonts w:cs="David"/>
          <w:sz w:val="24"/>
          <w:szCs w:val="24"/>
        </w:rPr>
      </w:pPr>
      <w:r>
        <w:rPr>
          <w:rFonts w:cs="David" w:hint="cs"/>
          <w:sz w:val="24"/>
          <w:szCs w:val="24"/>
          <w:rtl/>
        </w:rPr>
        <w:t>הימנותא הינה חברת בת של קרן קיימת לישראל ומהווה את זרוע המקרקעין של הקרן הקיימת לישראל, וככזאת, הינה גורם מקצועי העוסק בנדלן, ומעסיק עשרות עובדים שכל עיסוקם הינו ניהול נדלן שמצוי בבעלות הימנותא.</w:t>
      </w:r>
    </w:p>
    <w:p>
      <w:pPr>
        <w:pStyle w:val="ListParagraph"/>
        <w:spacing w:before="240" w:after="240" w:line="276" w:lineRule="auto"/>
        <w:ind w:left="302"/>
        <w:jc w:val="both"/>
        <w:rPr>
          <w:rFonts w:cs="David"/>
          <w:sz w:val="24"/>
          <w:szCs w:val="24"/>
        </w:rPr>
      </w:pPr>
    </w:p>
    <w:p>
      <w:pPr>
        <w:pStyle w:val="ListParagraph"/>
        <w:numPr>
          <w:ilvl w:val="0"/>
          <w:numId w:val="4"/>
        </w:numPr>
        <w:spacing w:before="240" w:after="240" w:line="276" w:lineRule="auto"/>
        <w:jc w:val="both"/>
        <w:rPr>
          <w:rFonts w:cs="David"/>
          <w:sz w:val="24"/>
          <w:szCs w:val="24"/>
        </w:rPr>
      </w:pPr>
      <w:r>
        <w:rPr>
          <w:rFonts w:cs="David" w:hint="cs"/>
          <w:sz w:val="24"/>
          <w:szCs w:val="24"/>
          <w:rtl/>
        </w:rPr>
        <w:t>הימנותא מחזיקה  29.744% מחטיבת המקרקעין נשוא ערעור זה.</w:t>
      </w:r>
    </w:p>
    <w:p>
      <w:pPr>
        <w:pStyle w:val="ListParagraph"/>
        <w:rPr>
          <w:rFonts w:cs="David"/>
          <w:sz w:val="24"/>
          <w:szCs w:val="24"/>
          <w:rtl/>
        </w:rPr>
      </w:pPr>
    </w:p>
    <w:p>
      <w:pPr>
        <w:pStyle w:val="ListParagraph"/>
        <w:numPr>
          <w:ilvl w:val="0"/>
          <w:numId w:val="4"/>
        </w:numPr>
        <w:spacing w:before="240" w:after="240" w:line="276" w:lineRule="auto"/>
        <w:jc w:val="both"/>
        <w:rPr>
          <w:rFonts w:cs="David"/>
          <w:sz w:val="24"/>
          <w:szCs w:val="24"/>
        </w:rPr>
      </w:pPr>
      <w:r>
        <w:rPr>
          <w:rFonts w:cs="David" w:hint="cs"/>
          <w:sz w:val="24"/>
          <w:szCs w:val="24"/>
          <w:rtl/>
        </w:rPr>
        <w:t xml:space="preserve">בהתאם, חלקה של הימנותא מהתמורה הינו בשיעור 29.744%, כך שחלקה בסכום התמורה המלא מסתכם בסך של </w:t>
      </w:r>
      <w:r>
        <w:rPr>
          <w:rFonts w:cs="David" w:hint="cs"/>
          <w:b/>
          <w:bCs/>
          <w:sz w:val="24"/>
          <w:szCs w:val="24"/>
          <w:u w:val="single"/>
          <w:rtl/>
        </w:rPr>
        <w:t>9,666,880 ₪</w:t>
      </w:r>
      <w:r>
        <w:rPr>
          <w:rFonts w:cs="David" w:hint="cs"/>
          <w:sz w:val="24"/>
          <w:szCs w:val="24"/>
          <w:rtl/>
        </w:rPr>
        <w:t xml:space="preserve"> בצירוף מע"מ.</w:t>
      </w:r>
    </w:p>
    <w:p>
      <w:pPr>
        <w:pStyle w:val="ListParagraph"/>
        <w:spacing w:before="240" w:after="240" w:line="276" w:lineRule="auto"/>
        <w:ind w:left="302"/>
        <w:jc w:val="both"/>
        <w:rPr>
          <w:rFonts w:cs="David"/>
          <w:sz w:val="24"/>
          <w:szCs w:val="24"/>
        </w:rPr>
      </w:pPr>
    </w:p>
    <w:p>
      <w:pPr>
        <w:pStyle w:val="ListParagraph"/>
        <w:numPr>
          <w:ilvl w:val="0"/>
          <w:numId w:val="4"/>
        </w:numPr>
        <w:spacing w:before="240" w:after="240" w:line="276" w:lineRule="auto"/>
        <w:jc w:val="both"/>
        <w:rPr>
          <w:rFonts w:cs="David"/>
          <w:sz w:val="24"/>
          <w:szCs w:val="24"/>
        </w:rPr>
      </w:pPr>
      <w:r>
        <w:rPr>
          <w:rFonts w:cs="David" w:hint="cs"/>
          <w:sz w:val="24"/>
          <w:szCs w:val="24"/>
          <w:rtl/>
        </w:rPr>
        <w:t xml:space="preserve">הווי אומר, ככל שבית המשפט הנכבד ייעתר לערעור כונסי הנכסים, תידרש הימנותא לשלם שכר טרחה בסך </w:t>
      </w:r>
      <w:r>
        <w:rPr>
          <w:rFonts w:cs="David" w:hint="cs"/>
          <w:b/>
          <w:bCs/>
          <w:sz w:val="24"/>
          <w:szCs w:val="24"/>
          <w:u w:val="single"/>
          <w:rtl/>
        </w:rPr>
        <w:t xml:space="preserve"> כמיליון ₪ לכונסי הנכסים</w:t>
      </w:r>
      <w:r>
        <w:rPr>
          <w:rFonts w:cs="David" w:hint="cs"/>
          <w:sz w:val="24"/>
          <w:szCs w:val="24"/>
          <w:rtl/>
        </w:rPr>
        <w:t>, רק עבור ה"</w:t>
      </w:r>
      <w:r>
        <w:rPr>
          <w:rFonts w:cs="David" w:hint="cs"/>
          <w:b/>
          <w:bCs/>
          <w:sz w:val="24"/>
          <w:szCs w:val="24"/>
          <w:rtl/>
        </w:rPr>
        <w:t>זכות</w:t>
      </w:r>
      <w:r>
        <w:rPr>
          <w:rFonts w:cs="David" w:hint="cs"/>
          <w:sz w:val="24"/>
          <w:szCs w:val="24"/>
          <w:rtl/>
        </w:rPr>
        <w:t>" להשתתף בהליך פירוק השיתוף.</w:t>
      </w:r>
    </w:p>
    <w:p>
      <w:pPr>
        <w:pStyle w:val="ListParagraph"/>
        <w:rPr>
          <w:rFonts w:cs="David"/>
          <w:sz w:val="24"/>
          <w:szCs w:val="24"/>
          <w:rtl/>
        </w:rPr>
      </w:pPr>
    </w:p>
    <w:p>
      <w:pPr>
        <w:pStyle w:val="ListParagraph"/>
        <w:spacing w:before="240" w:after="240" w:line="276" w:lineRule="auto"/>
        <w:ind w:left="302"/>
        <w:jc w:val="both"/>
        <w:rPr>
          <w:rFonts w:cs="David"/>
          <w:sz w:val="24"/>
          <w:szCs w:val="24"/>
        </w:rPr>
      </w:pPr>
      <w:r>
        <w:rPr>
          <w:rFonts w:cs="David" w:hint="cs"/>
          <w:sz w:val="24"/>
          <w:szCs w:val="24"/>
          <w:rtl/>
        </w:rPr>
        <w:t>בכל הכבוד, שכה"ט אותו מבקשים כונסי הנכסים מהימנותא לשלם עומד על כ-</w:t>
      </w:r>
      <w:r>
        <w:rPr>
          <w:rFonts w:cs="David" w:hint="cs"/>
          <w:b/>
          <w:bCs/>
          <w:sz w:val="24"/>
          <w:szCs w:val="24"/>
          <w:u w:val="single"/>
          <w:rtl/>
        </w:rPr>
        <w:t>10%</w:t>
      </w:r>
      <w:r>
        <w:rPr>
          <w:rFonts w:cs="David" w:hint="cs"/>
          <w:sz w:val="24"/>
          <w:szCs w:val="24"/>
          <w:rtl/>
        </w:rPr>
        <w:t xml:space="preserve"> מחלקה של הימנותא בתמורה </w:t>
      </w:r>
      <w:r>
        <w:rPr>
          <w:rFonts w:cs="David"/>
          <w:sz w:val="24"/>
          <w:szCs w:val="24"/>
          <w:rtl/>
        </w:rPr>
        <w:t>–</w:t>
      </w:r>
      <w:r>
        <w:rPr>
          <w:rFonts w:cs="David" w:hint="cs"/>
          <w:sz w:val="24"/>
          <w:szCs w:val="24"/>
          <w:rtl/>
        </w:rPr>
        <w:t xml:space="preserve"> סכום דמיוני לכל הדעות.</w:t>
      </w:r>
    </w:p>
    <w:p>
      <w:pPr>
        <w:pStyle w:val="ListParagraph"/>
        <w:rPr>
          <w:rFonts w:cs="David"/>
          <w:sz w:val="24"/>
          <w:szCs w:val="24"/>
          <w:rtl/>
        </w:rPr>
      </w:pPr>
    </w:p>
    <w:p>
      <w:pPr>
        <w:pStyle w:val="ListParagraph"/>
        <w:numPr>
          <w:ilvl w:val="0"/>
          <w:numId w:val="4"/>
        </w:numPr>
        <w:spacing w:before="240" w:after="240" w:line="276" w:lineRule="auto"/>
        <w:jc w:val="both"/>
        <w:rPr>
          <w:rFonts w:cs="David"/>
          <w:sz w:val="24"/>
          <w:szCs w:val="24"/>
        </w:rPr>
      </w:pPr>
      <w:r>
        <w:rPr>
          <w:rFonts w:cs="David" w:hint="cs"/>
          <w:sz w:val="24"/>
          <w:szCs w:val="24"/>
          <w:rtl/>
        </w:rPr>
        <w:t xml:space="preserve">ודוק, בשל היקף אחזקתה של הימנותא במקרקעין, הרי שחלקה "הסגולי" בהיקף העבודה המתואר על ידי כונסי הנכסים, קרי "השירות" שקיבלה הימנותא מכונסי הנכסים, פחות ביחס למשקל העבודה שנדרשו כונסי הנכסים לבצע לצורך טיפול במשיבים הפרטיים - אלא שמי שמממן מיליוני ₪ משכר הטרחה של כונסי הנכסים, הם דווקא הימנותא ורמ"י. </w:t>
      </w:r>
    </w:p>
    <w:p>
      <w:pPr>
        <w:pStyle w:val="ListParagraph"/>
        <w:rPr>
          <w:rFonts w:cs="David"/>
          <w:sz w:val="24"/>
          <w:szCs w:val="24"/>
          <w:rtl/>
        </w:rPr>
      </w:pPr>
    </w:p>
    <w:p>
      <w:pPr>
        <w:pStyle w:val="ListParagraph"/>
        <w:numPr>
          <w:ilvl w:val="0"/>
          <w:numId w:val="4"/>
        </w:numPr>
        <w:spacing w:before="240" w:after="240" w:line="276" w:lineRule="auto"/>
        <w:jc w:val="both"/>
        <w:rPr>
          <w:rFonts w:cs="David"/>
          <w:sz w:val="24"/>
          <w:szCs w:val="24"/>
        </w:rPr>
      </w:pPr>
      <w:r>
        <w:rPr>
          <w:rFonts w:cs="David" w:hint="cs"/>
          <w:sz w:val="24"/>
          <w:szCs w:val="24"/>
          <w:rtl/>
        </w:rPr>
        <w:t xml:space="preserve">ודוק, ובכל הכבוד לכונסי הנכסים, הימנותא יודעת לנהל הליך פירוק שיתוף באמצעות עובדיה ו/או עורכי דינה, יודעת לנהל הליכי איחוד וחלוקה, יודעת לרשום תכניות לצרכי רישום, ואף יודעת למכור מקרקעין, תוך השאת התמורה, בעצמה </w:t>
      </w:r>
      <w:r>
        <w:rPr>
          <w:rFonts w:cs="David"/>
          <w:sz w:val="24"/>
          <w:szCs w:val="24"/>
          <w:rtl/>
        </w:rPr>
        <w:t>–</w:t>
      </w:r>
      <w:r>
        <w:rPr>
          <w:rFonts w:cs="David" w:hint="cs"/>
          <w:sz w:val="24"/>
          <w:szCs w:val="24"/>
          <w:rtl/>
        </w:rPr>
        <w:t xml:space="preserve"> זהו עיסוקה.</w:t>
      </w:r>
    </w:p>
    <w:p>
      <w:pPr>
        <w:pStyle w:val="ListParagraph"/>
        <w:rPr>
          <w:rFonts w:cs="David"/>
          <w:sz w:val="24"/>
          <w:szCs w:val="24"/>
          <w:rtl/>
        </w:rPr>
      </w:pPr>
    </w:p>
    <w:p>
      <w:pPr>
        <w:pStyle w:val="ListParagraph"/>
        <w:numPr>
          <w:ilvl w:val="0"/>
          <w:numId w:val="4"/>
        </w:numPr>
        <w:spacing w:before="240" w:after="240" w:line="276" w:lineRule="auto"/>
        <w:jc w:val="both"/>
        <w:rPr>
          <w:rFonts w:cs="David"/>
          <w:sz w:val="24"/>
          <w:szCs w:val="24"/>
        </w:rPr>
      </w:pPr>
      <w:r>
        <w:rPr>
          <w:rFonts w:cs="David" w:hint="cs"/>
          <w:sz w:val="24"/>
          <w:szCs w:val="24"/>
          <w:rtl/>
        </w:rPr>
        <w:t>הציפייה שהימנותא תשלם כ-10%(!!!) מהתמורה שהתקבלה על ידה עבור מקרקעין שהייתה יכולה למכור בכוחות עצמה לפני שנים רבות, איננה סבירה או ראויה.</w:t>
      </w:r>
    </w:p>
    <w:p>
      <w:pPr>
        <w:pStyle w:val="ListParagraph"/>
        <w:rPr>
          <w:rFonts w:cs="David"/>
          <w:sz w:val="24"/>
          <w:szCs w:val="24"/>
          <w:rtl/>
        </w:rPr>
      </w:pPr>
    </w:p>
    <w:p>
      <w:pPr>
        <w:pStyle w:val="ListParagraph"/>
        <w:numPr>
          <w:ilvl w:val="0"/>
          <w:numId w:val="4"/>
        </w:numPr>
        <w:spacing w:before="240" w:after="240" w:line="276" w:lineRule="auto"/>
        <w:jc w:val="both"/>
        <w:rPr>
          <w:rFonts w:cs="David"/>
          <w:sz w:val="24"/>
          <w:szCs w:val="24"/>
        </w:rPr>
      </w:pPr>
      <w:r>
        <w:rPr>
          <w:rFonts w:cs="David" w:hint="cs"/>
          <w:sz w:val="24"/>
          <w:szCs w:val="24"/>
          <w:rtl/>
        </w:rPr>
        <w:t>גם מבקשת כונסי הנכסים עולה בבירור כי מרבית העבודה שבוצעה בוצעה עבור ובגין אחזקת הפרטיים במקרקעין (שכזכור מהווה כשליש מהמקרקעין), ובכלל, בכל הכבוד ומבלי לגרוע מהעבודה אשר בוצעה על ידי כונסי הנכסים, הרי שלא מדובר בעבודה חריגה בהיקפה בהליך מסוג זה.</w:t>
      </w:r>
    </w:p>
    <w:p>
      <w:pPr>
        <w:pStyle w:val="ListParagraph"/>
        <w:rPr>
          <w:rFonts w:cs="David"/>
          <w:sz w:val="24"/>
          <w:szCs w:val="24"/>
          <w:rtl/>
        </w:rPr>
      </w:pPr>
    </w:p>
    <w:p>
      <w:pPr>
        <w:pStyle w:val="ListParagraph"/>
        <w:numPr>
          <w:ilvl w:val="0"/>
          <w:numId w:val="4"/>
        </w:numPr>
        <w:spacing w:before="240" w:after="240" w:line="276" w:lineRule="auto"/>
        <w:jc w:val="both"/>
        <w:rPr>
          <w:rFonts w:cs="David"/>
          <w:sz w:val="24"/>
          <w:szCs w:val="24"/>
        </w:rPr>
      </w:pPr>
      <w:r>
        <w:rPr>
          <w:rFonts w:cs="David" w:hint="cs"/>
          <w:sz w:val="24"/>
          <w:szCs w:val="24"/>
          <w:rtl/>
        </w:rPr>
        <w:t>בהקשר זה, דווקא התקופה הארוכה בה התנהל ההליך, חלקה מכורח המציאות וחלקה מפאת גרירת רגליים של כונסי הנכסים, היא שתרמה לעליית ערך הקרקע, ולא, להבדיל, פעולות "השבחה" שביצעו כונסי הנכסים.</w:t>
      </w:r>
    </w:p>
    <w:p>
      <w:pPr>
        <w:pStyle w:val="ListParagraph"/>
        <w:rPr>
          <w:rFonts w:cs="David"/>
          <w:sz w:val="24"/>
          <w:szCs w:val="24"/>
          <w:rtl/>
        </w:rPr>
      </w:pPr>
    </w:p>
    <w:p>
      <w:pPr>
        <w:pStyle w:val="ListParagraph"/>
        <w:spacing w:before="240" w:after="240" w:line="276" w:lineRule="auto"/>
        <w:ind w:left="302"/>
        <w:jc w:val="both"/>
        <w:rPr>
          <w:rFonts w:cs="David"/>
          <w:sz w:val="24"/>
          <w:szCs w:val="24"/>
          <w:rtl/>
        </w:rPr>
      </w:pPr>
      <w:r>
        <w:rPr>
          <w:rFonts w:cs="David" w:hint="cs"/>
          <w:sz w:val="24"/>
          <w:szCs w:val="24"/>
          <w:rtl/>
        </w:rPr>
        <w:t>הרי גם אם כונסי הנכסים היו יושבים ולא עושים דבר משנת 2012 ועד היום, ערך הקרקע היה עולה בהתאם לשוק הנדלן שכידוע עלה בעשרות אחוזים ואף למעלה מכך.</w:t>
      </w:r>
    </w:p>
    <w:p>
      <w:pPr>
        <w:pStyle w:val="ListParagraph"/>
        <w:spacing w:before="240" w:after="240" w:line="276" w:lineRule="auto"/>
        <w:ind w:left="302"/>
        <w:jc w:val="both"/>
        <w:rPr>
          <w:rFonts w:cs="David"/>
          <w:sz w:val="24"/>
          <w:szCs w:val="24"/>
          <w:rtl/>
        </w:rPr>
      </w:pPr>
    </w:p>
    <w:p>
      <w:pPr>
        <w:pStyle w:val="ListParagraph"/>
        <w:numPr>
          <w:ilvl w:val="0"/>
          <w:numId w:val="4"/>
        </w:numPr>
        <w:spacing w:before="240" w:after="240" w:line="276" w:lineRule="auto"/>
        <w:jc w:val="both"/>
        <w:rPr>
          <w:rFonts w:cs="David"/>
          <w:sz w:val="24"/>
          <w:szCs w:val="24"/>
        </w:rPr>
      </w:pPr>
      <w:r>
        <w:rPr>
          <w:rFonts w:cs="David" w:hint="cs"/>
          <w:sz w:val="24"/>
          <w:szCs w:val="24"/>
          <w:rtl/>
        </w:rPr>
        <w:t>בהקשר זה, הרי יש לציין גם כי תקופת הזמן שחלפה בין מועד השמאות הראשונה (2012) למועד השמאות השנייה (2014) למועד ההתמחרות (2017) הינה תקופה בה ערך הקרקעות עלה בעשרות אחוזים כך שיש לייחס לעליית מחירי הנדלן, ולא לפעולות ייחודיות שביצעו כונסי הנכסים, את רוב ההפרש (אם לא כולו) בין מחיר התמורה למחיר השמאות.</w:t>
      </w:r>
    </w:p>
    <w:p>
      <w:pPr>
        <w:pStyle w:val="ListParagraph"/>
        <w:spacing w:before="240" w:after="240" w:line="276" w:lineRule="auto"/>
        <w:ind w:left="302"/>
        <w:jc w:val="both"/>
        <w:rPr>
          <w:rFonts w:cs="David"/>
          <w:sz w:val="24"/>
          <w:szCs w:val="24"/>
        </w:rPr>
      </w:pPr>
    </w:p>
    <w:p>
      <w:pPr>
        <w:pStyle w:val="ListParagraph"/>
        <w:numPr>
          <w:ilvl w:val="0"/>
          <w:numId w:val="4"/>
        </w:numPr>
        <w:spacing w:before="240" w:after="240" w:line="276" w:lineRule="auto"/>
        <w:jc w:val="both"/>
        <w:rPr>
          <w:rFonts w:cs="David"/>
          <w:sz w:val="24"/>
          <w:szCs w:val="24"/>
        </w:rPr>
      </w:pPr>
      <w:r>
        <w:rPr>
          <w:rFonts w:cs="David" w:hint="cs"/>
          <w:sz w:val="24"/>
          <w:szCs w:val="24"/>
          <w:rtl/>
        </w:rPr>
        <w:t xml:space="preserve">ובכל כונסי הנכסים לא טענו בפני בית משפט קמא הנכבד, ואף לא בערעור, כי ביצעו פעולות השבחה כגון ייזום תב"ע, ניסוח וחתימת הסכמי שיתוף וכיו"ב </w:t>
      </w:r>
      <w:r>
        <w:rPr>
          <w:rFonts w:cs="David"/>
          <w:sz w:val="24"/>
          <w:szCs w:val="24"/>
          <w:rtl/>
        </w:rPr>
        <w:t>–</w:t>
      </w:r>
      <w:r>
        <w:rPr>
          <w:rFonts w:cs="David" w:hint="cs"/>
          <w:sz w:val="24"/>
          <w:szCs w:val="24"/>
          <w:rtl/>
        </w:rPr>
        <w:t xml:space="preserve"> כונסי הנכסים, מבלי להמעיט מכבודם כמובן, פשוט מכרו חטיבת קרקע.</w:t>
      </w:r>
    </w:p>
    <w:p>
      <w:pPr>
        <w:pStyle w:val="ListParagraph"/>
        <w:rPr>
          <w:rFonts w:cs="David" w:hint="cs"/>
          <w:sz w:val="24"/>
          <w:szCs w:val="24"/>
          <w:rtl/>
        </w:rPr>
      </w:pPr>
    </w:p>
    <w:p>
      <w:pPr>
        <w:pStyle w:val="ListParagraph"/>
        <w:spacing w:before="240" w:after="240" w:line="276" w:lineRule="auto"/>
        <w:ind w:left="302"/>
        <w:jc w:val="both"/>
        <w:rPr>
          <w:rFonts w:cs="David"/>
          <w:sz w:val="24"/>
          <w:szCs w:val="24"/>
        </w:rPr>
      </w:pPr>
      <w:r>
        <w:rPr>
          <w:rFonts w:cs="David" w:hint="cs"/>
          <w:sz w:val="24"/>
          <w:szCs w:val="24"/>
          <w:rtl/>
        </w:rPr>
        <w:t>פעולה שעלולה להיות סיזיפית בשל הצורך "להתעסק" עם מספר רב של מחזיקים פרטיים, אך אינה דורשת, מקצועיות ו/או פעולות מורכבות באופן יוצא דופן.</w:t>
      </w:r>
    </w:p>
    <w:p>
      <w:pPr>
        <w:pStyle w:val="ListParagraph"/>
        <w:rPr>
          <w:rFonts w:cs="David"/>
          <w:sz w:val="24"/>
          <w:szCs w:val="24"/>
          <w:rtl/>
        </w:rPr>
      </w:pPr>
    </w:p>
    <w:p>
      <w:pPr>
        <w:pStyle w:val="ListParagraph"/>
        <w:numPr>
          <w:ilvl w:val="0"/>
          <w:numId w:val="4"/>
        </w:numPr>
        <w:spacing w:before="240" w:after="240" w:line="276" w:lineRule="auto"/>
        <w:jc w:val="both"/>
        <w:rPr>
          <w:rFonts w:cs="David"/>
          <w:sz w:val="24"/>
          <w:szCs w:val="24"/>
        </w:rPr>
      </w:pPr>
      <w:r>
        <w:rPr>
          <w:rFonts w:cs="David" w:hint="cs"/>
          <w:sz w:val="24"/>
          <w:szCs w:val="24"/>
          <w:rtl/>
        </w:rPr>
        <w:t xml:space="preserve">בנקודה זו, ומבלי להטיל דופי במקצועיות כונסי הנכסים, הרי שיש לציין את חלוף הזמן ממועד ביצוע ההתמחרות ועד להגשת דוח סופי (למעלה מ-4 שנים) במסגרתם ניכר, לפחות מהנתונים שהועברו, כי כספיה של הימנותא בחשבון הנאמנות לא צברו רווחים כלשהם </w:t>
      </w:r>
      <w:r>
        <w:rPr>
          <w:rFonts w:cs="David"/>
          <w:sz w:val="24"/>
          <w:szCs w:val="24"/>
          <w:rtl/>
        </w:rPr>
        <w:t>–</w:t>
      </w:r>
      <w:r>
        <w:rPr>
          <w:rFonts w:cs="David" w:hint="cs"/>
          <w:sz w:val="24"/>
          <w:szCs w:val="24"/>
          <w:rtl/>
        </w:rPr>
        <w:t xml:space="preserve"> כך לפחות למיטב הבנת הימנותא מהנתונים שהועברו; וכן, את הזמן הרב שלקח לכונסי הנכסים להעביר להימנותא את התמורה לאחר אישור המכר ואף באופן שמפר את החלטת בית המשפט הנכבד. למען הסר ספק, עד </w:t>
      </w:r>
      <w:r>
        <w:rPr>
          <w:rFonts w:cs="David" w:hint="cs"/>
          <w:sz w:val="24"/>
          <w:szCs w:val="24"/>
          <w:highlight w:val="yellow"/>
          <w:rtl/>
        </w:rPr>
        <w:t>היום</w:t>
      </w:r>
      <w:r>
        <w:rPr>
          <w:rFonts w:cs="David" w:hint="cs"/>
          <w:sz w:val="24"/>
          <w:szCs w:val="24"/>
          <w:rtl/>
        </w:rPr>
        <w:t xml:space="preserve"> </w:t>
      </w:r>
      <w:r>
        <w:rPr>
          <w:rFonts w:cs="David" w:hint="cs"/>
          <w:sz w:val="24"/>
          <w:szCs w:val="24"/>
          <w:u w:val="single"/>
        </w:rPr>
        <w:t xml:space="preserve">                                            </w:t>
      </w:r>
      <w:r>
        <w:rPr>
          <w:rFonts w:cs="David" w:hint="cs"/>
          <w:sz w:val="24"/>
          <w:szCs w:val="24"/>
          <w:rtl/>
        </w:rPr>
        <w:t>, לא התקבל אישור כי התמורה התקבלה.</w:t>
      </w:r>
    </w:p>
    <w:p>
      <w:pPr>
        <w:pStyle w:val="ListParagraph"/>
        <w:rPr>
          <w:rFonts w:cs="David"/>
          <w:sz w:val="24"/>
          <w:szCs w:val="24"/>
          <w:rtl/>
        </w:rPr>
      </w:pPr>
    </w:p>
    <w:p>
      <w:pPr>
        <w:pStyle w:val="ListParagraph"/>
        <w:numPr>
          <w:ilvl w:val="0"/>
          <w:numId w:val="4"/>
        </w:numPr>
        <w:spacing w:before="240" w:after="240" w:line="276" w:lineRule="auto"/>
        <w:jc w:val="both"/>
        <w:rPr>
          <w:rFonts w:cs="David"/>
          <w:sz w:val="24"/>
          <w:szCs w:val="24"/>
        </w:rPr>
      </w:pPr>
      <w:r>
        <w:rPr>
          <w:rFonts w:cs="David" w:hint="cs"/>
          <w:sz w:val="24"/>
          <w:szCs w:val="24"/>
          <w:rtl/>
        </w:rPr>
        <w:t>ובכלל אם נבקש לבחון את סבירות בקשת כונסי הנכסים שלא על ידי גזירת שיעור שכה"ט מהיקף התמורה, הרי שגם תוצאת בחינת היקף שעות העבודה שהושקעו על ידי כונסי הנכסים איננה מצדיקה את שכה"ט המבוקש, ואף לא קרוב לכך.</w:t>
      </w:r>
    </w:p>
    <w:p>
      <w:pPr>
        <w:pStyle w:val="ListParagraph"/>
        <w:rPr>
          <w:rFonts w:cs="David"/>
          <w:sz w:val="24"/>
          <w:szCs w:val="24"/>
          <w:rtl/>
        </w:rPr>
      </w:pPr>
    </w:p>
    <w:p>
      <w:pPr>
        <w:pStyle w:val="ListParagraph"/>
        <w:spacing w:before="240" w:after="240" w:line="276" w:lineRule="auto"/>
        <w:ind w:left="302"/>
        <w:jc w:val="both"/>
        <w:rPr>
          <w:rFonts w:cs="David"/>
          <w:sz w:val="24"/>
          <w:szCs w:val="24"/>
          <w:rtl/>
        </w:rPr>
      </w:pPr>
      <w:r>
        <w:rPr>
          <w:rFonts w:cs="David" w:hint="cs"/>
          <w:sz w:val="24"/>
          <w:szCs w:val="24"/>
          <w:rtl/>
        </w:rPr>
        <w:t>כך, חוזרים ומסבירים כונסי הנכסים  כי הם מעריכים את כמות העבודה שבוצעה על ידם בכ-2,500 שעות (ראה סעיף 6 לערעור) וכן, 1,200 שעות נוספות שאין בגינם תיעוד.</w:t>
      </w:r>
    </w:p>
    <w:p>
      <w:pPr>
        <w:pStyle w:val="ListParagraph"/>
        <w:spacing w:before="240" w:after="240" w:line="276" w:lineRule="auto"/>
        <w:ind w:left="302"/>
        <w:jc w:val="both"/>
        <w:rPr>
          <w:rFonts w:cs="David"/>
          <w:sz w:val="24"/>
          <w:szCs w:val="24"/>
          <w:rtl/>
        </w:rPr>
      </w:pPr>
    </w:p>
    <w:p>
      <w:pPr>
        <w:pStyle w:val="ListParagraph"/>
        <w:spacing w:before="240" w:after="240" w:line="276" w:lineRule="auto"/>
        <w:ind w:left="302"/>
        <w:jc w:val="both"/>
        <w:rPr>
          <w:rFonts w:cs="David"/>
          <w:sz w:val="24"/>
          <w:szCs w:val="24"/>
          <w:rtl/>
        </w:rPr>
      </w:pPr>
      <w:r>
        <w:rPr>
          <w:rFonts w:cs="David" w:hint="cs"/>
          <w:sz w:val="24"/>
          <w:szCs w:val="24"/>
          <w:rtl/>
        </w:rPr>
        <w:t xml:space="preserve">ובכן, </w:t>
      </w:r>
      <w:r>
        <w:rPr>
          <w:rFonts w:cs="David" w:hint="cs"/>
          <w:sz w:val="24"/>
          <w:szCs w:val="24"/>
          <w:u w:val="single"/>
          <w:rtl/>
        </w:rPr>
        <w:t>ראשית</w:t>
      </w:r>
      <w:r>
        <w:rPr>
          <w:rFonts w:cs="David" w:hint="cs"/>
          <w:sz w:val="24"/>
          <w:szCs w:val="24"/>
          <w:rtl/>
        </w:rPr>
        <w:t xml:space="preserve">, טענת כונסי הנכסים ביחס למספר השעות הנוסף שאין בגינן תיעוד הינה טענה חדשה בערעור אשר לא נטענה בפני בית משפט קמא הנכבד. </w:t>
      </w:r>
      <w:r>
        <w:rPr>
          <w:rFonts w:cs="David" w:hint="cs"/>
          <w:sz w:val="24"/>
          <w:szCs w:val="24"/>
          <w:u w:val="single"/>
          <w:rtl/>
        </w:rPr>
        <w:t>שנית</w:t>
      </w:r>
      <w:r>
        <w:rPr>
          <w:rFonts w:cs="David" w:hint="cs"/>
          <w:sz w:val="24"/>
          <w:szCs w:val="24"/>
          <w:rtl/>
        </w:rPr>
        <w:t>, כונסי הנכסים טוענים כי קיים בידם תיעוד בנוגע למספר השעות שהושקע וכן זהות הגורם שעבד, כגון "שותף בכיר" וכיו"ב, אך בחרו שלא להציג את דוח השעות.</w:t>
      </w:r>
    </w:p>
    <w:p>
      <w:pPr>
        <w:pStyle w:val="ListParagraph"/>
        <w:spacing w:before="240" w:after="240" w:line="276" w:lineRule="auto"/>
        <w:ind w:left="302"/>
        <w:jc w:val="both"/>
        <w:rPr>
          <w:rFonts w:cs="David"/>
          <w:sz w:val="24"/>
          <w:szCs w:val="24"/>
          <w:rtl/>
        </w:rPr>
      </w:pPr>
    </w:p>
    <w:p>
      <w:pPr>
        <w:pStyle w:val="ListParagraph"/>
        <w:spacing w:before="240" w:after="240" w:line="276" w:lineRule="auto"/>
        <w:ind w:left="302"/>
        <w:jc w:val="both"/>
        <w:rPr>
          <w:rFonts w:cs="David"/>
          <w:sz w:val="24"/>
          <w:szCs w:val="24"/>
        </w:rPr>
      </w:pPr>
      <w:r>
        <w:rPr>
          <w:rFonts w:cs="David" w:hint="cs"/>
          <w:sz w:val="24"/>
          <w:szCs w:val="24"/>
          <w:rtl/>
        </w:rPr>
        <w:t>אלא שבלאו הכי, גם אם בית המשפט הנכבד יקבל את מספר השעות שהושקעו בתיק כראה וקדש מבלי שהוגשה כל אמסכתא המאששת את טענת כונסי הנכסים, הרי שלא ברור כיצד ניתן להצדיק שכר טרחה בסך של 3,250,000 ₪ (!) עבור 2,500 שעות עבודה.</w:t>
      </w:r>
    </w:p>
    <w:p>
      <w:pPr>
        <w:pStyle w:val="ListParagraph"/>
        <w:rPr>
          <w:rFonts w:cs="David"/>
          <w:sz w:val="24"/>
          <w:szCs w:val="24"/>
          <w:rtl/>
        </w:rPr>
      </w:pPr>
    </w:p>
    <w:p>
      <w:pPr>
        <w:pStyle w:val="ListParagraph"/>
        <w:spacing w:before="240" w:after="240" w:line="276" w:lineRule="auto"/>
        <w:ind w:left="302"/>
        <w:jc w:val="both"/>
        <w:rPr>
          <w:rFonts w:cs="David"/>
          <w:sz w:val="24"/>
          <w:szCs w:val="24"/>
          <w:rtl/>
        </w:rPr>
      </w:pPr>
      <w:r>
        <w:rPr>
          <w:rFonts w:cs="David" w:hint="cs"/>
          <w:sz w:val="24"/>
          <w:szCs w:val="24"/>
          <w:rtl/>
        </w:rPr>
        <w:t xml:space="preserve">האם סביר שבית המשפט הנכבד יקבע כי </w:t>
      </w:r>
      <w:r>
        <w:rPr>
          <w:rFonts w:cs="David" w:hint="cs"/>
          <w:b/>
          <w:bCs/>
          <w:sz w:val="24"/>
          <w:szCs w:val="24"/>
          <w:u w:val="single"/>
          <w:rtl/>
        </w:rPr>
        <w:t>עלות שעת עבודה  ממוצעת</w:t>
      </w:r>
      <w:r>
        <w:rPr>
          <w:rFonts w:cs="David" w:hint="cs"/>
          <w:sz w:val="24"/>
          <w:szCs w:val="24"/>
          <w:rtl/>
        </w:rPr>
        <w:t xml:space="preserve"> של כונסי הנכסים, לרבות עורכי דין ממשרדם, ומתמחים ו/או אנשי צוות נוספים שאינם עורכי דין, הינה בסך </w:t>
      </w:r>
      <w:r>
        <w:rPr>
          <w:rFonts w:cs="David" w:hint="cs"/>
          <w:b/>
          <w:bCs/>
          <w:sz w:val="24"/>
          <w:szCs w:val="24"/>
          <w:u w:val="single"/>
          <w:rtl/>
        </w:rPr>
        <w:t xml:space="preserve">1,280 ₪ </w:t>
      </w:r>
      <w:r>
        <w:rPr>
          <w:rFonts w:cs="David" w:hint="cs"/>
          <w:sz w:val="24"/>
          <w:szCs w:val="24"/>
          <w:rtl/>
        </w:rPr>
        <w:t>?</w:t>
      </w:r>
      <w:r>
        <w:rPr>
          <w:rFonts w:cs="David" w:hint="cs"/>
          <w:sz w:val="24"/>
          <w:szCs w:val="24"/>
        </w:rPr>
        <w:t xml:space="preserve"> </w:t>
      </w:r>
      <w:r>
        <w:rPr>
          <w:rFonts w:cs="David" w:hint="cs"/>
          <w:sz w:val="24"/>
          <w:szCs w:val="24"/>
          <w:rtl/>
        </w:rPr>
        <w:t>(3,200,000/2,500).</w:t>
      </w:r>
    </w:p>
    <w:p>
      <w:pPr>
        <w:pStyle w:val="ListParagraph"/>
        <w:spacing w:before="240" w:after="240" w:line="276" w:lineRule="auto"/>
        <w:ind w:left="302"/>
        <w:jc w:val="both"/>
        <w:rPr>
          <w:rFonts w:cs="David"/>
          <w:sz w:val="24"/>
          <w:szCs w:val="24"/>
          <w:rtl/>
        </w:rPr>
      </w:pPr>
    </w:p>
    <w:p>
      <w:pPr>
        <w:pStyle w:val="ListParagraph"/>
        <w:spacing w:before="240" w:after="240" w:line="276" w:lineRule="auto"/>
        <w:ind w:left="302"/>
        <w:jc w:val="both"/>
        <w:rPr>
          <w:rFonts w:cs="David"/>
          <w:sz w:val="24"/>
          <w:szCs w:val="24"/>
          <w:rtl/>
        </w:rPr>
      </w:pPr>
      <w:r>
        <w:rPr>
          <w:rFonts w:cs="David" w:hint="cs"/>
          <w:sz w:val="24"/>
          <w:szCs w:val="24"/>
          <w:rtl/>
        </w:rPr>
        <w:t xml:space="preserve">ואפילו אם נוסיף את </w:t>
      </w:r>
      <w:r>
        <w:rPr>
          <w:rFonts w:cs="David" w:hint="cs"/>
          <w:b/>
          <w:bCs/>
          <w:sz w:val="24"/>
          <w:szCs w:val="24"/>
          <w:u w:val="single"/>
          <w:rtl/>
        </w:rPr>
        <w:t>1,200</w:t>
      </w:r>
      <w:r>
        <w:rPr>
          <w:rFonts w:cs="David" w:hint="cs"/>
          <w:sz w:val="24"/>
          <w:szCs w:val="24"/>
          <w:rtl/>
        </w:rPr>
        <w:t xml:space="preserve"> השעות הנוספות שבגינן "אין תיעוד", הרי שמדובר בסך של 878 ₪ לשעת עבודה, לפני מע"מ.</w:t>
      </w:r>
    </w:p>
    <w:p>
      <w:pPr>
        <w:pStyle w:val="ListParagraph"/>
        <w:spacing w:before="240" w:after="240" w:line="276" w:lineRule="auto"/>
        <w:ind w:left="302"/>
        <w:jc w:val="both"/>
        <w:rPr>
          <w:rFonts w:cs="David"/>
          <w:sz w:val="24"/>
          <w:szCs w:val="24"/>
          <w:rtl/>
        </w:rPr>
      </w:pPr>
    </w:p>
    <w:p>
      <w:pPr>
        <w:pStyle w:val="ListParagraph"/>
        <w:spacing w:before="240" w:after="240" w:line="276" w:lineRule="auto"/>
        <w:ind w:left="302"/>
        <w:jc w:val="both"/>
        <w:rPr>
          <w:rFonts w:cs="David"/>
          <w:sz w:val="24"/>
          <w:szCs w:val="24"/>
          <w:rtl/>
        </w:rPr>
      </w:pPr>
      <w:r>
        <w:rPr>
          <w:rFonts w:cs="David" w:hint="cs"/>
          <w:sz w:val="24"/>
          <w:szCs w:val="24"/>
          <w:rtl/>
        </w:rPr>
        <w:t xml:space="preserve">בכל הכבוד, הימנותא משלמת </w:t>
      </w:r>
      <w:r>
        <w:rPr>
          <w:rFonts w:cs="David" w:hint="cs"/>
          <w:b/>
          <w:bCs/>
          <w:sz w:val="24"/>
          <w:szCs w:val="24"/>
          <w:u w:val="single"/>
          <w:rtl/>
        </w:rPr>
        <w:t>לעורכי דין בכירים</w:t>
      </w:r>
      <w:r>
        <w:rPr>
          <w:rFonts w:cs="David" w:hint="cs"/>
          <w:sz w:val="24"/>
          <w:szCs w:val="24"/>
          <w:rtl/>
        </w:rPr>
        <w:t xml:space="preserve"> סך של </w:t>
      </w:r>
      <w:r>
        <w:rPr>
          <w:rFonts w:cs="David" w:hint="cs"/>
          <w:b/>
          <w:bCs/>
          <w:sz w:val="24"/>
          <w:szCs w:val="24"/>
          <w:u w:val="single"/>
          <w:rtl/>
        </w:rPr>
        <w:t>400 ₪</w:t>
      </w:r>
      <w:r>
        <w:rPr>
          <w:rFonts w:cs="David" w:hint="cs"/>
          <w:sz w:val="24"/>
          <w:szCs w:val="24"/>
          <w:rtl/>
        </w:rPr>
        <w:t xml:space="preserve"> לשעת עבודה, ואילו כאשר היקף העבודה הינו כה נרחב עד כדי אלפי שעות, הסכום לשעה פוחת מטבע הדברים. </w:t>
      </w:r>
    </w:p>
    <w:p>
      <w:pPr>
        <w:pStyle w:val="ListParagraph"/>
        <w:spacing w:before="240" w:after="240" w:line="276" w:lineRule="auto"/>
        <w:ind w:left="302"/>
        <w:jc w:val="both"/>
        <w:rPr>
          <w:rFonts w:cs="David"/>
          <w:sz w:val="24"/>
          <w:szCs w:val="24"/>
        </w:rPr>
      </w:pPr>
    </w:p>
    <w:p>
      <w:pPr>
        <w:spacing w:before="240" w:after="240" w:line="276" w:lineRule="auto"/>
        <w:ind w:left="-58"/>
        <w:jc w:val="both"/>
        <w:rPr>
          <w:rFonts w:ascii="David" w:hAnsi="David" w:cs="David"/>
          <w:sz w:val="24"/>
          <w:szCs w:val="24"/>
        </w:rPr>
      </w:pPr>
      <w:r>
        <w:rPr>
          <w:rFonts w:ascii="David" w:hAnsi="David" w:cs="David" w:hint="cs"/>
          <w:b/>
          <w:bCs/>
          <w:sz w:val="24"/>
          <w:szCs w:val="24"/>
          <w:u w:val="single"/>
          <w:rtl/>
        </w:rPr>
        <w:t>הפסיקה העדכנית והרלוונטית בנוגע לשכר טרחת כונסי הנכסים</w:t>
      </w:r>
      <w:r>
        <w:rPr>
          <w:rFonts w:ascii="David" w:hAnsi="David" w:cs="David" w:hint="cs"/>
          <w:sz w:val="24"/>
          <w:szCs w:val="24"/>
          <w:rtl/>
        </w:rPr>
        <w:t>:</w:t>
      </w:r>
    </w:p>
    <w:p>
      <w:pPr>
        <w:numPr>
          <w:ilvl w:val="0"/>
          <w:numId w:val="1"/>
        </w:numPr>
        <w:spacing w:before="240" w:after="240" w:line="276" w:lineRule="auto"/>
        <w:ind w:left="-58" w:hanging="368"/>
        <w:jc w:val="both"/>
        <w:rPr>
          <w:rFonts w:ascii="David" w:hAnsi="David" w:cs="David"/>
          <w:sz w:val="24"/>
          <w:szCs w:val="24"/>
        </w:rPr>
      </w:pPr>
      <w:r>
        <w:rPr>
          <w:rFonts w:ascii="David" w:hAnsi="David" w:cs="David" w:hint="cs"/>
          <w:sz w:val="24"/>
          <w:szCs w:val="24"/>
          <w:rtl/>
        </w:rPr>
        <w:t>בניגוד לבקשת כונסי הנכסים, פסיקת שכ"ט לכונסי הנכסים במסגרת תיק פירוק שיתוף בהיקף גדול, כגון התיק דנן, איננה משימה אריטמתית פשוטה במסגרתה מכריע בית המשפט על בסיס סקאלה קבועה מראש של 6-10% מהיקף התמורה.</w:t>
      </w:r>
    </w:p>
    <w:p>
      <w:pPr>
        <w:numPr>
          <w:ilvl w:val="0"/>
          <w:numId w:val="1"/>
        </w:numPr>
        <w:spacing w:before="240" w:after="240" w:line="276" w:lineRule="auto"/>
        <w:ind w:left="-58" w:hanging="368"/>
        <w:jc w:val="both"/>
        <w:rPr>
          <w:rFonts w:ascii="David" w:hAnsi="David" w:cs="David"/>
          <w:sz w:val="24"/>
          <w:szCs w:val="24"/>
        </w:rPr>
      </w:pPr>
      <w:r>
        <w:rPr>
          <w:rFonts w:ascii="David" w:hAnsi="David" w:cs="David" w:hint="cs"/>
          <w:sz w:val="24"/>
          <w:szCs w:val="24"/>
          <w:rtl/>
        </w:rPr>
        <w:t xml:space="preserve">המגמה הברורה בפסיקה הינה לאבחן תיקי פירוק שיתוף בהיקפים "קטנים", כאשר בית המשפט בוחן את לא רק את שיעור שכה"ט מהיקף התמורה אלא גם את סכום שכה"ט שהצדדים משלמים לכיסם לכונסי הנכסים </w:t>
      </w:r>
      <w:r>
        <w:rPr>
          <w:rFonts w:ascii="David" w:hAnsi="David" w:cs="David"/>
          <w:sz w:val="24"/>
          <w:szCs w:val="24"/>
          <w:rtl/>
        </w:rPr>
        <w:t>–</w:t>
      </w:r>
      <w:r>
        <w:rPr>
          <w:rFonts w:ascii="David" w:hAnsi="David" w:cs="David" w:hint="cs"/>
          <w:sz w:val="24"/>
          <w:szCs w:val="24"/>
          <w:rtl/>
        </w:rPr>
        <w:t xml:space="preserve"> כך, ובכל הכבוד לבקשת כונסי הנכסים, לא נפסקו שיעורי שכ"ט כפי שמבקשים כונסי הנכסים בשנים האחרונות בתיקים שהיקף התמורה הינו עשרות מיליוני ₪.</w:t>
      </w:r>
    </w:p>
    <w:p>
      <w:pPr>
        <w:numPr>
          <w:ilvl w:val="0"/>
          <w:numId w:val="1"/>
        </w:numPr>
        <w:spacing w:before="240" w:after="240" w:line="276" w:lineRule="auto"/>
        <w:ind w:left="-58" w:hanging="368"/>
        <w:jc w:val="both"/>
        <w:rPr>
          <w:rFonts w:ascii="David" w:hAnsi="David" w:cs="David"/>
          <w:sz w:val="24"/>
          <w:szCs w:val="24"/>
        </w:rPr>
      </w:pPr>
      <w:r>
        <w:rPr>
          <w:rFonts w:ascii="David" w:hAnsi="David" w:cs="David" w:hint="cs"/>
          <w:sz w:val="24"/>
          <w:szCs w:val="24"/>
          <w:highlight w:val="yellow"/>
          <w:rtl/>
        </w:rPr>
        <w:t>כדי לא לסרבל את ההליך, תפנה הימנותא לסקירה המקיפה שביצעה רמ"י בנוגע לפסיקה העדכנית, ותחזור עליה ביתר שאת, וכן תצרף החלטה עדכנית מחודש מאי, 2021, בבית המשפט השלום בירושלים, במסגרתה תמצתה כבוד השופטת מוריה צ'רקה בת.א. 67170-05-18 אס.אר.אקורד בע"מ נ' טל ואח' (נבו),</w:t>
      </w:r>
      <w:r>
        <w:rPr>
          <w:rFonts w:ascii="David" w:hAnsi="David" w:cs="David" w:hint="cs"/>
          <w:sz w:val="24"/>
          <w:szCs w:val="24"/>
          <w:rtl/>
        </w:rPr>
        <w:t xml:space="preserve"> את מגמת הפסיקה במשפט אחד כדלקמן:</w:t>
      </w:r>
    </w:p>
    <w:p>
      <w:pPr>
        <w:pStyle w:val="ListParagraph"/>
        <w:spacing w:before="240" w:after="240" w:line="276" w:lineRule="auto"/>
        <w:ind w:left="567" w:right="567"/>
        <w:jc w:val="both"/>
        <w:rPr>
          <w:rFonts w:ascii="David" w:hAnsi="David" w:cs="David"/>
          <w:b/>
          <w:bCs/>
          <w:sz w:val="24"/>
          <w:szCs w:val="24"/>
        </w:rPr>
      </w:pPr>
      <w:r>
        <w:rPr>
          <w:rFonts w:ascii="David" w:hAnsi="David" w:cs="David" w:hint="cs"/>
          <w:b/>
          <w:bCs/>
          <w:sz w:val="24"/>
          <w:szCs w:val="24"/>
          <w:rtl/>
        </w:rPr>
        <w:t>"...6. אכן בשנים עברו קבעה פסיקת בתי המשפט את שכר טרחת כונסי נכסים בטווח של 6%-10% משווי הנכס. אולם, עם האמרת מחירי המקרקעין מחד, וריבוי עורכי הדין מאידך, המגמה הרווחת היום היא לפסוק שכר טרחה נמוך יותר..."</w:t>
      </w:r>
    </w:p>
    <w:p>
      <w:pPr>
        <w:spacing w:before="240" w:after="240" w:line="276" w:lineRule="auto"/>
        <w:ind w:left="-58"/>
        <w:jc w:val="both"/>
        <w:rPr>
          <w:rFonts w:ascii="David" w:hAnsi="David" w:cs="David"/>
          <w:b/>
          <w:bCs/>
          <w:sz w:val="24"/>
          <w:szCs w:val="24"/>
          <w:u w:val="single"/>
          <w:rtl/>
        </w:rPr>
      </w:pPr>
      <w:r>
        <w:rPr>
          <w:rFonts w:ascii="David" w:hAnsi="David" w:cs="David" w:hint="cs"/>
          <w:b/>
          <w:bCs/>
          <w:sz w:val="24"/>
          <w:szCs w:val="24"/>
          <w:u w:val="single"/>
          <w:rtl/>
        </w:rPr>
        <w:t>הפסיקה העדכנית והרלוונטית בנוגע להתערבות ערכאת הערעור בקביעות בנוגע לשכ"ט בעלי תפקיד:</w:t>
      </w:r>
    </w:p>
    <w:p>
      <w:pPr>
        <w:numPr>
          <w:ilvl w:val="0"/>
          <w:numId w:val="1"/>
        </w:numPr>
        <w:spacing w:before="240" w:after="240" w:line="276" w:lineRule="auto"/>
        <w:ind w:left="-58" w:hanging="368"/>
        <w:jc w:val="both"/>
        <w:rPr>
          <w:rFonts w:ascii="David" w:hAnsi="David"/>
          <w:sz w:val="24"/>
          <w:rtl/>
        </w:rPr>
      </w:pPr>
      <w:r>
        <w:rPr>
          <w:rFonts w:ascii="David" w:hAnsi="David" w:cs="David" w:hint="cs"/>
          <w:sz w:val="24"/>
          <w:szCs w:val="24"/>
          <w:rtl/>
        </w:rPr>
        <w:t xml:space="preserve">כונסי הנכסים לא הציגו כל טעם חריג להתערבות ערכאת הערעור בהחלטת בית משפט קמא. בנסיבות אלה הרי שאין סיבה שבית משפט נכבד זה יסטה מההלכה הידועה שקיבלה ביטוי נוסף במספר פסקי דין של בית המשפט העליון בשנה האחרונה. וכך למשל קבע בית המשפט העליון במסגרת </w:t>
      </w:r>
      <w:r>
        <w:rPr>
          <w:rFonts w:ascii="David" w:hAnsi="David" w:cs="David"/>
          <w:sz w:val="24"/>
          <w:szCs w:val="24"/>
          <w:rtl/>
        </w:rPr>
        <w:t>עא 1468/22  אורלי הרן נ' עו"ד ישראל בכר בתפקידו כנאמן על נכסי המערערת</w:t>
      </w:r>
      <w:r>
        <w:rPr>
          <w:rFonts w:ascii="David" w:hAnsi="David" w:hint="cs"/>
          <w:sz w:val="24"/>
          <w:rtl/>
        </w:rPr>
        <w:t xml:space="preserve"> (נבו):</w:t>
      </w:r>
    </w:p>
    <w:p>
      <w:pPr>
        <w:pStyle w:val="Ruller4"/>
        <w:numPr>
          <w:ilvl w:val="0"/>
          <w:numId w:val="0"/>
        </w:numPr>
        <w:spacing w:line="276" w:lineRule="auto"/>
        <w:ind w:left="567" w:right="567"/>
        <w:rPr>
          <w:rFonts w:ascii="David" w:hAnsi="David" w:cs="David"/>
          <w:b/>
          <w:bCs/>
          <w:szCs w:val="24"/>
          <w:rtl/>
        </w:rPr>
      </w:pPr>
      <w:r>
        <w:rPr>
          <w:rFonts w:ascii="David" w:hAnsi="David" w:cs="David" w:hint="cs"/>
          <w:b/>
          <w:bCs/>
          <w:color w:val="000000"/>
          <w:szCs w:val="24"/>
          <w:rtl/>
        </w:rPr>
        <w:t>"...</w:t>
      </w:r>
      <w:r>
        <w:rPr>
          <w:rFonts w:ascii="David" w:hAnsi="David" w:cs="David"/>
          <w:b/>
          <w:bCs/>
          <w:color w:val="000000"/>
          <w:szCs w:val="24"/>
          <w:rtl/>
        </w:rPr>
        <w:t>נקודת המוצא היא, כי לערכאה הדיונית מסור שיקול דעת רחב בהחלטות שעניינן בקביעת שכר טרחה לבעל תפקיד, והתערבות ערכאת הערעור בהחלטות מסוג זה תיעשה במקרים חריגים בלבד (</w:t>
      </w:r>
      <w:hyperlink r:id="rId5" w:history="1">
        <w:r>
          <w:rPr>
            <w:rFonts w:ascii="David" w:hAnsi="David" w:cs="David"/>
            <w:b/>
            <w:bCs/>
            <w:color w:val="0000FF"/>
            <w:szCs w:val="24"/>
            <w:u w:val="single"/>
            <w:rtl/>
          </w:rPr>
          <w:t>ע"א 4486/14</w:t>
        </w:r>
      </w:hyperlink>
      <w:r>
        <w:rPr>
          <w:rFonts w:ascii="David" w:hAnsi="David" w:cs="David"/>
          <w:b/>
          <w:bCs/>
          <w:color w:val="000000"/>
          <w:szCs w:val="24"/>
          <w:rtl/>
        </w:rPr>
        <w:t xml:space="preserve"> </w:t>
      </w:r>
      <w:r>
        <w:rPr>
          <w:rFonts w:ascii="David" w:hAnsi="David" w:cs="David"/>
          <w:b/>
          <w:bCs/>
          <w:spacing w:val="0"/>
          <w:szCs w:val="24"/>
          <w:rtl/>
        </w:rPr>
        <w:t>עו"ד שפירא, כונס נכסים נ' עו"ד אמיר בר טוב ועו"ד יעקב אמסטר, בתפקידם כנאמנים לנידר חברה לבניין ופיתוח בע"מ</w:t>
      </w:r>
      <w:r>
        <w:rPr>
          <w:rFonts w:ascii="David" w:hAnsi="David" w:cs="David"/>
          <w:b/>
          <w:bCs/>
          <w:color w:val="000000"/>
          <w:szCs w:val="24"/>
          <w:rtl/>
        </w:rPr>
        <w:t xml:space="preserve">, פסקה 13 </w:t>
      </w:r>
      <w:r>
        <w:rPr>
          <w:rFonts w:ascii="David" w:hAnsi="David" w:cs="David"/>
          <w:b/>
          <w:bCs/>
          <w:spacing w:val="0"/>
          <w:szCs w:val="24"/>
          <w:rtl/>
        </w:rPr>
        <w:t xml:space="preserve">[פורסם בנבו] </w:t>
      </w:r>
      <w:r>
        <w:rPr>
          <w:rFonts w:ascii="David" w:hAnsi="David" w:cs="David"/>
          <w:b/>
          <w:bCs/>
          <w:color w:val="000000"/>
          <w:szCs w:val="24"/>
          <w:rtl/>
        </w:rPr>
        <w:t xml:space="preserve">(24.6.2015) (להלן: עניין </w:t>
      </w:r>
      <w:r>
        <w:rPr>
          <w:rFonts w:ascii="David" w:hAnsi="David" w:cs="David"/>
          <w:b/>
          <w:bCs/>
          <w:spacing w:val="0"/>
          <w:szCs w:val="24"/>
          <w:rtl/>
        </w:rPr>
        <w:t>שפירא</w:t>
      </w:r>
      <w:r>
        <w:rPr>
          <w:rFonts w:ascii="David" w:hAnsi="David" w:cs="David"/>
          <w:b/>
          <w:bCs/>
          <w:color w:val="000000"/>
          <w:szCs w:val="24"/>
          <w:rtl/>
        </w:rPr>
        <w:t xml:space="preserve">); </w:t>
      </w:r>
      <w:hyperlink r:id="rId6" w:history="1">
        <w:r>
          <w:rPr>
            <w:rFonts w:ascii="David" w:hAnsi="David" w:cs="David"/>
            <w:b/>
            <w:bCs/>
            <w:color w:val="0000FF"/>
            <w:szCs w:val="24"/>
            <w:u w:val="single"/>
            <w:rtl/>
          </w:rPr>
          <w:t>ע"א 5810/17</w:t>
        </w:r>
      </w:hyperlink>
      <w:r>
        <w:rPr>
          <w:rFonts w:ascii="David" w:hAnsi="David" w:cs="David"/>
          <w:b/>
          <w:bCs/>
          <w:color w:val="000000"/>
          <w:szCs w:val="24"/>
          <w:rtl/>
        </w:rPr>
        <w:t xml:space="preserve"> </w:t>
      </w:r>
      <w:r>
        <w:rPr>
          <w:rFonts w:ascii="David" w:hAnsi="David" w:cs="David"/>
          <w:b/>
          <w:bCs/>
          <w:spacing w:val="0"/>
          <w:szCs w:val="24"/>
          <w:rtl/>
        </w:rPr>
        <w:t>ניסנוב נ' עו"ד אורן הראל – המנהל המיוחד</w:t>
      </w:r>
      <w:r>
        <w:rPr>
          <w:rFonts w:ascii="David" w:hAnsi="David" w:cs="David"/>
          <w:b/>
          <w:bCs/>
          <w:color w:val="000000"/>
          <w:szCs w:val="24"/>
          <w:rtl/>
        </w:rPr>
        <w:t xml:space="preserve">, פסקה 5 </w:t>
      </w:r>
      <w:r>
        <w:rPr>
          <w:rFonts w:ascii="David" w:hAnsi="David" w:cs="David"/>
          <w:b/>
          <w:bCs/>
          <w:spacing w:val="0"/>
          <w:szCs w:val="24"/>
          <w:rtl/>
        </w:rPr>
        <w:t xml:space="preserve">[פורסם בנבו] </w:t>
      </w:r>
      <w:r>
        <w:rPr>
          <w:rFonts w:ascii="David" w:hAnsi="David" w:cs="David"/>
          <w:b/>
          <w:bCs/>
          <w:color w:val="000000"/>
          <w:szCs w:val="24"/>
          <w:rtl/>
        </w:rPr>
        <w:t>(20.6.2019)). אין מקרה זה נופל בגדר אותם המקרים היוצאים מן הכלל.</w:t>
      </w:r>
      <w:r>
        <w:rPr>
          <w:rFonts w:ascii="David" w:hAnsi="David" w:cs="David" w:hint="cs"/>
          <w:b/>
          <w:bCs/>
          <w:color w:val="000000"/>
          <w:szCs w:val="24"/>
          <w:rtl/>
        </w:rPr>
        <w:t>.."</w:t>
      </w:r>
    </w:p>
    <w:p>
      <w:pPr>
        <w:spacing w:before="240" w:after="240" w:line="276" w:lineRule="auto"/>
        <w:ind w:left="-58"/>
        <w:jc w:val="both"/>
        <w:rPr>
          <w:rFonts w:ascii="David" w:hAnsi="David" w:cs="David"/>
          <w:sz w:val="24"/>
          <w:szCs w:val="24"/>
          <w:rtl/>
        </w:rPr>
      </w:pPr>
      <w:r>
        <w:rPr>
          <w:rFonts w:ascii="David" w:hAnsi="David" w:cs="David" w:hint="cs"/>
          <w:sz w:val="24"/>
          <w:szCs w:val="24"/>
          <w:rtl/>
        </w:rPr>
        <w:t xml:space="preserve">כך גם קבע כב' השופט (דאז) דנציגר במסגרת  </w:t>
      </w:r>
      <w:r>
        <w:rPr>
          <w:rFonts w:ascii="David" w:hAnsi="David" w:cs="David"/>
          <w:color w:val="000000"/>
          <w:sz w:val="24"/>
          <w:szCs w:val="24"/>
          <w:rtl/>
        </w:rPr>
        <w:t xml:space="preserve">עא 4486/14 </w:t>
      </w:r>
      <w:r>
        <w:rPr>
          <w:rFonts w:ascii="David" w:hAnsi="David" w:cs="David"/>
          <w:color w:val="000000"/>
          <w:sz w:val="24"/>
          <w:szCs w:val="24"/>
          <w:rtl/>
        </w:rPr>
        <w:tab/>
        <w:t xml:space="preserve"> </w:t>
      </w:r>
      <w:r>
        <w:rPr>
          <w:rFonts w:ascii="David" w:hAnsi="David" w:cs="David"/>
          <w:b/>
          <w:bCs/>
          <w:color w:val="000000"/>
          <w:sz w:val="24"/>
          <w:szCs w:val="24"/>
          <w:rtl/>
        </w:rPr>
        <w:t>עו"ד עופר שפירא, כונס נכסים נ' עו"ד אמיר בר טוב יעקב אמסטר, בתפקידם כנאמנים לנידר חברה לבניין ופיתוח בע</w:t>
      </w:r>
      <w:r>
        <w:rPr>
          <w:rFonts w:ascii="David" w:hAnsi="David" w:cs="David" w:hint="cs"/>
          <w:b/>
          <w:bCs/>
          <w:color w:val="000000"/>
          <w:sz w:val="24"/>
          <w:szCs w:val="24"/>
          <w:rtl/>
        </w:rPr>
        <w:t>מ (נבו):</w:t>
      </w:r>
    </w:p>
    <w:p>
      <w:pPr>
        <w:pStyle w:val="Ruller4"/>
        <w:numPr>
          <w:ilvl w:val="0"/>
          <w:numId w:val="0"/>
        </w:numPr>
        <w:spacing w:line="276" w:lineRule="auto"/>
        <w:ind w:left="567" w:right="567"/>
        <w:rPr>
          <w:rFonts w:ascii="David" w:hAnsi="David" w:cs="David"/>
          <w:b/>
          <w:bCs/>
          <w:color w:val="000000"/>
          <w:szCs w:val="24"/>
        </w:rPr>
      </w:pPr>
      <w:r>
        <w:rPr>
          <w:rFonts w:ascii="David" w:hAnsi="David" w:cs="David" w:hint="cs"/>
          <w:b/>
          <w:bCs/>
          <w:color w:val="000000"/>
          <w:szCs w:val="24"/>
          <w:rtl/>
        </w:rPr>
        <w:t xml:space="preserve">"...נקודת המוצא לדיוננו הינה כי בית משפט זה בשבתו כערכאת ערעור אינו נוטה להתערב, בדרך כלל, בשכר הטרחה שפוסקים בתי המשפט המחוזיים לבעלי תפקיד בהליכי חדלות פירעון. בפסיקת בית משפט זה נקבע לא אחת כי לבית המשפט המחוזי מסור שיקול דעת רחב בבואו לפסוק שכר טרחה לבעל תפקיד, שכן הוא זה שמינה אותו ויודע להעריך את עבודתו, ולפיכך בית משפט זה יתערב בהחלטות מסוג זה במקרים חריגים בלבד, בהם ימצא שבית המשפט המחוזי שגה בעקרונות אותם הפעיל ולא באופן בו יישם את אותם עקרונות [ראו למשל: </w:t>
      </w:r>
      <w:hyperlink r:id="rId7" w:history="1">
        <w:r>
          <w:rPr>
            <w:rFonts w:ascii="David" w:hAnsi="David" w:cs="David"/>
            <w:b/>
            <w:bCs/>
            <w:color w:val="000000"/>
            <w:szCs w:val="24"/>
            <w:rtl/>
          </w:rPr>
          <w:t>ע"א 530/88 פרידמן נ' עו"ד יגאל ארנון, פ"ד מג</w:t>
        </w:r>
      </w:hyperlink>
      <w:r>
        <w:rPr>
          <w:rFonts w:ascii="David" w:hAnsi="David" w:cs="David" w:hint="cs"/>
          <w:b/>
          <w:bCs/>
          <w:color w:val="000000"/>
          <w:szCs w:val="24"/>
          <w:rtl/>
        </w:rPr>
        <w:t xml:space="preserve">(4) 479, 484 (1990); </w:t>
      </w:r>
      <w:hyperlink r:id="rId8" w:history="1">
        <w:r>
          <w:rPr>
            <w:rFonts w:ascii="David" w:hAnsi="David" w:cs="David"/>
            <w:b/>
            <w:bCs/>
            <w:color w:val="000000"/>
            <w:szCs w:val="24"/>
            <w:rtl/>
          </w:rPr>
          <w:t>ע"א 438/85 איתן ארזי ושות' בניה והשקעות בע"מ נ' עו"ד אריה חיימסון, פ"ד מא</w:t>
        </w:r>
      </w:hyperlink>
      <w:r>
        <w:rPr>
          <w:rFonts w:ascii="David" w:hAnsi="David" w:cs="David" w:hint="cs"/>
          <w:b/>
          <w:bCs/>
          <w:color w:val="000000"/>
          <w:szCs w:val="24"/>
          <w:rtl/>
        </w:rPr>
        <w:t xml:space="preserve">(2) 718, 725 (1987); </w:t>
      </w:r>
      <w:hyperlink r:id="rId9" w:history="1">
        <w:r>
          <w:rPr>
            <w:rFonts w:ascii="David" w:hAnsi="David" w:cs="David"/>
            <w:b/>
            <w:bCs/>
            <w:color w:val="000000"/>
            <w:szCs w:val="24"/>
            <w:rtl/>
          </w:rPr>
          <w:t>ע"א 621/83</w:t>
        </w:r>
        <w:r>
          <w:rPr>
            <w:rFonts w:ascii="David" w:hAnsi="David" w:cs="David" w:hint="cs"/>
            <w:b/>
            <w:bCs/>
            <w:color w:val="000000"/>
            <w:szCs w:val="24"/>
            <w:rtl/>
          </w:rPr>
          <w:t xml:space="preserve"> בנק לאומי לישראל בע"מ נ' עו"ד א' פינצ'וק כונס נכסים של חברת בני דן, קבלני הנדסה ימית ואזרחית בע"מ, פ"ד מא</w:t>
        </w:r>
      </w:hyperlink>
      <w:r>
        <w:rPr>
          <w:rFonts w:ascii="David" w:hAnsi="David" w:cs="David" w:hint="cs"/>
          <w:b/>
          <w:bCs/>
          <w:color w:val="000000"/>
          <w:szCs w:val="24"/>
          <w:rtl/>
        </w:rPr>
        <w:t>(2) 660, 666 (1987)]..."</w:t>
      </w:r>
    </w:p>
    <w:p>
      <w:pPr>
        <w:numPr>
          <w:ilvl w:val="0"/>
          <w:numId w:val="1"/>
        </w:numPr>
        <w:spacing w:before="240" w:after="240" w:line="276" w:lineRule="auto"/>
        <w:ind w:left="-58" w:hanging="368"/>
        <w:jc w:val="both"/>
        <w:rPr>
          <w:rFonts w:ascii="David" w:hAnsi="David" w:cs="David"/>
          <w:sz w:val="24"/>
          <w:szCs w:val="24"/>
        </w:rPr>
      </w:pPr>
      <w:r>
        <w:rPr>
          <w:rFonts w:ascii="David" w:hAnsi="David" w:cs="David" w:hint="cs"/>
          <w:sz w:val="24"/>
          <w:szCs w:val="24"/>
          <w:rtl/>
        </w:rPr>
        <w:t>ודוק, הפכנו והפכנו בערעור כונסי הנכסים ולא ראינו כל "טעם חריג" לגרום להתערבותו של בית משפט זה, למעט, העבודה שיש מקרים בהם בתי משפט אחרים, בתיקים אחרים, בנסיבות אחרות, פסקו שכ"ט אחר לכונסי נכסים אחרים.</w:t>
      </w:r>
    </w:p>
    <w:p>
      <w:pPr>
        <w:spacing w:before="240" w:after="240" w:line="276" w:lineRule="auto"/>
        <w:ind w:left="-58"/>
        <w:jc w:val="both"/>
        <w:rPr>
          <w:rFonts w:ascii="David" w:hAnsi="David" w:cs="David"/>
          <w:sz w:val="24"/>
          <w:szCs w:val="24"/>
        </w:rPr>
      </w:pPr>
      <w:r>
        <w:rPr>
          <w:rFonts w:ascii="David" w:hAnsi="David" w:cs="David" w:hint="cs"/>
          <w:sz w:val="24"/>
          <w:szCs w:val="24"/>
          <w:rtl/>
        </w:rPr>
        <w:t>בכל הכבוד, זהו לא נימוק, ובטח שלא טעם חריג, להביא להתערבותו של בית משפט נכבד זה בהחלטת בית משפט קמא הנכבד, שכאמור וכידוע, ישב בדין, ליווה את ההליך ונתן החלטה בנוגע לשכ"ט כונסי הנכסים בעודו מכיר את היקף העבודה, התמורה שהתקבלה, זהות בעלי הנכסים וכיו"ב.</w:t>
      </w:r>
    </w:p>
    <w:p>
      <w:pPr>
        <w:numPr>
          <w:ilvl w:val="0"/>
          <w:numId w:val="1"/>
        </w:numPr>
        <w:spacing w:before="240" w:after="240" w:line="276" w:lineRule="auto"/>
        <w:ind w:left="-58" w:hanging="368"/>
        <w:jc w:val="both"/>
        <w:rPr>
          <w:rFonts w:ascii="David" w:hAnsi="David" w:cs="David"/>
          <w:sz w:val="24"/>
          <w:szCs w:val="24"/>
          <w:rtl/>
        </w:rPr>
      </w:pPr>
      <w:r>
        <w:rPr>
          <w:rFonts w:ascii="David" w:hAnsi="David" w:cs="David" w:hint="cs"/>
          <w:sz w:val="24"/>
          <w:szCs w:val="24"/>
          <w:rtl/>
        </w:rPr>
        <w:t>בנסיבות אלה יתבקש בית המשפט הנכבד להורות על דחיית הערעור תוך חיוב כונסי הנכסים בהוצאות הימנותא בצירוף שכ"ט הכולל מע"מ.</w:t>
      </w:r>
    </w:p>
    <w:bookmarkEnd w:id="0"/>
    <w:p>
      <w:pPr>
        <w:spacing w:after="240" w:line="276" w:lineRule="auto"/>
        <w:ind w:left="720" w:firstLine="720"/>
        <w:jc w:val="both"/>
        <w:rPr>
          <w:rFonts w:ascii="David" w:hAnsi="David" w:cs="David"/>
          <w:b/>
          <w:bCs/>
          <w:sz w:val="24"/>
          <w:szCs w:val="24"/>
          <w:rtl/>
        </w:rPr>
      </w:pPr>
      <w:r>
        <w:rPr>
          <w:rFonts w:ascii="David" w:hAnsi="David" w:cs="David" w:hint="cs"/>
          <w:b/>
          <w:bCs/>
          <w:sz w:val="24"/>
          <w:szCs w:val="24"/>
          <w:rtl/>
        </w:rPr>
        <w:t>_______________</w:t>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hint="cs"/>
          <w:b/>
          <w:bCs/>
          <w:sz w:val="24"/>
          <w:szCs w:val="24"/>
          <w:rtl/>
        </w:rPr>
        <w:t>_______________</w:t>
      </w:r>
    </w:p>
    <w:p>
      <w:pPr>
        <w:spacing w:after="240" w:line="276" w:lineRule="auto"/>
        <w:ind w:left="720" w:firstLine="720"/>
        <w:jc w:val="both"/>
        <w:rPr>
          <w:rFonts w:ascii="David" w:hAnsi="David" w:cs="David"/>
          <w:b/>
          <w:bCs/>
          <w:sz w:val="24"/>
          <w:szCs w:val="24"/>
          <w:rtl/>
        </w:rPr>
      </w:pPr>
      <w:r>
        <w:rPr>
          <w:rFonts w:ascii="David" w:hAnsi="David" w:cs="David" w:hint="cs"/>
          <w:b/>
          <w:bCs/>
          <w:sz w:val="24"/>
          <w:szCs w:val="24"/>
          <w:rtl/>
        </w:rPr>
        <w:t>יוסי האזרחי, עו"ד</w:t>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hint="cs"/>
          <w:b/>
          <w:bCs/>
          <w:sz w:val="24"/>
          <w:szCs w:val="24"/>
          <w:rtl/>
        </w:rPr>
        <w:t>דנה ברונשטיין, עו"ד</w:t>
      </w:r>
    </w:p>
    <w:p>
      <w:pPr>
        <w:spacing w:after="240" w:line="276" w:lineRule="auto"/>
        <w:ind w:left="720"/>
        <w:jc w:val="both"/>
        <w:rPr>
          <w:rFonts w:ascii="David" w:hAnsi="David" w:cs="David"/>
          <w:b/>
          <w:bCs/>
          <w:sz w:val="24"/>
          <w:szCs w:val="24"/>
        </w:rPr>
      </w:pPr>
      <w:r>
        <w:rPr>
          <w:rFonts w:ascii="David" w:hAnsi="David" w:cs="David"/>
          <w:b/>
          <w:bCs/>
          <w:sz w:val="24"/>
          <w:szCs w:val="24"/>
          <w:rtl/>
        </w:rPr>
        <w:tab/>
      </w:r>
      <w:r>
        <w:rPr>
          <w:rFonts w:ascii="David" w:hAnsi="David" w:cs="David"/>
          <w:b/>
          <w:bCs/>
          <w:sz w:val="24"/>
          <w:szCs w:val="24"/>
          <w:rtl/>
        </w:rPr>
        <w:tab/>
      </w:r>
      <w:r>
        <w:rPr>
          <w:rFonts w:ascii="David" w:hAnsi="David" w:cs="David" w:hint="cs"/>
          <w:b/>
          <w:bCs/>
          <w:sz w:val="24"/>
          <w:szCs w:val="24"/>
          <w:rtl/>
        </w:rPr>
        <w:t xml:space="preserve">         </w:t>
      </w:r>
      <w:r>
        <w:rPr>
          <w:rFonts w:ascii="David" w:hAnsi="David" w:cs="David"/>
          <w:b/>
          <w:bCs/>
          <w:sz w:val="24"/>
          <w:szCs w:val="24"/>
          <w:rtl/>
        </w:rPr>
        <w:tab/>
      </w:r>
      <w:r>
        <w:rPr>
          <w:rFonts w:ascii="David" w:hAnsi="David" w:cs="David" w:hint="cs"/>
          <w:b/>
          <w:bCs/>
          <w:sz w:val="24"/>
          <w:szCs w:val="24"/>
          <w:rtl/>
        </w:rPr>
        <w:t xml:space="preserve">         ב"כ הימנותא</w:t>
      </w:r>
    </w:p>
    <w:p>
      <w:pPr>
        <w:rPr>
          <w:rtl/>
        </w:rPr>
      </w:pPr>
    </w:p>
    <w:p>
      <w:pPr>
        <w:rPr>
          <w:rtl/>
        </w:rPr>
      </w:pPr>
    </w:p>
    <w:p>
      <w:pPr>
        <w:rPr>
          <w:rtl/>
        </w:rPr>
      </w:pPr>
    </w:p>
    <w:p>
      <w:pPr>
        <w:rPr>
          <w:rtl/>
        </w:rPr>
      </w:pPr>
    </w:p>
    <w:p>
      <w:pPr>
        <w:rPr>
          <w:rtl/>
        </w:rPr>
      </w:pPr>
      <w:r>
        <w:rPr>
          <w:rtl/>
        </w:rPr>
        <w:t>84\96\17</w:t>
      </w:r>
    </w:p>
    <w:p>
      <w:pPr>
        <w:rPr>
          <w:rtl/>
        </w:rPr>
      </w:pPr>
    </w:p>
    <w:p>
      <w:pPr>
        <w:rPr>
          <w:rtl/>
        </w:rPr>
      </w:pPr>
    </w:p>
    <w:p>
      <w:pPr>
        <w:rPr>
          <w:rtl/>
        </w:rPr>
      </w:pPr>
    </w:p>
    <w:p>
      <w:r>
        <w:rPr>
          <w:rtl/>
        </w:rPr>
        <w:t>84\96\39</w:t>
      </w:r>
    </w:p>
    <w:sectPr>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861E6"/>
    <w:multiLevelType w:val="hybridMultilevel"/>
    <w:tmpl w:val="D0A26088"/>
    <w:lvl w:ilvl="0">
      <w:start w:val="1"/>
      <w:numFmt w:val="hebrew1"/>
      <w:lvlText w:val="%1."/>
      <w:lvlJc w:val="left"/>
      <w:pPr>
        <w:ind w:left="302" w:hanging="360"/>
      </w:pPr>
      <w:rPr>
        <w:rFonts w:hint="default"/>
      </w:rPr>
    </w:lvl>
    <w:lvl w:ilvl="1" w:tentative="1">
      <w:start w:val="1"/>
      <w:numFmt w:val="lowerLetter"/>
      <w:lvlText w:val="%2."/>
      <w:lvlJc w:val="left"/>
      <w:pPr>
        <w:ind w:left="1022" w:hanging="360"/>
      </w:pPr>
    </w:lvl>
    <w:lvl w:ilvl="2" w:tentative="1">
      <w:start w:val="1"/>
      <w:numFmt w:val="lowerRoman"/>
      <w:lvlText w:val="%3."/>
      <w:lvlJc w:val="right"/>
      <w:pPr>
        <w:ind w:left="1742" w:hanging="180"/>
      </w:pPr>
    </w:lvl>
    <w:lvl w:ilvl="3" w:tentative="1">
      <w:start w:val="1"/>
      <w:numFmt w:val="decimal"/>
      <w:lvlText w:val="%4."/>
      <w:lvlJc w:val="left"/>
      <w:pPr>
        <w:ind w:left="2462" w:hanging="360"/>
      </w:pPr>
    </w:lvl>
    <w:lvl w:ilvl="4" w:tentative="1">
      <w:start w:val="1"/>
      <w:numFmt w:val="lowerLetter"/>
      <w:lvlText w:val="%5."/>
      <w:lvlJc w:val="left"/>
      <w:pPr>
        <w:ind w:left="3182" w:hanging="360"/>
      </w:pPr>
    </w:lvl>
    <w:lvl w:ilvl="5" w:tentative="1">
      <w:start w:val="1"/>
      <w:numFmt w:val="lowerRoman"/>
      <w:lvlText w:val="%6."/>
      <w:lvlJc w:val="right"/>
      <w:pPr>
        <w:ind w:left="3902" w:hanging="180"/>
      </w:pPr>
    </w:lvl>
    <w:lvl w:ilvl="6" w:tentative="1">
      <w:start w:val="1"/>
      <w:numFmt w:val="decimal"/>
      <w:lvlText w:val="%7."/>
      <w:lvlJc w:val="left"/>
      <w:pPr>
        <w:ind w:left="4622" w:hanging="360"/>
      </w:pPr>
    </w:lvl>
    <w:lvl w:ilvl="7" w:tentative="1">
      <w:start w:val="1"/>
      <w:numFmt w:val="lowerLetter"/>
      <w:lvlText w:val="%8."/>
      <w:lvlJc w:val="left"/>
      <w:pPr>
        <w:ind w:left="5342" w:hanging="360"/>
      </w:pPr>
    </w:lvl>
    <w:lvl w:ilvl="8" w:tentative="1">
      <w:start w:val="1"/>
      <w:numFmt w:val="lowerRoman"/>
      <w:lvlText w:val="%9."/>
      <w:lvlJc w:val="right"/>
      <w:pPr>
        <w:ind w:left="6062" w:hanging="180"/>
      </w:pPr>
    </w:lvl>
  </w:abstractNum>
  <w:abstractNum w:abstractNumId="1">
    <w:nsid w:val="08A6001B"/>
    <w:multiLevelType w:val="hybridMultilevel"/>
    <w:tmpl w:val="EC7AB178"/>
    <w:lvl w:ilvl="0">
      <w:start w:val="1"/>
      <w:numFmt w:val="decimal"/>
      <w:pStyle w:val="Ruller4"/>
      <w:lvlText w:val="%1."/>
      <w:lvlJc w:val="left"/>
      <w:pPr>
        <w:tabs>
          <w:tab w:val="num" w:pos="907"/>
        </w:tabs>
        <w:ind w:left="0" w:firstLine="0"/>
      </w:pPr>
      <w:rPr>
        <w:rFonts w:hint="default"/>
        <w:lang w:val="en-US" w:bidi="he-I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66302E3"/>
    <w:multiLevelType w:val="multilevel"/>
    <w:tmpl w:val="43E64994"/>
    <w:lvl w:ilvl="0">
      <w:start w:val="1"/>
      <w:numFmt w:val="decimal"/>
      <w:lvlText w:val="%1."/>
      <w:lvlJc w:val="left"/>
      <w:pPr>
        <w:ind w:left="360" w:hanging="360"/>
      </w:pPr>
      <w:rPr>
        <w:rFonts w:cs="David"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AE00120"/>
    <w:multiLevelType w:val="hybridMultilevel"/>
    <w:tmpl w:val="EA766CE6"/>
    <w:lvl w:ilvl="0">
      <w:start w:val="1"/>
      <w:numFmt w:val="decimal"/>
      <w:lvlText w:val="%1."/>
      <w:lvlJc w:val="left"/>
      <w:pPr>
        <w:ind w:left="2610" w:hanging="360"/>
      </w:pPr>
      <w:rPr>
        <w:rFonts w:hint="default"/>
      </w:rPr>
    </w:lvl>
    <w:lvl w:ilvl="1" w:tentative="1">
      <w:start w:val="1"/>
      <w:numFmt w:val="lowerLetter"/>
      <w:lvlText w:val="%2."/>
      <w:lvlJc w:val="left"/>
      <w:pPr>
        <w:ind w:left="3330" w:hanging="360"/>
      </w:pPr>
    </w:lvl>
    <w:lvl w:ilvl="2" w:tentative="1">
      <w:start w:val="1"/>
      <w:numFmt w:val="lowerRoman"/>
      <w:lvlText w:val="%3."/>
      <w:lvlJc w:val="right"/>
      <w:pPr>
        <w:ind w:left="4050" w:hanging="180"/>
      </w:pPr>
    </w:lvl>
    <w:lvl w:ilvl="3" w:tentative="1">
      <w:start w:val="1"/>
      <w:numFmt w:val="decimal"/>
      <w:lvlText w:val="%4."/>
      <w:lvlJc w:val="left"/>
      <w:pPr>
        <w:ind w:left="4770" w:hanging="360"/>
      </w:pPr>
    </w:lvl>
    <w:lvl w:ilvl="4" w:tentative="1">
      <w:start w:val="1"/>
      <w:numFmt w:val="lowerLetter"/>
      <w:lvlText w:val="%5."/>
      <w:lvlJc w:val="left"/>
      <w:pPr>
        <w:ind w:left="5490" w:hanging="360"/>
      </w:pPr>
    </w:lvl>
    <w:lvl w:ilvl="5" w:tentative="1">
      <w:start w:val="1"/>
      <w:numFmt w:val="lowerRoman"/>
      <w:lvlText w:val="%6."/>
      <w:lvlJc w:val="right"/>
      <w:pPr>
        <w:ind w:left="6210" w:hanging="180"/>
      </w:pPr>
    </w:lvl>
    <w:lvl w:ilvl="6" w:tentative="1">
      <w:start w:val="1"/>
      <w:numFmt w:val="decimal"/>
      <w:lvlText w:val="%7."/>
      <w:lvlJc w:val="left"/>
      <w:pPr>
        <w:ind w:left="6930" w:hanging="360"/>
      </w:pPr>
    </w:lvl>
    <w:lvl w:ilvl="7" w:tentative="1">
      <w:start w:val="1"/>
      <w:numFmt w:val="lowerLetter"/>
      <w:lvlText w:val="%8."/>
      <w:lvlJc w:val="left"/>
      <w:pPr>
        <w:ind w:left="7650" w:hanging="360"/>
      </w:pPr>
    </w:lvl>
    <w:lvl w:ilvl="8" w:tentative="1">
      <w:start w:val="1"/>
      <w:numFmt w:val="lowerRoman"/>
      <w:lvlText w:val="%9."/>
      <w:lvlJc w:val="right"/>
      <w:pPr>
        <w:ind w:left="8370" w:hanging="180"/>
      </w:pPr>
    </w:lvl>
  </w:abstractNum>
  <w:abstractNum w:abstractNumId="4">
    <w:nsid w:val="62DD74CE"/>
    <w:multiLevelType w:val="hybridMultilevel"/>
    <w:tmpl w:val="33FA4782"/>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nsid w:val="6352106C"/>
    <w:multiLevelType w:val="hybridMultilevel"/>
    <w:tmpl w:val="AEEE702A"/>
    <w:lvl w:ilvl="0">
      <w:start w:val="1"/>
      <w:numFmt w:val="hebrew1"/>
      <w:lvlText w:val="%1."/>
      <w:lvlJc w:val="left"/>
      <w:pPr>
        <w:ind w:left="302" w:hanging="360"/>
      </w:pPr>
      <w:rPr>
        <w:rFonts w:hint="default"/>
        <w:lang w:val="en-US"/>
      </w:rPr>
    </w:lvl>
    <w:lvl w:ilvl="1" w:tentative="1">
      <w:start w:val="1"/>
      <w:numFmt w:val="lowerLetter"/>
      <w:lvlText w:val="%2."/>
      <w:lvlJc w:val="left"/>
      <w:pPr>
        <w:ind w:left="1022" w:hanging="360"/>
      </w:pPr>
    </w:lvl>
    <w:lvl w:ilvl="2" w:tentative="1">
      <w:start w:val="1"/>
      <w:numFmt w:val="lowerRoman"/>
      <w:lvlText w:val="%3."/>
      <w:lvlJc w:val="right"/>
      <w:pPr>
        <w:ind w:left="1742" w:hanging="180"/>
      </w:pPr>
    </w:lvl>
    <w:lvl w:ilvl="3" w:tentative="1">
      <w:start w:val="1"/>
      <w:numFmt w:val="decimal"/>
      <w:lvlText w:val="%4."/>
      <w:lvlJc w:val="left"/>
      <w:pPr>
        <w:ind w:left="2462" w:hanging="360"/>
      </w:pPr>
    </w:lvl>
    <w:lvl w:ilvl="4" w:tentative="1">
      <w:start w:val="1"/>
      <w:numFmt w:val="lowerLetter"/>
      <w:lvlText w:val="%5."/>
      <w:lvlJc w:val="left"/>
      <w:pPr>
        <w:ind w:left="3182" w:hanging="360"/>
      </w:pPr>
    </w:lvl>
    <w:lvl w:ilvl="5" w:tentative="1">
      <w:start w:val="1"/>
      <w:numFmt w:val="lowerRoman"/>
      <w:lvlText w:val="%6."/>
      <w:lvlJc w:val="right"/>
      <w:pPr>
        <w:ind w:left="3902" w:hanging="180"/>
      </w:pPr>
    </w:lvl>
    <w:lvl w:ilvl="6" w:tentative="1">
      <w:start w:val="1"/>
      <w:numFmt w:val="decimal"/>
      <w:lvlText w:val="%7."/>
      <w:lvlJc w:val="left"/>
      <w:pPr>
        <w:ind w:left="4622" w:hanging="360"/>
      </w:pPr>
    </w:lvl>
    <w:lvl w:ilvl="7" w:tentative="1">
      <w:start w:val="1"/>
      <w:numFmt w:val="lowerLetter"/>
      <w:lvlText w:val="%8."/>
      <w:lvlJc w:val="left"/>
      <w:pPr>
        <w:ind w:left="5342" w:hanging="360"/>
      </w:pPr>
    </w:lvl>
    <w:lvl w:ilvl="8" w:tentative="1">
      <w:start w:val="1"/>
      <w:numFmt w:val="lowerRoman"/>
      <w:lvlText w:val="%9."/>
      <w:lvlJc w:val="right"/>
      <w:pPr>
        <w:ind w:left="6062" w:hanging="180"/>
      </w:pPr>
    </w:lvl>
  </w:abstractNum>
  <w:abstractNum w:abstractNumId="6">
    <w:nsid w:val="6B073B38"/>
    <w:multiLevelType w:val="multilevel"/>
    <w:tmpl w:val="43E64994"/>
    <w:lvl w:ilvl="0">
      <w:start w:val="1"/>
      <w:numFmt w:val="decimal"/>
      <w:lvlText w:val="%1."/>
      <w:lvlJc w:val="left"/>
      <w:pPr>
        <w:ind w:left="360" w:hanging="360"/>
      </w:pPr>
      <w:rPr>
        <w:rFonts w:cs="David"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00"/>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chartTrackingRefBased/>
  <w15:docId w15:val="{00145419-F54F-43D1-B414-E17F3F5E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a"/>
    <w:uiPriority w:val="99"/>
    <w:semiHidden/>
    <w:unhideWhenUsed/>
    <w:pPr>
      <w:spacing w:line="240" w:lineRule="auto"/>
    </w:pPr>
    <w:rPr>
      <w:sz w:val="20"/>
      <w:szCs w:val="20"/>
    </w:rPr>
  </w:style>
  <w:style w:type="character" w:customStyle="1" w:styleId="a">
    <w:name w:val="טקסט הערה תו"/>
    <w:basedOn w:val="DefaultParagraphFont"/>
    <w:link w:val="CommentText"/>
    <w:uiPriority w:val="99"/>
    <w:semiHidden/>
    <w:rPr>
      <w:sz w:val="20"/>
      <w:szCs w:val="20"/>
    </w:rPr>
  </w:style>
  <w:style w:type="paragraph" w:styleId="CommentSubject">
    <w:name w:val="annotation subject"/>
    <w:basedOn w:val="CommentText"/>
    <w:next w:val="CommentText"/>
    <w:link w:val="a0"/>
    <w:uiPriority w:val="99"/>
    <w:semiHidden/>
    <w:unhideWhenUsed/>
    <w:rPr>
      <w:b/>
      <w:bCs/>
    </w:rPr>
  </w:style>
  <w:style w:type="character" w:customStyle="1" w:styleId="a0">
    <w:name w:val="נושא הערה תו"/>
    <w:basedOn w:val="a"/>
    <w:link w:val="CommentSubject"/>
    <w:uiPriority w:val="99"/>
    <w:semiHidden/>
    <w:rPr>
      <w:b/>
      <w:bCs/>
      <w:sz w:val="20"/>
      <w:szCs w:val="20"/>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Ruller4">
    <w:name w:val="Ruller 4 ממוספר"/>
    <w:basedOn w:val="Normal"/>
    <w:next w:val="Normal"/>
    <w:pPr>
      <w:numPr>
        <w:numId w:val="7"/>
      </w:numPr>
      <w:tabs>
        <w:tab w:val="left" w:pos="800"/>
      </w:tabs>
      <w:overflowPunct w:val="0"/>
      <w:autoSpaceDE w:val="0"/>
      <w:autoSpaceDN w:val="0"/>
      <w:adjustRightInd w:val="0"/>
      <w:spacing w:after="0" w:line="360" w:lineRule="auto"/>
      <w:jc w:val="both"/>
      <w:textAlignment w:val="baseline"/>
    </w:pPr>
    <w:rPr>
      <w:rFonts w:ascii="Garamond" w:eastAsia="Times New Roman" w:hAnsi="Garamond" w:cs="FrankRuehl"/>
      <w:spacing w:val="10"/>
      <w:sz w:val="24"/>
      <w:szCs w:val="28"/>
    </w:rPr>
  </w:style>
  <w:style w:type="paragraph" w:styleId="Header">
    <w:name w:val="header"/>
    <w:basedOn w:val="Normal"/>
    <w:link w:val="a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David"/>
      <w:sz w:val="20"/>
      <w:szCs w:val="24"/>
    </w:rPr>
  </w:style>
  <w:style w:type="character" w:customStyle="1" w:styleId="a1">
    <w:name w:val="כותרת עליונה תו"/>
    <w:basedOn w:val="DefaultParagraphFont"/>
    <w:link w:val="Header"/>
    <w:rPr>
      <w:rFonts w:ascii="Times New Roman" w:eastAsia="Times New Roman" w:hAnsi="Times New Roman" w:cs="Davi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office@hylaw.co.il" TargetMode="External" /><Relationship Id="rId5" Type="http://schemas.openxmlformats.org/officeDocument/2006/relationships/hyperlink" Target="http://www.nevo.co.il/case/17015858" TargetMode="External" /><Relationship Id="rId6" Type="http://schemas.openxmlformats.org/officeDocument/2006/relationships/hyperlink" Target="http://www.nevo.co.il/case/22841428" TargetMode="External" /><Relationship Id="rId7" Type="http://schemas.openxmlformats.org/officeDocument/2006/relationships/hyperlink" Target="http://www.nevo.co.il/case/17926250" TargetMode="External" /><Relationship Id="rId8" Type="http://schemas.openxmlformats.org/officeDocument/2006/relationships/hyperlink" Target="http://www.nevo.co.il/case/17937272" TargetMode="External" /><Relationship Id="rId9" Type="http://schemas.openxmlformats.org/officeDocument/2006/relationships/hyperlink" Target="http://www.nevo.co.il/case/17928983"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