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11C0" w:rsidRPr="00AC3CBB" w:rsidRDefault="007811C0" w:rsidP="007811C0">
      <w:pPr>
        <w:spacing w:line="480" w:lineRule="auto"/>
        <w:ind w:left="-199" w:right="-284"/>
        <w:rPr>
          <w:rFonts w:cs="David"/>
          <w:b/>
          <w:bCs/>
          <w:sz w:val="24"/>
          <w:szCs w:val="24"/>
        </w:rPr>
      </w:pPr>
      <w:r>
        <w:rPr>
          <w:rFonts w:cs="David"/>
          <w:b/>
          <w:bCs/>
          <w:sz w:val="24"/>
          <w:szCs w:val="24"/>
          <w:u w:val="single"/>
          <w:rtl/>
        </w:rPr>
        <w:t>בבית המשפט העליון</w:t>
      </w:r>
      <w:r>
        <w:rPr>
          <w:rFonts w:cs="David"/>
          <w:b/>
          <w:bCs/>
          <w:sz w:val="24"/>
          <w:szCs w:val="24"/>
          <w:rtl/>
        </w:rPr>
        <w:t xml:space="preserve">   </w:t>
      </w:r>
      <w:commentRangeStart w:id="0"/>
      <w:commentRangeEnd w:id="0"/>
      <w:r w:rsidR="00AA227A">
        <w:rPr>
          <w:rStyle w:val="a8"/>
          <w:rtl/>
        </w:rPr>
        <w:commentReference w:id="0"/>
      </w:r>
      <w:r>
        <w:rPr>
          <w:rFonts w:cs="David"/>
          <w:b/>
          <w:bCs/>
          <w:sz w:val="24"/>
          <w:szCs w:val="24"/>
          <w:rtl/>
        </w:rPr>
        <w:tab/>
      </w:r>
      <w:r>
        <w:rPr>
          <w:rFonts w:cs="David"/>
          <w:b/>
          <w:bCs/>
          <w:sz w:val="24"/>
          <w:szCs w:val="24"/>
          <w:rtl/>
        </w:rPr>
        <w:tab/>
      </w:r>
      <w:r>
        <w:rPr>
          <w:rFonts w:cs="David"/>
          <w:b/>
          <w:bCs/>
          <w:sz w:val="24"/>
          <w:szCs w:val="24"/>
          <w:rtl/>
        </w:rPr>
        <w:tab/>
      </w:r>
      <w:r>
        <w:rPr>
          <w:rFonts w:cs="David"/>
          <w:b/>
          <w:bCs/>
          <w:sz w:val="24"/>
          <w:szCs w:val="24"/>
          <w:rtl/>
        </w:rPr>
        <w:tab/>
        <w:t xml:space="preserve">                                  </w:t>
      </w:r>
      <w:r>
        <w:rPr>
          <w:rFonts w:cs="David"/>
          <w:b/>
          <w:bCs/>
          <w:sz w:val="24"/>
          <w:szCs w:val="24"/>
          <w:rtl/>
        </w:rPr>
        <w:tab/>
      </w:r>
      <w:r>
        <w:rPr>
          <w:rFonts w:cs="David"/>
          <w:b/>
          <w:bCs/>
          <w:sz w:val="24"/>
          <w:szCs w:val="24"/>
          <w:rtl/>
        </w:rPr>
        <w:tab/>
      </w:r>
      <w:r w:rsidRPr="00AC3CBB">
        <w:rPr>
          <w:rFonts w:cs="David"/>
          <w:b/>
          <w:bCs/>
          <w:sz w:val="24"/>
          <w:szCs w:val="24"/>
          <w:rtl/>
        </w:rPr>
        <w:t>רע"א 2935/20</w:t>
      </w:r>
    </w:p>
    <w:p w:rsidR="007811C0" w:rsidRDefault="007811C0" w:rsidP="007811C0">
      <w:pPr>
        <w:spacing w:after="0"/>
        <w:rPr>
          <w:rFonts w:cs="David"/>
          <w:b/>
          <w:bCs/>
          <w:sz w:val="24"/>
          <w:szCs w:val="24"/>
          <w:rtl/>
        </w:rPr>
      </w:pPr>
      <w:r>
        <w:rPr>
          <w:rFonts w:cs="David"/>
          <w:b/>
          <w:bCs/>
          <w:sz w:val="24"/>
          <w:szCs w:val="24"/>
          <w:u w:val="single"/>
          <w:rtl/>
        </w:rPr>
        <w:t>המ</w:t>
      </w:r>
      <w:r>
        <w:rPr>
          <w:rFonts w:cs="David" w:hint="cs"/>
          <w:b/>
          <w:bCs/>
          <w:sz w:val="24"/>
          <w:szCs w:val="24"/>
          <w:u w:val="single"/>
          <w:rtl/>
        </w:rPr>
        <w:t>בקשים</w:t>
      </w:r>
      <w:r>
        <w:rPr>
          <w:rFonts w:cs="David"/>
          <w:b/>
          <w:bCs/>
          <w:sz w:val="24"/>
          <w:szCs w:val="24"/>
          <w:rtl/>
        </w:rPr>
        <w:t>:</w:t>
      </w:r>
      <w:r>
        <w:rPr>
          <w:rFonts w:cs="David"/>
          <w:b/>
          <w:bCs/>
          <w:sz w:val="24"/>
          <w:szCs w:val="24"/>
          <w:rtl/>
        </w:rPr>
        <w:tab/>
        <w:t xml:space="preserve"> </w:t>
      </w:r>
      <w:r>
        <w:rPr>
          <w:rFonts w:cs="David" w:hint="cs"/>
          <w:b/>
          <w:bCs/>
          <w:sz w:val="24"/>
          <w:szCs w:val="24"/>
          <w:rtl/>
        </w:rPr>
        <w:t>1. יורשי המנוח יצחק בן אביר ז"ל</w:t>
      </w:r>
    </w:p>
    <w:p w:rsidR="007811C0" w:rsidRDefault="007811C0" w:rsidP="007811C0">
      <w:pPr>
        <w:spacing w:after="0" w:line="480" w:lineRule="auto"/>
        <w:ind w:left="1502"/>
        <w:rPr>
          <w:rFonts w:cs="David"/>
          <w:b/>
          <w:bCs/>
          <w:sz w:val="24"/>
          <w:szCs w:val="24"/>
          <w:rtl/>
        </w:rPr>
      </w:pPr>
      <w:r w:rsidRPr="00AC3CBB">
        <w:rPr>
          <w:rFonts w:cs="David" w:hint="cs"/>
          <w:b/>
          <w:bCs/>
          <w:sz w:val="24"/>
          <w:szCs w:val="24"/>
          <w:rtl/>
        </w:rPr>
        <w:t xml:space="preserve">2. </w:t>
      </w:r>
      <w:r>
        <w:rPr>
          <w:rFonts w:cs="David" w:hint="cs"/>
          <w:b/>
          <w:bCs/>
          <w:sz w:val="24"/>
          <w:szCs w:val="24"/>
          <w:rtl/>
        </w:rPr>
        <w:t>דורית בן אביר</w:t>
      </w:r>
    </w:p>
    <w:p w:rsidR="007811C0" w:rsidRDefault="007811C0" w:rsidP="007811C0">
      <w:pPr>
        <w:spacing w:after="0"/>
        <w:ind w:left="1502"/>
        <w:rPr>
          <w:rFonts w:cs="David"/>
          <w:sz w:val="24"/>
          <w:szCs w:val="24"/>
          <w:rtl/>
        </w:rPr>
      </w:pPr>
      <w:r>
        <w:rPr>
          <w:rFonts w:cs="David" w:hint="cs"/>
          <w:sz w:val="24"/>
          <w:szCs w:val="24"/>
          <w:rtl/>
        </w:rPr>
        <w:t>ע"י ב"כ עוה"ד דרור ברוטפלד ו/או ליאת ברוטפלד</w:t>
      </w:r>
    </w:p>
    <w:p w:rsidR="007811C0" w:rsidRDefault="007811C0" w:rsidP="007811C0">
      <w:pPr>
        <w:spacing w:after="0"/>
        <w:ind w:left="1502"/>
        <w:rPr>
          <w:rFonts w:cs="David"/>
          <w:sz w:val="24"/>
          <w:szCs w:val="24"/>
          <w:rtl/>
        </w:rPr>
      </w:pPr>
      <w:r>
        <w:rPr>
          <w:rFonts w:cs="David" w:hint="cs"/>
          <w:sz w:val="24"/>
          <w:szCs w:val="24"/>
          <w:rtl/>
        </w:rPr>
        <w:t>ו/או מורן היימן ו/או שירה אלעזר ו/או מילי אשר</w:t>
      </w:r>
    </w:p>
    <w:p w:rsidR="007811C0" w:rsidRDefault="007811C0" w:rsidP="007811C0">
      <w:pPr>
        <w:spacing w:after="0"/>
        <w:ind w:left="1502"/>
        <w:rPr>
          <w:rFonts w:cs="David"/>
          <w:sz w:val="24"/>
          <w:szCs w:val="24"/>
          <w:rtl/>
        </w:rPr>
      </w:pPr>
      <w:r>
        <w:rPr>
          <w:rFonts w:cs="David" w:hint="cs"/>
          <w:sz w:val="24"/>
          <w:szCs w:val="24"/>
          <w:rtl/>
        </w:rPr>
        <w:t xml:space="preserve">מרחוב יגאל אלון 65, מגדלי טויוטה (מגדל </w:t>
      </w:r>
      <w:r>
        <w:rPr>
          <w:rFonts w:cs="David" w:hint="cs"/>
          <w:sz w:val="24"/>
          <w:szCs w:val="24"/>
        </w:rPr>
        <w:t>A</w:t>
      </w:r>
      <w:r>
        <w:rPr>
          <w:rFonts w:cs="David" w:hint="cs"/>
          <w:sz w:val="24"/>
          <w:szCs w:val="24"/>
          <w:rtl/>
        </w:rPr>
        <w:t xml:space="preserve"> קומה 22), תל אביב 67443</w:t>
      </w:r>
    </w:p>
    <w:p w:rsidR="007811C0" w:rsidRPr="00AC3CBB" w:rsidRDefault="007811C0" w:rsidP="007811C0">
      <w:pPr>
        <w:spacing w:after="0"/>
        <w:ind w:left="1502"/>
        <w:rPr>
          <w:rFonts w:cs="David"/>
          <w:sz w:val="24"/>
          <w:szCs w:val="24"/>
          <w:rtl/>
        </w:rPr>
      </w:pPr>
      <w:r>
        <w:rPr>
          <w:rFonts w:cs="David" w:hint="cs"/>
          <w:sz w:val="24"/>
          <w:szCs w:val="24"/>
          <w:rtl/>
        </w:rPr>
        <w:t>טל': 03-6243088; פקס': 03-6243089</w:t>
      </w:r>
    </w:p>
    <w:p w:rsidR="007811C0" w:rsidRDefault="007811C0" w:rsidP="007811C0">
      <w:pPr>
        <w:spacing w:after="0" w:line="240" w:lineRule="auto"/>
        <w:ind w:left="804" w:right="-110" w:firstLine="720"/>
        <w:jc w:val="both"/>
        <w:rPr>
          <w:rFonts w:cs="David"/>
          <w:b/>
          <w:bCs/>
          <w:sz w:val="32"/>
          <w:szCs w:val="32"/>
          <w:rtl/>
        </w:rPr>
      </w:pPr>
      <w:r>
        <w:rPr>
          <w:rFonts w:cs="David"/>
          <w:b/>
          <w:bCs/>
          <w:sz w:val="24"/>
          <w:szCs w:val="24"/>
          <w:u w:val="single"/>
          <w:rtl/>
        </w:rPr>
        <w:t xml:space="preserve"> </w:t>
      </w:r>
    </w:p>
    <w:p w:rsidR="007811C0" w:rsidRDefault="007811C0" w:rsidP="007811C0">
      <w:pPr>
        <w:spacing w:after="0" w:line="480" w:lineRule="auto"/>
        <w:ind w:left="804" w:right="-110" w:firstLine="720"/>
        <w:jc w:val="both"/>
        <w:rPr>
          <w:rFonts w:cs="David"/>
          <w:b/>
          <w:bCs/>
          <w:sz w:val="32"/>
          <w:szCs w:val="32"/>
          <w:rtl/>
        </w:rPr>
      </w:pPr>
      <w:r>
        <w:rPr>
          <w:rFonts w:cs="David"/>
          <w:b/>
          <w:bCs/>
          <w:sz w:val="32"/>
          <w:szCs w:val="32"/>
          <w:rtl/>
        </w:rPr>
        <w:t>-נגד-</w:t>
      </w:r>
    </w:p>
    <w:p w:rsidR="007811C0" w:rsidRDefault="007811C0" w:rsidP="007811C0">
      <w:pPr>
        <w:spacing w:after="0" w:line="240" w:lineRule="auto"/>
        <w:ind w:left="1360" w:hanging="1559"/>
        <w:rPr>
          <w:rFonts w:cs="David"/>
          <w:b/>
          <w:bCs/>
          <w:sz w:val="24"/>
          <w:szCs w:val="24"/>
          <w:rtl/>
        </w:rPr>
      </w:pPr>
      <w:r>
        <w:rPr>
          <w:rFonts w:cs="David"/>
          <w:b/>
          <w:bCs/>
          <w:sz w:val="24"/>
          <w:szCs w:val="24"/>
          <w:u w:val="single"/>
          <w:rtl/>
        </w:rPr>
        <w:t>המשיבים</w:t>
      </w:r>
      <w:r>
        <w:rPr>
          <w:rFonts w:cs="David"/>
          <w:sz w:val="24"/>
          <w:szCs w:val="24"/>
          <w:rtl/>
        </w:rPr>
        <w:t xml:space="preserve">: </w:t>
      </w:r>
      <w:r>
        <w:rPr>
          <w:rFonts w:cs="David"/>
          <w:sz w:val="24"/>
          <w:szCs w:val="24"/>
          <w:rtl/>
        </w:rPr>
        <w:tab/>
      </w:r>
      <w:r>
        <w:rPr>
          <w:rFonts w:cs="David"/>
          <w:b/>
          <w:bCs/>
          <w:sz w:val="24"/>
          <w:szCs w:val="24"/>
          <w:rtl/>
        </w:rPr>
        <w:t>1.</w:t>
      </w:r>
      <w:r>
        <w:rPr>
          <w:rFonts w:cs="David"/>
          <w:sz w:val="24"/>
          <w:szCs w:val="24"/>
          <w:rtl/>
        </w:rPr>
        <w:t xml:space="preserve"> </w:t>
      </w:r>
      <w:r>
        <w:rPr>
          <w:rFonts w:cs="David" w:hint="cs"/>
          <w:b/>
          <w:bCs/>
          <w:sz w:val="24"/>
          <w:szCs w:val="24"/>
          <w:rtl/>
        </w:rPr>
        <w:t>דלתא להשקעות ולמסחר (קרני שומרון) בע"מ</w:t>
      </w:r>
    </w:p>
    <w:p w:rsidR="007811C0" w:rsidRDefault="007811C0" w:rsidP="007811C0">
      <w:pPr>
        <w:spacing w:after="0"/>
        <w:ind w:left="3344" w:hanging="1701"/>
        <w:rPr>
          <w:rFonts w:cs="David"/>
          <w:b/>
          <w:bCs/>
          <w:sz w:val="24"/>
          <w:szCs w:val="24"/>
          <w:rtl/>
        </w:rPr>
      </w:pPr>
      <w:r>
        <w:rPr>
          <w:rFonts w:cs="David" w:hint="cs"/>
          <w:b/>
          <w:bCs/>
          <w:sz w:val="24"/>
          <w:szCs w:val="24"/>
          <w:rtl/>
        </w:rPr>
        <w:t>רשום בקמ"ט הרישוי, מספר ח.פ. 562401364</w:t>
      </w:r>
    </w:p>
    <w:p w:rsidR="007811C0" w:rsidRDefault="007811C0" w:rsidP="007811C0">
      <w:pPr>
        <w:spacing w:after="0" w:line="240" w:lineRule="auto"/>
        <w:ind w:left="1360"/>
        <w:rPr>
          <w:rFonts w:cs="David"/>
          <w:b/>
          <w:bCs/>
          <w:sz w:val="24"/>
          <w:szCs w:val="24"/>
          <w:rtl/>
        </w:rPr>
      </w:pPr>
      <w:r>
        <w:rPr>
          <w:rFonts w:cs="David" w:hint="cs"/>
          <w:b/>
          <w:bCs/>
          <w:sz w:val="24"/>
          <w:szCs w:val="24"/>
          <w:rtl/>
        </w:rPr>
        <w:t>2. משה קליין</w:t>
      </w:r>
    </w:p>
    <w:p w:rsidR="007811C0" w:rsidRPr="00AC3CBB" w:rsidRDefault="007811C0" w:rsidP="007811C0">
      <w:pPr>
        <w:spacing w:after="0" w:line="240" w:lineRule="auto"/>
        <w:ind w:left="1440"/>
        <w:rPr>
          <w:rFonts w:cs="David"/>
          <w:sz w:val="24"/>
          <w:szCs w:val="24"/>
          <w:rtl/>
        </w:rPr>
      </w:pPr>
    </w:p>
    <w:p w:rsidR="007811C0" w:rsidRDefault="007811C0" w:rsidP="007811C0">
      <w:pPr>
        <w:spacing w:after="0"/>
        <w:ind w:left="1502"/>
        <w:rPr>
          <w:rFonts w:cs="David"/>
          <w:sz w:val="24"/>
          <w:szCs w:val="24"/>
          <w:rtl/>
        </w:rPr>
      </w:pPr>
      <w:r>
        <w:rPr>
          <w:rFonts w:cs="David" w:hint="cs"/>
          <w:sz w:val="24"/>
          <w:szCs w:val="24"/>
          <w:rtl/>
        </w:rPr>
        <w:t>שכתובתם בת"ד 7010 אורנית, מיקוד 4481300</w:t>
      </w:r>
    </w:p>
    <w:p w:rsidR="007811C0" w:rsidRPr="00EE635F" w:rsidRDefault="007811C0" w:rsidP="007811C0">
      <w:pPr>
        <w:spacing w:after="0"/>
        <w:ind w:left="1502"/>
        <w:rPr>
          <w:rFonts w:ascii="Arial" w:hAnsi="Arial" w:cs="Arial"/>
          <w:b/>
          <w:bCs/>
          <w:sz w:val="24"/>
          <w:szCs w:val="24"/>
          <w:rtl/>
        </w:rPr>
      </w:pPr>
      <w:r>
        <w:rPr>
          <w:rFonts w:ascii="Arial" w:hAnsi="Arial" w:cs="Arial"/>
          <w:sz w:val="24"/>
          <w:szCs w:val="24"/>
        </w:rPr>
        <w:t>Klein1950@gmail.com</w:t>
      </w:r>
    </w:p>
    <w:p w:rsidR="007811C0" w:rsidRPr="0061460D" w:rsidRDefault="007811C0" w:rsidP="007811C0">
      <w:pPr>
        <w:spacing w:before="240" w:after="0"/>
        <w:ind w:left="1502"/>
        <w:rPr>
          <w:rFonts w:cs="David"/>
          <w:b/>
          <w:bCs/>
          <w:sz w:val="24"/>
          <w:szCs w:val="24"/>
          <w:rtl/>
        </w:rPr>
      </w:pPr>
      <w:r w:rsidRPr="0061460D">
        <w:rPr>
          <w:rFonts w:cs="David" w:hint="cs"/>
          <w:b/>
          <w:bCs/>
          <w:sz w:val="24"/>
          <w:szCs w:val="24"/>
          <w:rtl/>
        </w:rPr>
        <w:t>3. המנהל האזרחי (אזור יהודה ושומרון), הממונה על הרכוש הנטוש והממשלתי</w:t>
      </w:r>
    </w:p>
    <w:p w:rsidR="007811C0" w:rsidRDefault="007811C0" w:rsidP="007811C0">
      <w:pPr>
        <w:spacing w:before="240" w:after="0"/>
        <w:ind w:left="1502"/>
        <w:rPr>
          <w:rFonts w:cs="David"/>
          <w:sz w:val="24"/>
          <w:szCs w:val="24"/>
          <w:rtl/>
        </w:rPr>
      </w:pPr>
      <w:r>
        <w:rPr>
          <w:rFonts w:cs="David" w:hint="cs"/>
          <w:sz w:val="24"/>
          <w:szCs w:val="24"/>
          <w:rtl/>
        </w:rPr>
        <w:t xml:space="preserve">ע"י </w:t>
      </w:r>
      <w:r>
        <w:rPr>
          <w:rFonts w:cs="David"/>
          <w:sz w:val="24"/>
          <w:szCs w:val="24"/>
          <w:rtl/>
        </w:rPr>
        <w:t xml:space="preserve">ב"כ מפרקליטות המדינה </w:t>
      </w:r>
      <w:r>
        <w:rPr>
          <w:rFonts w:cs="David" w:hint="cs"/>
          <w:sz w:val="24"/>
          <w:szCs w:val="24"/>
          <w:rtl/>
        </w:rPr>
        <w:t>(ה</w:t>
      </w:r>
      <w:r>
        <w:rPr>
          <w:rFonts w:cs="David"/>
          <w:sz w:val="24"/>
          <w:szCs w:val="24"/>
          <w:rtl/>
        </w:rPr>
        <w:t>מחלקה אזרחית</w:t>
      </w:r>
      <w:r>
        <w:rPr>
          <w:rFonts w:cs="David" w:hint="cs"/>
          <w:sz w:val="24"/>
          <w:szCs w:val="24"/>
          <w:rtl/>
        </w:rPr>
        <w:t>),</w:t>
      </w:r>
    </w:p>
    <w:p w:rsidR="007811C0" w:rsidRDefault="007811C0" w:rsidP="007811C0">
      <w:pPr>
        <w:spacing w:after="0"/>
        <w:ind w:left="804" w:right="-110" w:firstLine="720"/>
        <w:jc w:val="both"/>
        <w:rPr>
          <w:rFonts w:cs="David"/>
          <w:sz w:val="24"/>
          <w:szCs w:val="24"/>
          <w:rtl/>
        </w:rPr>
      </w:pPr>
      <w:r>
        <w:rPr>
          <w:rFonts w:cs="David"/>
          <w:sz w:val="24"/>
          <w:szCs w:val="24"/>
          <w:rtl/>
        </w:rPr>
        <w:t xml:space="preserve">מרחוב קרית המדע 5, בניין </w:t>
      </w:r>
      <w:r>
        <w:rPr>
          <w:rFonts w:cs="David"/>
          <w:sz w:val="24"/>
          <w:szCs w:val="24"/>
        </w:rPr>
        <w:t>B3</w:t>
      </w:r>
      <w:r>
        <w:rPr>
          <w:rFonts w:cs="David"/>
          <w:sz w:val="24"/>
          <w:szCs w:val="24"/>
          <w:rtl/>
        </w:rPr>
        <w:t>, הר חוצבים, ירושלים 9777605</w:t>
      </w:r>
    </w:p>
    <w:p w:rsidR="007811C0" w:rsidRDefault="007811C0" w:rsidP="007811C0">
      <w:pPr>
        <w:spacing w:after="0"/>
        <w:ind w:left="804" w:right="-110" w:firstLine="720"/>
        <w:jc w:val="both"/>
        <w:rPr>
          <w:rFonts w:cs="David"/>
          <w:sz w:val="24"/>
          <w:szCs w:val="24"/>
          <w:rtl/>
        </w:rPr>
      </w:pPr>
      <w:r>
        <w:rPr>
          <w:rFonts w:cs="David"/>
          <w:sz w:val="24"/>
          <w:szCs w:val="24"/>
          <w:rtl/>
        </w:rPr>
        <w:t>טל: 073-3929631; פקס': 02-6467624</w:t>
      </w:r>
    </w:p>
    <w:p w:rsidR="007811C0" w:rsidRDefault="007811C0" w:rsidP="007811C0">
      <w:pPr>
        <w:spacing w:before="240"/>
        <w:ind w:left="804" w:right="-110" w:firstLine="720"/>
        <w:jc w:val="both"/>
        <w:rPr>
          <w:rFonts w:cs="David"/>
          <w:b/>
          <w:bCs/>
          <w:sz w:val="24"/>
          <w:szCs w:val="24"/>
          <w:rtl/>
        </w:rPr>
      </w:pPr>
      <w:r>
        <w:rPr>
          <w:rFonts w:cs="David" w:hint="cs"/>
          <w:b/>
          <w:bCs/>
          <w:sz w:val="24"/>
          <w:szCs w:val="24"/>
          <w:rtl/>
        </w:rPr>
        <w:t>4. סויסה גלעד</w:t>
      </w:r>
    </w:p>
    <w:p w:rsidR="007811C0" w:rsidRDefault="007811C0" w:rsidP="007811C0">
      <w:pPr>
        <w:spacing w:after="0"/>
        <w:ind w:left="804" w:right="-110" w:firstLine="720"/>
        <w:jc w:val="both"/>
        <w:rPr>
          <w:rFonts w:cs="David"/>
          <w:sz w:val="24"/>
          <w:szCs w:val="24"/>
          <w:rtl/>
        </w:rPr>
      </w:pPr>
      <w:r>
        <w:rPr>
          <w:rFonts w:cs="David" w:hint="cs"/>
          <w:sz w:val="24"/>
          <w:szCs w:val="24"/>
          <w:rtl/>
        </w:rPr>
        <w:t>ע"י ב"כ טובה כהן</w:t>
      </w:r>
    </w:p>
    <w:p w:rsidR="007811C0" w:rsidRDefault="007811C0" w:rsidP="007811C0">
      <w:pPr>
        <w:spacing w:after="0"/>
        <w:ind w:left="804" w:right="-110" w:firstLine="720"/>
        <w:jc w:val="both"/>
        <w:rPr>
          <w:rFonts w:cs="David"/>
          <w:sz w:val="24"/>
          <w:szCs w:val="24"/>
          <w:rtl/>
        </w:rPr>
      </w:pPr>
      <w:r>
        <w:rPr>
          <w:rFonts w:cs="David" w:hint="cs"/>
          <w:sz w:val="24"/>
          <w:szCs w:val="24"/>
          <w:rtl/>
        </w:rPr>
        <w:t>מרחוב ז'בוטינסקי, רמת גן</w:t>
      </w:r>
    </w:p>
    <w:p w:rsidR="007811C0" w:rsidRPr="0061460D" w:rsidRDefault="007811C0" w:rsidP="007811C0">
      <w:pPr>
        <w:spacing w:after="0"/>
        <w:ind w:left="804" w:right="-110" w:firstLine="720"/>
        <w:jc w:val="both"/>
        <w:rPr>
          <w:rFonts w:cs="David"/>
          <w:sz w:val="24"/>
          <w:szCs w:val="24"/>
          <w:rtl/>
        </w:rPr>
      </w:pPr>
      <w:r>
        <w:rPr>
          <w:rFonts w:cs="David" w:hint="cs"/>
          <w:sz w:val="24"/>
          <w:szCs w:val="24"/>
          <w:rtl/>
        </w:rPr>
        <w:t>טל': 03-7512496; פקס': 03-7512493</w:t>
      </w:r>
    </w:p>
    <w:p w:rsidR="007811C0" w:rsidRDefault="007811C0" w:rsidP="007811C0">
      <w:pPr>
        <w:spacing w:line="480" w:lineRule="auto"/>
        <w:rPr>
          <w:rFonts w:cs="David"/>
          <w:b/>
          <w:bCs/>
          <w:sz w:val="24"/>
          <w:szCs w:val="24"/>
          <w:u w:val="single"/>
          <w:rtl/>
        </w:rPr>
      </w:pPr>
    </w:p>
    <w:p w:rsidR="007811C0" w:rsidRDefault="00D50F08" w:rsidP="002B5115">
      <w:pPr>
        <w:spacing w:before="240" w:line="480" w:lineRule="auto"/>
        <w:ind w:left="-58"/>
        <w:jc w:val="center"/>
        <w:rPr>
          <w:rFonts w:ascii="David" w:eastAsia="Times New Roman" w:hAnsi="David" w:cs="David"/>
          <w:b/>
          <w:bCs/>
          <w:sz w:val="24"/>
          <w:szCs w:val="24"/>
          <w:u w:val="single"/>
          <w:rtl/>
          <w:lang w:eastAsia="he-IL"/>
        </w:rPr>
      </w:pPr>
      <w:r>
        <w:rPr>
          <w:rFonts w:ascii="David" w:eastAsia="Times New Roman" w:hAnsi="David" w:cs="David" w:hint="cs"/>
          <w:b/>
          <w:bCs/>
          <w:sz w:val="24"/>
          <w:szCs w:val="24"/>
          <w:u w:val="single"/>
          <w:rtl/>
          <w:lang w:eastAsia="he-IL"/>
        </w:rPr>
        <w:t xml:space="preserve">תשובה מטעם </w:t>
      </w:r>
      <w:r w:rsidR="002B5115">
        <w:rPr>
          <w:rFonts w:ascii="David" w:eastAsia="Times New Roman" w:hAnsi="David" w:cs="David" w:hint="cs"/>
          <w:b/>
          <w:bCs/>
          <w:sz w:val="24"/>
          <w:szCs w:val="24"/>
          <w:u w:val="single"/>
          <w:rtl/>
          <w:lang w:eastAsia="he-IL"/>
        </w:rPr>
        <w:t>המשיב 3 לבקשת הרשות ל</w:t>
      </w:r>
      <w:r>
        <w:rPr>
          <w:rFonts w:ascii="David" w:eastAsia="Times New Roman" w:hAnsi="David" w:cs="David" w:hint="cs"/>
          <w:b/>
          <w:bCs/>
          <w:sz w:val="24"/>
          <w:szCs w:val="24"/>
          <w:u w:val="single"/>
          <w:rtl/>
          <w:lang w:eastAsia="he-IL"/>
        </w:rPr>
        <w:t>ערער</w:t>
      </w:r>
    </w:p>
    <w:p w:rsidR="002B5115" w:rsidRDefault="002B5115" w:rsidP="002B5115">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המשיב 3 מתנגד לבקשת המבקש למתן רשות ערעור וסבור כי החלטת בית המשפט קמא נכונה, ואין מקום להתערב בה.</w:t>
      </w:r>
    </w:p>
    <w:p w:rsidR="002B5115" w:rsidRDefault="002B5115" w:rsidP="002B5115">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המשיב 4 הגיש עוד קודם לחקיקת חוק תובענות ייצוגיות תביעה כנגד המשיבה 1. במסגרת תביעה זו הגיש בקשה לאשר את התביעה כייצוגית. </w:t>
      </w:r>
      <w:r w:rsidR="00C875B9">
        <w:rPr>
          <w:rFonts w:ascii="David" w:eastAsia="Times New Roman" w:hAnsi="David" w:cs="David" w:hint="cs"/>
          <w:sz w:val="24"/>
          <w:szCs w:val="24"/>
          <w:rtl/>
          <w:lang w:eastAsia="he-IL"/>
        </w:rPr>
        <w:t xml:space="preserve">המשיבה 1 שלחה הודעת צד שלישי למשיב 3 במסגרת תביעה זו. </w:t>
      </w:r>
      <w:r>
        <w:rPr>
          <w:rFonts w:ascii="David" w:eastAsia="Times New Roman" w:hAnsi="David" w:cs="David" w:hint="cs"/>
          <w:sz w:val="24"/>
          <w:szCs w:val="24"/>
          <w:rtl/>
          <w:lang w:eastAsia="he-IL"/>
        </w:rPr>
        <w:t xml:space="preserve">המבקשים (למעשה המנוח שהמבקש 1 הוא עזבונו והמבקשת 2. מטעמי נוחות נתייחס גם אליהם כמבקשים) הגישו בשנת </w:t>
      </w:r>
      <w:r w:rsidR="00D262A6">
        <w:rPr>
          <w:rFonts w:ascii="David" w:eastAsia="Times New Roman" w:hAnsi="David" w:cs="David" w:hint="cs"/>
          <w:sz w:val="24"/>
          <w:szCs w:val="24"/>
          <w:rtl/>
          <w:lang w:eastAsia="he-IL"/>
        </w:rPr>
        <w:t xml:space="preserve">2008 </w:t>
      </w:r>
      <w:r>
        <w:rPr>
          <w:rFonts w:ascii="David" w:eastAsia="Times New Roman" w:hAnsi="David" w:cs="David" w:hint="cs"/>
          <w:sz w:val="24"/>
          <w:szCs w:val="24"/>
          <w:rtl/>
          <w:lang w:eastAsia="he-IL"/>
        </w:rPr>
        <w:t>בקשה לאישור תביעה ייצוגית כנגד המשיבים 1-3. הליכים אלו אוחדו, בשל החפיפה הקיימת בעילות ובסעדים המועלים בהם, לפחות בחלקם.</w:t>
      </w:r>
    </w:p>
    <w:p w:rsidR="002B5115" w:rsidRDefault="002B5115" w:rsidP="002B5115">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המבקשים והמשיב 3 הם מי שהתקשרו עם המשיבה 1 </w:t>
      </w:r>
      <w:r w:rsidR="004E56A3">
        <w:rPr>
          <w:rFonts w:ascii="David" w:eastAsia="Times New Roman" w:hAnsi="David" w:cs="David" w:hint="cs"/>
          <w:sz w:val="24"/>
          <w:szCs w:val="24"/>
          <w:rtl/>
          <w:lang w:eastAsia="he-IL"/>
        </w:rPr>
        <w:t xml:space="preserve">(להלן </w:t>
      </w:r>
      <w:r w:rsidR="004E56A3">
        <w:rPr>
          <w:rFonts w:ascii="David" w:eastAsia="Times New Roman" w:hAnsi="David" w:cs="David"/>
          <w:sz w:val="24"/>
          <w:szCs w:val="24"/>
          <w:rtl/>
          <w:lang w:eastAsia="he-IL"/>
        </w:rPr>
        <w:t>–</w:t>
      </w:r>
      <w:r w:rsidR="004E56A3">
        <w:rPr>
          <w:rFonts w:ascii="David" w:eastAsia="Times New Roman" w:hAnsi="David" w:cs="David" w:hint="cs"/>
          <w:sz w:val="24"/>
          <w:szCs w:val="24"/>
          <w:rtl/>
          <w:lang w:eastAsia="he-IL"/>
        </w:rPr>
        <w:t xml:space="preserve"> המשיבה או דלתא) </w:t>
      </w:r>
      <w:r>
        <w:rPr>
          <w:rFonts w:ascii="David" w:eastAsia="Times New Roman" w:hAnsi="David" w:cs="David" w:hint="cs"/>
          <w:sz w:val="24"/>
          <w:szCs w:val="24"/>
          <w:rtl/>
          <w:lang w:eastAsia="he-IL"/>
        </w:rPr>
        <w:t>בהסכמים לרכישת מגרשים ביישוב אורנית שבאיו"ש.</w:t>
      </w:r>
    </w:p>
    <w:p w:rsidR="004E56A3" w:rsidRDefault="004E56A3" w:rsidP="002B5115">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על פי הסכמים שנעמוד עליהם להלן דלתא משמשת כחברה משכנת ואחראית לקיים אצלה מרשם של העברת זכויות במגרשים וביחידות הדיור אותן מכרה.</w:t>
      </w:r>
    </w:p>
    <w:p w:rsidR="004E56A3" w:rsidRDefault="004E56A3" w:rsidP="002B5115">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בתביעת המשיב 4 נטען כי דלתא גובה בעבור רישום של העברת זכויות סכומים העולים על התיקרה הקבועה בצו הפיקוח על מצרכים ושירותים</w:t>
      </w:r>
      <w:r w:rsidR="00D262A6">
        <w:rPr>
          <w:rFonts w:ascii="David" w:eastAsia="Times New Roman" w:hAnsi="David" w:cs="David" w:hint="cs"/>
          <w:sz w:val="24"/>
          <w:szCs w:val="24"/>
          <w:rtl/>
          <w:lang w:eastAsia="he-IL"/>
        </w:rPr>
        <w:t xml:space="preserve"> (החלת החוק על שירותי נותן שירות בהעדר רשום זכויות בפנקסי המקרקעין) התש"ס-1999</w:t>
      </w:r>
      <w:r>
        <w:rPr>
          <w:rFonts w:ascii="David" w:eastAsia="Times New Roman" w:hAnsi="David" w:cs="David" w:hint="cs"/>
          <w:sz w:val="24"/>
          <w:szCs w:val="24"/>
          <w:rtl/>
          <w:lang w:eastAsia="he-IL"/>
        </w:rPr>
        <w:t xml:space="preserve">, </w:t>
      </w:r>
      <w:commentRangeStart w:id="1"/>
      <w:commentRangeStart w:id="2"/>
      <w:r>
        <w:rPr>
          <w:rFonts w:ascii="David" w:eastAsia="Times New Roman" w:hAnsi="David" w:cs="David" w:hint="cs"/>
          <w:sz w:val="24"/>
          <w:szCs w:val="24"/>
          <w:rtl/>
          <w:lang w:eastAsia="he-IL"/>
        </w:rPr>
        <w:t>ונדרשה השבת הסכומים העולים על הצו האמור.</w:t>
      </w:r>
      <w:commentRangeEnd w:id="1"/>
      <w:r w:rsidR="00182554">
        <w:rPr>
          <w:rStyle w:val="a8"/>
          <w:rtl/>
        </w:rPr>
        <w:commentReference w:id="1"/>
      </w:r>
      <w:commentRangeEnd w:id="2"/>
      <w:r w:rsidR="001940B5">
        <w:rPr>
          <w:rStyle w:val="a8"/>
          <w:rtl/>
        </w:rPr>
        <w:commentReference w:id="2"/>
      </w:r>
    </w:p>
    <w:p w:rsidR="004E56A3" w:rsidRDefault="004E56A3" w:rsidP="001940B5">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בתביעת המבקשים נטען כי </w:t>
      </w:r>
      <w:commentRangeStart w:id="3"/>
      <w:r>
        <w:rPr>
          <w:rFonts w:ascii="David" w:eastAsia="Times New Roman" w:hAnsi="David" w:cs="David" w:hint="cs"/>
          <w:sz w:val="24"/>
          <w:szCs w:val="24"/>
          <w:rtl/>
          <w:lang w:eastAsia="he-IL"/>
        </w:rPr>
        <w:t xml:space="preserve">המשיב 3 דורש תשלום של </w:t>
      </w:r>
      <w:r w:rsidR="001940B5">
        <w:rPr>
          <w:rFonts w:ascii="David" w:eastAsia="Times New Roman" w:hAnsi="David" w:cs="David" w:hint="cs"/>
          <w:sz w:val="24"/>
          <w:szCs w:val="24"/>
          <w:rtl/>
          <w:lang w:eastAsia="he-IL"/>
        </w:rPr>
        <w:t>13629</w:t>
      </w:r>
      <w:r>
        <w:rPr>
          <w:rFonts w:ascii="David" w:eastAsia="Times New Roman" w:hAnsi="David" w:cs="David" w:hint="cs"/>
          <w:sz w:val="24"/>
          <w:szCs w:val="24"/>
          <w:rtl/>
          <w:lang w:eastAsia="he-IL"/>
        </w:rPr>
        <w:t xml:space="preserve"> ₪ כדמי ניהול בעבור המגרש אותו רכשו, והם נדרשים לשלם סכום זה כתנאי לחתימה על הסכם חכירה</w:t>
      </w:r>
      <w:commentRangeEnd w:id="3"/>
      <w:r w:rsidR="00436E7D">
        <w:rPr>
          <w:rStyle w:val="a8"/>
          <w:rtl/>
        </w:rPr>
        <w:commentReference w:id="3"/>
      </w:r>
      <w:r>
        <w:rPr>
          <w:rFonts w:ascii="David" w:eastAsia="Times New Roman" w:hAnsi="David" w:cs="David" w:hint="cs"/>
          <w:sz w:val="24"/>
          <w:szCs w:val="24"/>
          <w:rtl/>
          <w:lang w:eastAsia="he-IL"/>
        </w:rPr>
        <w:t xml:space="preserve">. המבקשים דרשו להשיב את הסכומים הללו </w:t>
      </w:r>
      <w:r w:rsidR="00182554">
        <w:rPr>
          <w:rFonts w:ascii="David" w:eastAsia="Times New Roman" w:hAnsi="David" w:cs="David" w:hint="cs"/>
          <w:sz w:val="24"/>
          <w:szCs w:val="24"/>
          <w:rtl/>
          <w:lang w:eastAsia="he-IL"/>
        </w:rPr>
        <w:t>ו</w:t>
      </w:r>
      <w:r>
        <w:rPr>
          <w:rFonts w:ascii="David" w:eastAsia="Times New Roman" w:hAnsi="David" w:cs="David" w:hint="cs"/>
          <w:sz w:val="24"/>
          <w:szCs w:val="24"/>
          <w:rtl/>
          <w:lang w:eastAsia="he-IL"/>
        </w:rPr>
        <w:t>לבטל דרישה זו. כן דרשו המשיבים מן המשיבים 1-3 להסדיר את רישום העברת זכויות החכירה.</w:t>
      </w:r>
    </w:p>
    <w:p w:rsidR="004E56A3" w:rsidRDefault="004E56A3" w:rsidP="002B5115">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לעמדת המשיב 3, כפי שהובעה מלכתחילה בתגובתו לבקשות לאישור התביעות כייצוגיות, הן לפני חקיקת חוק תובענות ייצוגיות והן לאחר מכן, עמד המשיב 3 על כך שלא ניתן לאשר את התביעות הנדונות כתביעות ייצוגיות. בכלל זה עמד המשיב 3 על כך שהוא אינו בגדר רשות כאמור בחוק תובענות ייצוגיות ואף אין הוא בגדר עוסק.</w:t>
      </w:r>
    </w:p>
    <w:p w:rsidR="00ED72B9" w:rsidRDefault="00ED72B9" w:rsidP="00ED72B9">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עמדתנו זו היא עמדה עקרונית, באשר למעמדו של המשיב לפי חוק תובענות ייצוגיות ולפי חוק בתי משפט לעניינים מינהליים, ואינה נוגעת רק להליך הנוכחי. לפיכך, לעמדתנו לא ניתן לנהל הליכים ייצוגיים כנגד המשיב 3. בהתאם לכך, אף לא ניתן להסכים על אישור תביעה כנגד המשיב 3 כייצוגית, ולא ניתן לאשר הסכם פשרה עם המשיב 3 כהסכם פשרה בתביעה ייצוגית.</w:t>
      </w:r>
    </w:p>
    <w:p w:rsidR="00C875B9" w:rsidRDefault="00C875B9" w:rsidP="00ED72B9">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כידוע, חוק תובענות ייצוגיות אינו מאפשר לאשר כל תביעה כתביעה ייצוגית, ומגביל זאת לתביעות הבאות בגדר החוק. זהו נושא של סמכות, אשר אינו נתון להתנאה של הצדדים ורצונם, משום שאינו נוגע רק לצדדים. החוק הוא המאפשר להסמיך את המבקש בבקשת אישור שלייצג אנשים שלא הסמיכו אותו. ללא הסמכה בחוק לאשר תביעה כייצוגית (משמע לאשרה כתביעה בשם אנשים שלא נקטו בעצמם בהליך) אין תועלת בהסכמת הצדדים במקרה זה או אחר.</w:t>
      </w:r>
    </w:p>
    <w:p w:rsidR="00ED72B9" w:rsidRDefault="00ED72B9" w:rsidP="00ED72B9">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כאמור, עמדה זו היתה ידועה לצדדים, והמשיב 3 חזר עליה בכל מהלך המשא ומתן, ובהסכם הגישור גופו.</w:t>
      </w:r>
    </w:p>
    <w:p w:rsidR="00ED72B9" w:rsidRDefault="00ED72B9" w:rsidP="00C875B9">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עם זאת, המשיב 3 נדרש לנושאים שהועלו </w:t>
      </w:r>
      <w:r w:rsidR="00C875B9">
        <w:rPr>
          <w:rFonts w:ascii="David" w:eastAsia="Times New Roman" w:hAnsi="David" w:cs="David" w:hint="cs"/>
          <w:sz w:val="24"/>
          <w:szCs w:val="24"/>
          <w:rtl/>
          <w:lang w:eastAsia="he-IL"/>
        </w:rPr>
        <w:t>בתביעת סוויסה ובתביעת בן אביר</w:t>
      </w:r>
      <w:r>
        <w:rPr>
          <w:rFonts w:ascii="David" w:eastAsia="Times New Roman" w:hAnsi="David" w:cs="David" w:hint="cs"/>
          <w:sz w:val="24"/>
          <w:szCs w:val="24"/>
          <w:rtl/>
          <w:lang w:eastAsia="he-IL"/>
        </w:rPr>
        <w:t xml:space="preserve"> בנ</w:t>
      </w:r>
      <w:r w:rsidR="00C875B9">
        <w:rPr>
          <w:rFonts w:ascii="David" w:eastAsia="Times New Roman" w:hAnsi="David" w:cs="David" w:hint="cs"/>
          <w:sz w:val="24"/>
          <w:szCs w:val="24"/>
          <w:rtl/>
          <w:lang w:eastAsia="he-IL"/>
        </w:rPr>
        <w:t>י</w:t>
      </w:r>
      <w:r>
        <w:rPr>
          <w:rFonts w:ascii="David" w:eastAsia="Times New Roman" w:hAnsi="David" w:cs="David" w:hint="cs"/>
          <w:sz w:val="24"/>
          <w:szCs w:val="24"/>
          <w:rtl/>
          <w:lang w:eastAsia="he-IL"/>
        </w:rPr>
        <w:t xml:space="preserve">סיון למצוא להם פתרון. בהחלטות שקיבל המשיב 3 באופן חד צדדי, עוד קודם להסכם </w:t>
      </w:r>
      <w:r w:rsidR="00C875B9">
        <w:rPr>
          <w:rFonts w:ascii="David" w:eastAsia="Times New Roman" w:hAnsi="David" w:cs="David" w:hint="cs"/>
          <w:sz w:val="24"/>
          <w:szCs w:val="24"/>
          <w:rtl/>
          <w:lang w:eastAsia="he-IL"/>
        </w:rPr>
        <w:t>הגישור נמצא פתרון לבעיות שהועלו, באשר לגובה דמי הניהול, ובאשר לאופן רישום העברת זכויות חכירה של רוכשי זכויות מדלתא ביישוב אורנית.</w:t>
      </w:r>
    </w:p>
    <w:p w:rsidR="00ED72B9" w:rsidRDefault="00063942"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בין דלתא לבין המשיב 3 נערך הסכם בו הסכים המשיב 3 כי הקרקעות נושא ההסכם ינוהלו על ידו בהתאם לתנאים המקובלים אצלו הכוללים גם תשלום דמי ניהול. בעקבות הסכמה זו נחתם הסכם פיתוח בין המשיב 3 לבין דלתא. כמקובל בהסכמי פיתוח מסוג זה, התחייבה דלתא לפתח את הקרקע, ולעשות את כל הדרוש לרישום של הקרקע במרשם המקרקעין, לרבות הכנת מפות פרצלציה כנדרש לרישום. המשיב 3 התחייב לחתום על הסכם חכירה עם דלתא או עם רוכשים שהיא תפנה אליו לחתימה על הסכם חכירה.</w:t>
      </w:r>
    </w:p>
    <w:p w:rsidR="00063942" w:rsidRDefault="00063942"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בהחלטה של המשיב 3 משנת 1993 נקבע כי דמי הניהול יעמדו על 500 ₪ לכל מגרש. בשנת 2000 לערך, נעשתה בדיקה כלכלית של עלויות הניהול ואלה הוערכו בסכום הקרוב ל-12,000 ₪ לכל מגרש. התשלום האמור הוא תשלום חד פעמי לכל מגרש, והוא מזכה בטיפול ברישום העברות זכויות. על דלתא היה לשלם את התשלום האמור באופן חד פעמי לכל מגרש, אך היא לא עשתה כן מראש. </w:t>
      </w:r>
      <w:r w:rsidR="00A2574E">
        <w:rPr>
          <w:rFonts w:ascii="David" w:eastAsia="Times New Roman" w:hAnsi="David" w:cs="David" w:hint="cs"/>
          <w:sz w:val="24"/>
          <w:szCs w:val="24"/>
          <w:rtl/>
          <w:lang w:eastAsia="he-IL"/>
        </w:rPr>
        <w:t>המשיב 3 התנה בצדק כל ביצוע פעולה לגבי מגרש בתשלום דמי הניהול האמורים. ככל הניראה, דלתא גלגלה דרישה זו לפתחו של הרוכש, דבר שהביא לתלונות מצד רוכשים, ולהגשת התביעה הנוכחית.</w:t>
      </w:r>
    </w:p>
    <w:p w:rsidR="00A2574E" w:rsidRDefault="00A2574E"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בהחלטה</w:t>
      </w:r>
      <w:r w:rsidR="009B4507">
        <w:rPr>
          <w:rFonts w:ascii="David" w:eastAsia="Times New Roman" w:hAnsi="David" w:cs="David" w:hint="cs"/>
          <w:sz w:val="24"/>
          <w:szCs w:val="24"/>
          <w:rtl/>
          <w:lang w:eastAsia="he-IL"/>
        </w:rPr>
        <w:t xml:space="preserve"> מספר 2505</w:t>
      </w:r>
      <w:r>
        <w:rPr>
          <w:rFonts w:ascii="David" w:eastAsia="Times New Roman" w:hAnsi="David" w:cs="David" w:hint="cs"/>
          <w:sz w:val="24"/>
          <w:szCs w:val="24"/>
          <w:rtl/>
          <w:lang w:eastAsia="he-IL"/>
        </w:rPr>
        <w:t xml:space="preserve"> מיום </w:t>
      </w:r>
      <w:r w:rsidR="009B4507">
        <w:rPr>
          <w:rFonts w:ascii="David" w:eastAsia="Times New Roman" w:hAnsi="David" w:cs="David" w:hint="cs"/>
          <w:sz w:val="24"/>
          <w:szCs w:val="24"/>
          <w:rtl/>
          <w:lang w:eastAsia="he-IL"/>
        </w:rPr>
        <w:t xml:space="preserve">7.7.09 </w:t>
      </w:r>
      <w:r>
        <w:rPr>
          <w:rFonts w:ascii="David" w:eastAsia="Times New Roman" w:hAnsi="David" w:cs="David" w:hint="cs"/>
          <w:sz w:val="24"/>
          <w:szCs w:val="24"/>
          <w:rtl/>
          <w:lang w:eastAsia="he-IL"/>
        </w:rPr>
        <w:t xml:space="preserve">החליט המשיב 3 לחזור ולגבות סכום של 500 ₪ בתוספת הפרשי הצמדה וריבית משנת 1993 (המועד בו נקבע סכום זה). גם תשלום זה הוא תשלום חד פעמי, וברור כי אינו מכסה עלויות טיפול מתמשכות, שאינן מוגבלות בזמן. החלטה זו נועדה לפתור את המכשולים שבהם נתקלים </w:t>
      </w:r>
      <w:r w:rsidR="009B4507">
        <w:rPr>
          <w:rFonts w:ascii="David" w:eastAsia="Times New Roman" w:hAnsi="David" w:cs="David" w:hint="cs"/>
          <w:sz w:val="24"/>
          <w:szCs w:val="24"/>
          <w:rtl/>
          <w:lang w:eastAsia="he-IL"/>
        </w:rPr>
        <w:t xml:space="preserve">רוכשים </w:t>
      </w:r>
      <w:r>
        <w:rPr>
          <w:rFonts w:ascii="David" w:eastAsia="Times New Roman" w:hAnsi="David" w:cs="David" w:hint="cs"/>
          <w:sz w:val="24"/>
          <w:szCs w:val="24"/>
          <w:rtl/>
          <w:lang w:eastAsia="he-IL"/>
        </w:rPr>
        <w:t>המעוניינים לקבל הסכם חכירה מהממונה, על פי הפניה של דלתא.</w:t>
      </w:r>
    </w:p>
    <w:p w:rsidR="00A2574E" w:rsidRDefault="00A2574E"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נתייחס כעת לסוגיית הרישום. כאמור, על פי חוזה הפיתוח שבין המשיב 3 ליזמים לגבי קרקע שבניהול המשיב 3, היזם מתחייב לעשות כל הנדרש לרישום ראשון של הקרקע, לרבות פרצלציה, ובקרקע לבניה רוויה, מתחייב גם לרישום בית משותף. זוהי אחריותו כיזם וכחברה משכנת.</w:t>
      </w:r>
    </w:p>
    <w:p w:rsidR="00A2574E" w:rsidRDefault="00A2574E"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כידוע מסיבות שלא נעמוד עליהם כאן, קרקעות רבות באיו"ש אינן נרשמות ברישום ראשון במרשם המקרקעין.</w:t>
      </w:r>
    </w:p>
    <w:p w:rsidR="00A2574E" w:rsidRDefault="00A2574E"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בהסכמים שבין המשיב 3 ליזם, וכן בהסכמים שבין היזם לכל אחד מרוכשי הזכויות, מתחייב היזם לנהל אצלו מרשם של העברת זכויות, עד לביצוע הרישום הראשון של הקרקע במרשם הקרקעות.</w:t>
      </w:r>
    </w:p>
    <w:p w:rsidR="00A2574E" w:rsidRDefault="00C57B08"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צו פיקוח על מצרכים ושירותים </w:t>
      </w:r>
      <w:r w:rsidR="009B4507">
        <w:rPr>
          <w:rFonts w:ascii="David" w:eastAsia="Times New Roman" w:hAnsi="David" w:cs="David" w:hint="cs"/>
          <w:sz w:val="24"/>
          <w:szCs w:val="24"/>
          <w:rtl/>
          <w:lang w:eastAsia="he-IL"/>
        </w:rPr>
        <w:t>(החלת החוק על שירותי נותן שירות בהעדר רשום זכויות בפנקסי המקרקעין) התש"ס-1999,</w:t>
      </w:r>
      <w:r>
        <w:rPr>
          <w:rFonts w:ascii="David" w:eastAsia="Times New Roman" w:hAnsi="David" w:cs="David" w:hint="cs"/>
          <w:sz w:val="24"/>
          <w:szCs w:val="24"/>
          <w:rtl/>
          <w:lang w:eastAsia="he-IL"/>
        </w:rPr>
        <w:t xml:space="preserve"> קבע תיקרה לתשלום בעבור רישום העברת זכויות בחברה משכנת. צו זה הוחל גם באיו"ש. חברות משכנות המשיכו לגבות גם לאחר הצו, תשלומים העולים על התיקרה שנקבעה בו. היו חברות שהתנערו מחובתם להמשיך לשמש כחברה משכנת.</w:t>
      </w:r>
    </w:p>
    <w:p w:rsidR="00C57B08" w:rsidRDefault="00C57B08"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באשר לאורנית הוחלט לקיים מרשם הרשאות, על פי צו כללי העוסק בכך</w:t>
      </w:r>
      <w:r w:rsidR="00520630">
        <w:rPr>
          <w:rFonts w:ascii="David" w:eastAsia="Times New Roman" w:hAnsi="David" w:cs="David" w:hint="cs"/>
          <w:sz w:val="24"/>
          <w:szCs w:val="24"/>
          <w:rtl/>
          <w:lang w:eastAsia="he-IL"/>
        </w:rPr>
        <w:t xml:space="preserve"> - צו בדבר רישום עסקות מסוימות (יהודה ושומרון) (מס' 569), תשל"ה-1974.</w:t>
      </w:r>
      <w:r>
        <w:rPr>
          <w:rFonts w:ascii="David" w:eastAsia="Times New Roman" w:hAnsi="David" w:cs="David" w:hint="cs"/>
          <w:sz w:val="24"/>
          <w:szCs w:val="24"/>
          <w:rtl/>
          <w:lang w:eastAsia="he-IL"/>
        </w:rPr>
        <w:t xml:space="preserve"> </w:t>
      </w:r>
      <w:r w:rsidR="00520630">
        <w:rPr>
          <w:rFonts w:ascii="David" w:eastAsia="Times New Roman" w:hAnsi="David" w:cs="David" w:hint="cs"/>
          <w:sz w:val="24"/>
          <w:szCs w:val="24"/>
          <w:rtl/>
          <w:lang w:eastAsia="he-IL"/>
        </w:rPr>
        <w:t>לשם כך תוקן צו בדבר רישום עסקות מסוימות (יהודה ושומרון) (מס' 569), תשל"ה-1974 - הודעה על כינון מרשם הרשאות (אורנית)</w:t>
      </w:r>
      <w:r w:rsidR="00D97CC7">
        <w:rPr>
          <w:rFonts w:ascii="David" w:eastAsia="Times New Roman" w:hAnsi="David" w:cs="David" w:hint="cs"/>
          <w:sz w:val="24"/>
          <w:szCs w:val="24"/>
          <w:rtl/>
          <w:lang w:eastAsia="he-IL"/>
        </w:rPr>
        <w:t xml:space="preserve">, </w:t>
      </w:r>
      <w:r>
        <w:rPr>
          <w:rFonts w:ascii="David" w:eastAsia="Times New Roman" w:hAnsi="David" w:cs="David" w:hint="cs"/>
          <w:sz w:val="24"/>
          <w:szCs w:val="24"/>
          <w:rtl/>
          <w:lang w:eastAsia="he-IL"/>
        </w:rPr>
        <w:t>אשר לפיו מרשם ההרשאות יחול על קרקעות אורנית.</w:t>
      </w:r>
    </w:p>
    <w:p w:rsidR="00DD5123" w:rsidRDefault="00DD5123"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מרשם ההרשאות מוקם על ידי המינהל האזרחי, בכובעו השילטוני, כמי שאחראי על המרשם באיו"ש. המשיב 3 לעומת זאת הוא מי שמנהל את הקרקע.</w:t>
      </w:r>
    </w:p>
    <w:p w:rsidR="00DD5123" w:rsidRDefault="00DD5123"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מרשם ההרשאות הוא מרשם של עסקאות בזכויות בקרקע. כדי לבצע בפועל רישום של קרקעות, על כל יזם, להכין את כל המפות הדרושות לרישום ראשון, כפי שהתחייב בחוזה הפיתוח. על בסיס מפות אלו תירשם הקרקע במרשם ההרשאות</w:t>
      </w:r>
      <w:r w:rsidR="00EF2DC5">
        <w:rPr>
          <w:rFonts w:ascii="David" w:eastAsia="Times New Roman" w:hAnsi="David" w:cs="David" w:hint="cs"/>
          <w:sz w:val="24"/>
          <w:szCs w:val="24"/>
          <w:rtl/>
          <w:lang w:eastAsia="he-IL"/>
        </w:rPr>
        <w:t>, וניתן יהיה לרשום העברת עסקאות.</w:t>
      </w:r>
    </w:p>
    <w:p w:rsidR="00C57B08" w:rsidRDefault="00C57B08"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ההחלטות החד</w:t>
      </w:r>
      <w:r>
        <w:rPr>
          <w:rFonts w:ascii="David" w:eastAsia="Times New Roman" w:hAnsi="David" w:cs="David"/>
          <w:sz w:val="24"/>
          <w:szCs w:val="24"/>
          <w:rtl/>
          <w:lang w:eastAsia="he-IL"/>
        </w:rPr>
        <w:t>–</w:t>
      </w:r>
      <w:r>
        <w:rPr>
          <w:rFonts w:ascii="David" w:eastAsia="Times New Roman" w:hAnsi="David" w:cs="David" w:hint="cs"/>
          <w:sz w:val="24"/>
          <w:szCs w:val="24"/>
          <w:rtl/>
          <w:lang w:eastAsia="he-IL"/>
        </w:rPr>
        <w:t xml:space="preserve">צדדיות האמורות באשר לחזרה לדמי ניהול של 500 ₪ כערכם העדכני, ובאשר להחלת מרשם ההרשאות על קרקעות אורנית, נתנו </w:t>
      </w:r>
      <w:r w:rsidR="00EF2DC5">
        <w:rPr>
          <w:rFonts w:ascii="David" w:eastAsia="Times New Roman" w:hAnsi="David" w:cs="David" w:hint="cs"/>
          <w:sz w:val="24"/>
          <w:szCs w:val="24"/>
          <w:rtl/>
          <w:lang w:eastAsia="he-IL"/>
        </w:rPr>
        <w:t>מענה מספק לבעיות שהועלו בתביעות, ככל שהן מופנית למשיב 3. בכפוף להעברת המפות הנדרשות לרישום ראשון ניתן לבצע את הרישום במרשם ההרשאות.</w:t>
      </w:r>
    </w:p>
    <w:p w:rsidR="00C57B08" w:rsidRDefault="00C57B08"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בעקבות האמור נחתם במסגרת הגישור שניהלו הצדדים הסכם גישור. בהסכם הגישור מצהיר הממונה על ההחלטות החד צדדיות שקיבל</w:t>
      </w:r>
      <w:r w:rsidR="00F37B66">
        <w:rPr>
          <w:rFonts w:ascii="David" w:eastAsia="Times New Roman" w:hAnsi="David" w:cs="David" w:hint="cs"/>
          <w:sz w:val="24"/>
          <w:szCs w:val="24"/>
          <w:rtl/>
          <w:lang w:eastAsia="he-IL"/>
        </w:rPr>
        <w:t xml:space="preserve"> </w:t>
      </w:r>
      <w:r w:rsidR="00EF2DC5">
        <w:rPr>
          <w:rFonts w:ascii="David" w:eastAsia="Times New Roman" w:hAnsi="David" w:cs="David" w:hint="cs"/>
          <w:sz w:val="24"/>
          <w:szCs w:val="24"/>
          <w:rtl/>
          <w:lang w:eastAsia="he-IL"/>
        </w:rPr>
        <w:t>הממונה לגבי גובה דמי הניהול, ועל הצו באשר למרשם ההרשאות</w:t>
      </w:r>
      <w:r>
        <w:rPr>
          <w:rFonts w:ascii="David" w:eastAsia="Times New Roman" w:hAnsi="David" w:cs="David" w:hint="cs"/>
          <w:sz w:val="24"/>
          <w:szCs w:val="24"/>
          <w:rtl/>
          <w:lang w:eastAsia="he-IL"/>
        </w:rPr>
        <w:t>. בנוסף לכך, דלתא התחייבה להעביר</w:t>
      </w:r>
      <w:r w:rsidR="00DD5123">
        <w:rPr>
          <w:rFonts w:ascii="David" w:eastAsia="Times New Roman" w:hAnsi="David" w:cs="David" w:hint="cs"/>
          <w:sz w:val="24"/>
          <w:szCs w:val="24"/>
          <w:rtl/>
          <w:lang w:eastAsia="he-IL"/>
        </w:rPr>
        <w:t xml:space="preserve"> למינהל האזרחי</w:t>
      </w:r>
      <w:r w:rsidR="00EF2DC5">
        <w:rPr>
          <w:rFonts w:ascii="David" w:eastAsia="Times New Roman" w:hAnsi="David" w:cs="David" w:hint="cs"/>
          <w:sz w:val="24"/>
          <w:szCs w:val="24"/>
          <w:rtl/>
          <w:lang w:eastAsia="he-IL"/>
        </w:rPr>
        <w:t xml:space="preserve"> את המפות הנדרשות לביצוע רישום ראשון, בהמשך להתחייבותה בחוזה הפיתוח. נקבע עוד כי בעתיד, אם יתאפשר הדבר יבוצע רישום במרשם מקרקעין.</w:t>
      </w:r>
    </w:p>
    <w:p w:rsidR="00EF2DC5" w:rsidRDefault="00EF2DC5"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קיימות בהסכם הוראות אחרות במישור היחסים שבין דלתא לתובעים, ובכלל זה בעניין התשלום שבכוונת דלתא לגבות. נראה כי המדובר בתשלום המעוגן בחוזה הרכישה שבין הרוכש לדלתא, ויש להניח שהוא שולם במעמד הרכישה. מובן שדלתא אינה רשאית לגבות תשלום כזה בעבור העברה של</w:t>
      </w:r>
      <w:r w:rsidR="00F37B66">
        <w:rPr>
          <w:rFonts w:ascii="David" w:eastAsia="Times New Roman" w:hAnsi="David" w:cs="David" w:hint="cs"/>
          <w:sz w:val="24"/>
          <w:szCs w:val="24"/>
          <w:rtl/>
          <w:lang w:eastAsia="he-IL"/>
        </w:rPr>
        <w:t xml:space="preserve"> </w:t>
      </w:r>
      <w:r>
        <w:rPr>
          <w:rFonts w:ascii="David" w:eastAsia="Times New Roman" w:hAnsi="David" w:cs="David" w:hint="cs"/>
          <w:sz w:val="24"/>
          <w:szCs w:val="24"/>
          <w:rtl/>
          <w:lang w:eastAsia="he-IL"/>
        </w:rPr>
        <w:t>הזכויות מהרוכש הראשון לאחר, והלאה, שכן הדבר עומד בניגוד לצו הפיקוח על מצרכים ושירותים.</w:t>
      </w:r>
    </w:p>
    <w:p w:rsidR="00F37B66" w:rsidRDefault="00F37B66"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כללו של דבר </w:t>
      </w:r>
      <w:r>
        <w:rPr>
          <w:rFonts w:ascii="David" w:eastAsia="Times New Roman" w:hAnsi="David" w:cs="David"/>
          <w:sz w:val="24"/>
          <w:szCs w:val="24"/>
          <w:rtl/>
          <w:lang w:eastAsia="he-IL"/>
        </w:rPr>
        <w:t>–</w:t>
      </w:r>
      <w:r>
        <w:rPr>
          <w:rFonts w:ascii="David" w:eastAsia="Times New Roman" w:hAnsi="David" w:cs="David" w:hint="cs"/>
          <w:sz w:val="24"/>
          <w:szCs w:val="24"/>
          <w:rtl/>
          <w:lang w:eastAsia="he-IL"/>
        </w:rPr>
        <w:t xml:space="preserve"> הבעיה שהתביעות שיקפו, קיבלו מבחינת המשיב 3 מענה בהחלטות שקיבל עוד קודם להסכם. משכך אין עוד צורך בדיון בתביעות ובבקשות לאישורן כתביעות ייצוגיות.</w:t>
      </w:r>
    </w:p>
    <w:p w:rsidR="00F37B66" w:rsidRDefault="00F37B66"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הסכם הגישור מצהיר על החלטות אלו ומוסיף הוראות שונות.</w:t>
      </w:r>
    </w:p>
    <w:p w:rsidR="00F37B66" w:rsidRDefault="00F37B66"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אין חולק שהתביעות הציגו בעיות הנוגעות לציבור ולא רק לתובעים. זה כשלעצמו אינו הופך אותן לתביעה ייצוגית. נושאים ציבוריים עשויים לעלות בהליך פרטני, בין בבג"צ, ובין בעתירה מינהלית ובין בתביעה פרטית. </w:t>
      </w:r>
    </w:p>
    <w:p w:rsidR="00F37B66" w:rsidRDefault="00F37B66"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עתה נתייחס לבקשת המבקשים כי הסכם הגישור יאושר כהסכם פשרה בתביעה ייצוגית, מכח סעיף 18 לחוק. לבקשה זו אין בסיס.</w:t>
      </w:r>
      <w:r w:rsidR="00612FCB">
        <w:rPr>
          <w:rFonts w:ascii="David" w:eastAsia="Times New Roman" w:hAnsi="David" w:cs="David" w:hint="cs"/>
          <w:sz w:val="24"/>
          <w:szCs w:val="24"/>
          <w:rtl/>
          <w:lang w:eastAsia="he-IL"/>
        </w:rPr>
        <w:t xml:space="preserve"> נסביר את הדברים.</w:t>
      </w:r>
    </w:p>
    <w:p w:rsidR="00F37B66" w:rsidRDefault="00612FCB"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אישור הסכם פשרה בתביעה ייצוגית, נותן לו מעמד של פסק דין בתביעה הייצוגית. הפשרה היא הסכם בין הקבוצה לבין הנתבע. כדי שיוסמך התובע להתקשר בהסכם עם הנתבע בשם הקבוצה, נדרש השלב המוקדם של אישור התביעה כייצוגית.</w:t>
      </w:r>
    </w:p>
    <w:p w:rsidR="00612FCB" w:rsidRDefault="00612FCB"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הליך של אישור הסכם פשרה בתביעה ייצוגית, הוא הליך שיסודו בהסכמה מתחילתו ועד סופו. כאשר טרם אושרה התביעה כייצוגית, הצדדים מסכימים למהלך דו שלבי. הם מבקשים מבית המשפט שיאשר את התביעה </w:t>
      </w:r>
      <w:commentRangeStart w:id="4"/>
      <w:r>
        <w:rPr>
          <w:rFonts w:ascii="David" w:eastAsia="Times New Roman" w:hAnsi="David" w:cs="David" w:hint="cs"/>
          <w:sz w:val="24"/>
          <w:szCs w:val="24"/>
          <w:rtl/>
          <w:lang w:eastAsia="he-IL"/>
        </w:rPr>
        <w:t>כייצוגית</w:t>
      </w:r>
      <w:commentRangeEnd w:id="4"/>
      <w:r w:rsidR="00AA227A">
        <w:rPr>
          <w:rStyle w:val="a8"/>
          <w:rtl/>
        </w:rPr>
        <w:commentReference w:id="4"/>
      </w:r>
      <w:r>
        <w:rPr>
          <w:rFonts w:ascii="David" w:eastAsia="Times New Roman" w:hAnsi="David" w:cs="David" w:hint="cs"/>
          <w:sz w:val="24"/>
          <w:szCs w:val="24"/>
          <w:rtl/>
          <w:lang w:eastAsia="he-IL"/>
        </w:rPr>
        <w:t>, ושלאחר אישורה, יאשר את ההסכם כהסכם שבין הקבוצה לנתבע. במסגרת בקשה כזו, הנתבע נותן את הסכמתו לאישור התביעה, לצורך ההסכם, ובכפוף לאישורו. בית המשפט יאשר הסכמה זו של הצדדים, אם אין טעם בולט, שבגללו נראה לו כי לא ניתן לאשר את התביעה.</w:t>
      </w:r>
    </w:p>
    <w:p w:rsidR="009D5C70" w:rsidRDefault="009D5C70"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ראו בספרם של ויניצקי ופלינט על חשיבות בחינת התנאים לאישור תובענה ייצוגית, במסגרת בקשה לאישור הסכם </w:t>
      </w:r>
      <w:commentRangeStart w:id="5"/>
      <w:r>
        <w:rPr>
          <w:rFonts w:ascii="David" w:eastAsia="Times New Roman" w:hAnsi="David" w:cs="David" w:hint="cs"/>
          <w:sz w:val="24"/>
          <w:szCs w:val="24"/>
          <w:rtl/>
          <w:lang w:eastAsia="he-IL"/>
        </w:rPr>
        <w:t>פשרה</w:t>
      </w:r>
      <w:commentRangeEnd w:id="5"/>
      <w:r w:rsidR="001940B5">
        <w:rPr>
          <w:rStyle w:val="a8"/>
          <w:rtl/>
        </w:rPr>
        <w:commentReference w:id="5"/>
      </w:r>
      <w:r>
        <w:rPr>
          <w:rFonts w:ascii="David" w:eastAsia="Times New Roman" w:hAnsi="David" w:cs="David" w:hint="cs"/>
          <w:sz w:val="24"/>
          <w:szCs w:val="24"/>
          <w:rtl/>
          <w:lang w:eastAsia="he-IL"/>
        </w:rPr>
        <w:t>:</w:t>
      </w:r>
    </w:p>
    <w:p w:rsidR="009D5C70" w:rsidRPr="001940B5" w:rsidRDefault="009D5C70" w:rsidP="001940B5">
      <w:pPr>
        <w:pStyle w:val="a3"/>
        <w:spacing w:before="240" w:line="480" w:lineRule="auto"/>
        <w:ind w:left="509" w:right="142"/>
        <w:jc w:val="both"/>
        <w:rPr>
          <w:rFonts w:ascii="FrankRuehl" w:eastAsia="Times New Roman" w:hAnsi="FrankRuehl" w:cs="FrankRuehl"/>
          <w:sz w:val="24"/>
          <w:szCs w:val="24"/>
          <w:lang w:eastAsia="he-IL"/>
        </w:rPr>
      </w:pPr>
      <w:r w:rsidRPr="001940B5">
        <w:rPr>
          <w:rFonts w:ascii="FrankRuehl" w:eastAsia="Times New Roman" w:hAnsi="FrankRuehl" w:cs="FrankRuehl"/>
          <w:sz w:val="24"/>
          <w:szCs w:val="24"/>
          <w:rtl/>
          <w:lang w:eastAsia="he-IL"/>
        </w:rPr>
        <w:t xml:space="preserve">"הקריטריון </w:t>
      </w:r>
      <w:r w:rsidRPr="001940B5">
        <w:rPr>
          <w:rFonts w:ascii="FrankRuehl" w:eastAsia="Times New Roman" w:hAnsi="FrankRuehl" w:cs="FrankRuehl" w:hint="eastAsia"/>
          <w:sz w:val="24"/>
          <w:szCs w:val="24"/>
          <w:rtl/>
          <w:lang w:eastAsia="he-IL"/>
        </w:rPr>
        <w:t>הראשון</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שעל</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בית</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המשפט</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לבחון</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טרם</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אישור</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הסדר</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פשרה</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הוא</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אם</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מתקיימים</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התנאים</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הנדרשים</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לאישור</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תובענה</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ייצוגית</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מובן</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שאם</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כבר</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אושרה</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התובענה</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כייצוגית</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אין</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צורך</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לדון</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בקריטריון</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זה</w:t>
      </w:r>
      <w:r w:rsidRPr="001940B5">
        <w:rPr>
          <w:rFonts w:ascii="FrankRuehl" w:eastAsia="Times New Roman" w:hAnsi="FrankRuehl" w:cs="FrankRuehl"/>
          <w:sz w:val="24"/>
          <w:szCs w:val="24"/>
          <w:rtl/>
          <w:lang w:eastAsia="he-IL"/>
        </w:rPr>
        <w:t xml:space="preserve"> (בהנחה </w:t>
      </w:r>
      <w:r w:rsidRPr="001940B5">
        <w:rPr>
          <w:rFonts w:ascii="FrankRuehl" w:eastAsia="Times New Roman" w:hAnsi="FrankRuehl" w:cs="FrankRuehl" w:hint="eastAsia"/>
          <w:sz w:val="24"/>
          <w:szCs w:val="24"/>
          <w:rtl/>
          <w:lang w:eastAsia="he-IL"/>
        </w:rPr>
        <w:t>שהוא</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נידון</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כדבעי</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בהחלטת</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האישור</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ברם</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כאשר</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הסדר</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פשרה</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מוגש</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לפני</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אישור</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התובענה</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כייצוגית</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בית</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המשפט</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מחויב</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להכריע</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תחילה</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בשאלה</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אם</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התובענה</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כשירה</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להתברר</w:t>
      </w:r>
      <w:r w:rsidRPr="001940B5">
        <w:rPr>
          <w:rFonts w:ascii="FrankRuehl" w:eastAsia="Times New Roman" w:hAnsi="FrankRuehl" w:cs="FrankRuehl"/>
          <w:sz w:val="24"/>
          <w:szCs w:val="24"/>
          <w:rtl/>
          <w:lang w:eastAsia="he-IL"/>
        </w:rPr>
        <w:t xml:space="preserve"> כתובענה ייצוגית, ובעיקר הוא מחויב לבדוק אם מתקיימות שאלות משותפות של עובדה ומשפט, ואם תובענה ייצוגית היא הדרך ההולמת וההוגנת ביותר </w:t>
      </w:r>
      <w:r w:rsidRPr="001940B5">
        <w:rPr>
          <w:rFonts w:ascii="FrankRuehl" w:eastAsia="Times New Roman" w:hAnsi="FrankRuehl" w:cs="FrankRuehl" w:hint="eastAsia"/>
          <w:sz w:val="24"/>
          <w:szCs w:val="24"/>
          <w:rtl/>
          <w:lang w:eastAsia="he-IL"/>
        </w:rPr>
        <w:t>לבירור</w:t>
      </w:r>
      <w:r w:rsidRPr="001940B5">
        <w:rPr>
          <w:rFonts w:ascii="FrankRuehl" w:eastAsia="Times New Roman" w:hAnsi="FrankRuehl" w:cs="FrankRuehl"/>
          <w:sz w:val="24"/>
          <w:szCs w:val="24"/>
          <w:rtl/>
          <w:lang w:eastAsia="he-IL"/>
        </w:rPr>
        <w:t xml:space="preserve"> </w:t>
      </w:r>
      <w:r w:rsidRPr="001940B5">
        <w:rPr>
          <w:rFonts w:ascii="FrankRuehl" w:eastAsia="Times New Roman" w:hAnsi="FrankRuehl" w:cs="FrankRuehl" w:hint="eastAsia"/>
          <w:sz w:val="24"/>
          <w:szCs w:val="24"/>
          <w:rtl/>
          <w:lang w:eastAsia="he-IL"/>
        </w:rPr>
        <w:t>המחלוקת</w:t>
      </w:r>
      <w:r w:rsidRPr="001940B5">
        <w:rPr>
          <w:rFonts w:ascii="FrankRuehl" w:eastAsia="Times New Roman" w:hAnsi="FrankRuehl" w:cs="FrankRuehl"/>
          <w:sz w:val="24"/>
          <w:szCs w:val="24"/>
          <w:rtl/>
          <w:lang w:eastAsia="he-IL"/>
        </w:rPr>
        <w:t>".</w:t>
      </w:r>
      <w:r>
        <w:rPr>
          <w:rStyle w:val="af1"/>
          <w:rFonts w:ascii="FrankRuehl" w:eastAsia="Times New Roman" w:hAnsi="FrankRuehl" w:cs="FrankRuehl"/>
          <w:sz w:val="24"/>
          <w:szCs w:val="24"/>
          <w:lang w:eastAsia="he-IL"/>
        </w:rPr>
        <w:footnoteReference w:id="1"/>
      </w:r>
    </w:p>
    <w:p w:rsidR="00612FCB" w:rsidRDefault="00612FCB"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בהליך כזה, נדרשת הסכמתו של הנתבע לכל אלה </w:t>
      </w:r>
      <w:r>
        <w:rPr>
          <w:rFonts w:ascii="David" w:eastAsia="Times New Roman" w:hAnsi="David" w:cs="David"/>
          <w:sz w:val="24"/>
          <w:szCs w:val="24"/>
          <w:rtl/>
          <w:lang w:eastAsia="he-IL"/>
        </w:rPr>
        <w:t>–</w:t>
      </w:r>
      <w:r>
        <w:rPr>
          <w:rFonts w:ascii="David" w:eastAsia="Times New Roman" w:hAnsi="David" w:cs="David" w:hint="cs"/>
          <w:sz w:val="24"/>
          <w:szCs w:val="24"/>
          <w:rtl/>
          <w:lang w:eastAsia="he-IL"/>
        </w:rPr>
        <w:t xml:space="preserve"> לאישור התביעה כייצוגית, </w:t>
      </w:r>
      <w:r w:rsidR="005A009E">
        <w:rPr>
          <w:rFonts w:ascii="David" w:eastAsia="Times New Roman" w:hAnsi="David" w:cs="David" w:hint="cs"/>
          <w:sz w:val="24"/>
          <w:szCs w:val="24"/>
          <w:rtl/>
          <w:lang w:eastAsia="he-IL"/>
        </w:rPr>
        <w:t>להתקשרות בהסכם עם הקבוצה, למתן תוקף של פסק דין בתביעה להסכם.</w:t>
      </w:r>
    </w:p>
    <w:p w:rsidR="005A009E" w:rsidRDefault="005A009E"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במקרה הנוכחי המשיב 3 לא הסכים לאף אחד מאלה, אינו יכול להסכים לכך ואינו מעוניין להסכים לכך. המשיב 3 ציין בגוף ההסכם כי לעמדתו לא ניתן לאשר אותו כהסכם בתביעה הייצוגית. המשיב 3 חתם על הסכם עם התובעים האישיים. הוא לא חתם על הסכם עם הקבוצה, ולא הסכים לראות בתובעים מייצגים של הקבוצה. הוא לא הסכים לאישור התביעה כייצוגית, ולא הסכים לפסק דין בתביעה הייצוגית.</w:t>
      </w:r>
    </w:p>
    <w:p w:rsidR="001A6916" w:rsidRDefault="001A6916"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אפילו אם באופן תיאורטי, יאשר בית המשפט את התביעה כתביעה ייצוגית, בניגוד לעמדת המשיב 3, לא ניתן יהיה לאשר את הסכם הפשרה כהסכם בין הקבוצה למשיב 3, משום שהמשיב 3 מעולם לא הסכים להתקשר עם קבוצה כלשהי.</w:t>
      </w:r>
    </w:p>
    <w:p w:rsidR="001A6916" w:rsidRDefault="001A6916"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גם המבקשים אינם מבקשים זאת. הם אינם מבקשים שבית המשפט יאשר את התביעה כייצוגית, אלא שבהליך הייצוגי יינתן פסק דין בהתאם לפשרה. דבר זה אינו אפשרי ללא הסכמה של כל המעורבים.</w:t>
      </w:r>
    </w:p>
    <w:p w:rsidR="00603849" w:rsidRDefault="00603849"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 xml:space="preserve">הליך אישור הסכם, חייב להיות רצוף הסכמה. אם אין הסכמה של הצדדים להתקשר בהסכם ייצוגי ולאשרו ככזה, הרי לא ניתן לכפות אותה על אחד מהצדדים. בצדק </w:t>
      </w:r>
    </w:p>
    <w:p w:rsidR="005A009E" w:rsidRDefault="005A009E"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כל שהסכים לו המשיב 3 הוא להתקשרות עם התובעים באופן אישי. לעמדתנו גם בהתחייבות זו לא היה הכרח, שכן די בהחלטות שקיבל המשיב, ובהצהרות שהצהיר בפני בית המשפט. מכל מקום הוא עומד גם מאחורי ההתחייבויות שנתן לתובעים בהסכם האישי איתם.</w:t>
      </w:r>
    </w:p>
    <w:p w:rsidR="005A009E" w:rsidRDefault="005A009E"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בנסיבות אלו גם אין תועלת באישור ההסכם מבחינת הציבור (גם אילו ניתן היה לאשרו). הציבור נהנה מההחלטות, ההצהרות וההתחייבויות שקיבל על עצמו המשיב 3, בלי לקשור עצמו בהסכם.</w:t>
      </w:r>
      <w:r w:rsidR="001A6916">
        <w:rPr>
          <w:rFonts w:ascii="David" w:eastAsia="Times New Roman" w:hAnsi="David" w:cs="David" w:hint="cs"/>
          <w:sz w:val="24"/>
          <w:szCs w:val="24"/>
          <w:rtl/>
          <w:lang w:eastAsia="he-IL"/>
        </w:rPr>
        <w:t xml:space="preserve"> בהקשר זה נציין גם שלא התבררה עד תום מהותו של התשלום שדורשת דלתא וחוקיותו, ולפיכך, גם אין מקום לאשר את ההסכם עם דלתא.</w:t>
      </w:r>
    </w:p>
    <w:p w:rsidR="001A6916" w:rsidRDefault="001A6916"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בנסיבות אלו בהם הבעיה שהעלו התביעות קיבלה פתרון (כבר בהחלטות הממונה ואף ללא ההסכם), הרי שאין בקשות האישור מגלות עילה, וגם אין צורך בהן. לפיכך יש למחוק אותן, בין בהסכמת התובעים (הסתלקות) ובין ללא הסכמה כזו. אשר להסכם הגישור ניתן לאשרו כהסכם בתביעות האישיות, ככל שיש צורך בכך.</w:t>
      </w:r>
    </w:p>
    <w:p w:rsidR="001A6916" w:rsidRDefault="001A6916"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כפי שציין בית המשפט קמא, מאחורי בקשת המבקשים לאשר את ההסכם כהסכם פשרה בתביעה ייצוגית, עומדת מחלוקת על שכר הטירחה. הפתרון למחלוקת זו הוא בהכרעה בנושא שכר הטירחה. מחלוקת זו אינה מצדיקה ניהול דיון עקר במעמד הסכם הפשרה.</w:t>
      </w:r>
    </w:p>
    <w:p w:rsidR="001A6916" w:rsidRDefault="001A6916" w:rsidP="00063942">
      <w:pPr>
        <w:pStyle w:val="a3"/>
        <w:numPr>
          <w:ilvl w:val="0"/>
          <w:numId w:val="2"/>
        </w:numPr>
        <w:spacing w:before="240" w:line="480" w:lineRule="auto"/>
        <w:jc w:val="both"/>
        <w:rPr>
          <w:rFonts w:ascii="David" w:eastAsia="Times New Roman" w:hAnsi="David" w:cs="David"/>
          <w:sz w:val="24"/>
          <w:szCs w:val="24"/>
          <w:lang w:eastAsia="he-IL"/>
        </w:rPr>
      </w:pPr>
      <w:r>
        <w:rPr>
          <w:rFonts w:ascii="David" w:eastAsia="Times New Roman" w:hAnsi="David" w:cs="David" w:hint="cs"/>
          <w:sz w:val="24"/>
          <w:szCs w:val="24"/>
          <w:rtl/>
          <w:lang w:eastAsia="he-IL"/>
        </w:rPr>
        <w:t>המשיב 3 אינו מתכחש לתרומתם של התביעות להצפת הבעיה ופתרונה. אין המשיב 3 מסכים לפסיקת שכר טירחה או גמול בהתאם לחוק תובענות ייצוגיות, כי איננו נמצאים במסגרת דיונית זו. עם זאת הוא מסכים לכך שבית המשפט המחוזי ייקח בחשבון בפסיקת שכר הטירחה את התרומה שהיו לתביעות בהיבט הכללי.</w:t>
      </w:r>
    </w:p>
    <w:p w:rsidR="00A2574E" w:rsidRPr="00A2574E" w:rsidRDefault="00A2574E" w:rsidP="00A2574E">
      <w:pPr>
        <w:spacing w:before="240" w:line="480" w:lineRule="auto"/>
        <w:jc w:val="both"/>
        <w:rPr>
          <w:rFonts w:ascii="David" w:eastAsia="Times New Roman" w:hAnsi="David" w:cs="David"/>
          <w:sz w:val="24"/>
          <w:szCs w:val="24"/>
          <w:rtl/>
          <w:lang w:eastAsia="he-IL"/>
        </w:rPr>
      </w:pPr>
      <w:r>
        <w:rPr>
          <w:rFonts w:ascii="David" w:eastAsia="Times New Roman" w:hAnsi="David" w:cs="David" w:hint="cs"/>
          <w:sz w:val="24"/>
          <w:szCs w:val="24"/>
          <w:rtl/>
          <w:lang w:eastAsia="he-IL"/>
        </w:rPr>
        <w:t>ההסכמים שבין</w:t>
      </w:r>
    </w:p>
    <w:p w:rsidR="007811C0" w:rsidRDefault="007811C0" w:rsidP="007811C0">
      <w:pPr>
        <w:spacing w:before="240" w:line="240" w:lineRule="auto"/>
        <w:ind w:left="4320"/>
        <w:jc w:val="both"/>
        <w:rPr>
          <w:rFonts w:ascii="David" w:eastAsia="Times New Roman" w:hAnsi="David" w:cs="David"/>
          <w:sz w:val="24"/>
          <w:szCs w:val="24"/>
          <w:rtl/>
          <w:lang w:eastAsia="he-IL"/>
        </w:rPr>
      </w:pPr>
    </w:p>
    <w:p w:rsidR="007811C0" w:rsidRDefault="007811C0" w:rsidP="007811C0">
      <w:pPr>
        <w:spacing w:before="240" w:line="240" w:lineRule="auto"/>
        <w:ind w:left="4320"/>
        <w:jc w:val="both"/>
        <w:rPr>
          <w:rFonts w:ascii="David" w:eastAsia="Times New Roman" w:hAnsi="David" w:cs="David"/>
          <w:sz w:val="24"/>
          <w:szCs w:val="24"/>
          <w:lang w:eastAsia="he-IL"/>
        </w:rPr>
      </w:pPr>
      <w:r>
        <w:rPr>
          <w:rFonts w:ascii="David" w:eastAsia="Times New Roman" w:hAnsi="David" w:cs="David"/>
          <w:sz w:val="24"/>
          <w:szCs w:val="24"/>
          <w:rtl/>
          <w:lang w:eastAsia="he-IL"/>
        </w:rPr>
        <w:t>____________________</w:t>
      </w:r>
    </w:p>
    <w:p w:rsidR="007811C0" w:rsidRDefault="007811C0" w:rsidP="007811C0">
      <w:pPr>
        <w:spacing w:before="240" w:line="240" w:lineRule="auto"/>
        <w:ind w:left="4320"/>
        <w:jc w:val="both"/>
        <w:rPr>
          <w:rFonts w:ascii="David" w:eastAsia="Times New Roman" w:hAnsi="David" w:cs="David"/>
          <w:sz w:val="24"/>
          <w:szCs w:val="24"/>
          <w:rtl/>
          <w:lang w:eastAsia="he-IL"/>
        </w:rPr>
      </w:pPr>
      <w:r>
        <w:rPr>
          <w:rFonts w:ascii="David" w:eastAsia="Times New Roman" w:hAnsi="David" w:cs="David"/>
          <w:sz w:val="24"/>
          <w:szCs w:val="24"/>
          <w:rtl/>
          <w:lang w:eastAsia="he-IL"/>
        </w:rPr>
        <w:t>יעל מימון</w:t>
      </w:r>
    </w:p>
    <w:p w:rsidR="007811C0" w:rsidRDefault="007811C0" w:rsidP="007811C0">
      <w:pPr>
        <w:spacing w:before="240" w:line="240" w:lineRule="auto"/>
        <w:ind w:left="4320"/>
        <w:jc w:val="both"/>
        <w:rPr>
          <w:rFonts w:ascii="David" w:eastAsia="Times New Roman" w:hAnsi="David" w:cs="David"/>
          <w:sz w:val="24"/>
          <w:szCs w:val="24"/>
          <w:rtl/>
          <w:lang w:eastAsia="he-IL"/>
        </w:rPr>
      </w:pPr>
      <w:r>
        <w:rPr>
          <w:rFonts w:ascii="David" w:eastAsia="Times New Roman" w:hAnsi="David" w:cs="David"/>
          <w:sz w:val="24"/>
          <w:szCs w:val="24"/>
          <w:rtl/>
          <w:lang w:eastAsia="he-IL"/>
        </w:rPr>
        <w:t>ממונה על עניינים אזרחיים</w:t>
      </w:r>
    </w:p>
    <w:p w:rsidR="007811C0" w:rsidRDefault="007811C0" w:rsidP="007811C0">
      <w:pPr>
        <w:spacing w:before="240" w:line="240" w:lineRule="auto"/>
        <w:ind w:left="4320"/>
        <w:jc w:val="both"/>
        <w:rPr>
          <w:rFonts w:ascii="David" w:eastAsia="Times New Roman" w:hAnsi="David" w:cs="David"/>
          <w:sz w:val="24"/>
          <w:szCs w:val="24"/>
          <w:rtl/>
          <w:lang w:eastAsia="he-IL"/>
        </w:rPr>
      </w:pPr>
      <w:r>
        <w:rPr>
          <w:rFonts w:ascii="David" w:eastAsia="Times New Roman" w:hAnsi="David" w:cs="David"/>
          <w:sz w:val="24"/>
          <w:szCs w:val="24"/>
          <w:rtl/>
          <w:lang w:eastAsia="he-IL"/>
        </w:rPr>
        <w:t>בפרקליטות המדינה</w:t>
      </w:r>
    </w:p>
    <w:p w:rsidR="007811C0" w:rsidRDefault="007811C0" w:rsidP="007811C0">
      <w:pPr>
        <w:rPr>
          <w:rtl/>
        </w:rPr>
      </w:pPr>
    </w:p>
    <w:p w:rsidR="007811C0" w:rsidRDefault="007811C0" w:rsidP="007811C0"/>
    <w:sectPr w:rsidR="007811C0" w:rsidSect="007E22F2">
      <w:headerReference w:type="default" r:id="rId9"/>
      <w:pgSz w:w="11906" w:h="16838"/>
      <w:pgMar w:top="1440" w:right="1800" w:bottom="1440" w:left="1800" w:header="708" w:footer="708" w:gutter="0"/>
      <w:cols w:space="708"/>
      <w:bidi/>
      <w:rtlGutter/>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Yael Maimon" w:date="2020-07-20T21:51:00Z" w:initials="YM">
    <w:p w:rsidR="00AA227A" w:rsidRDefault="00AA227A" w:rsidP="001940B5">
      <w:pPr>
        <w:pStyle w:val="a9"/>
      </w:pPr>
      <w:r>
        <w:rPr>
          <w:rStyle w:val="a8"/>
        </w:rPr>
        <w:annotationRef/>
      </w:r>
      <w:r>
        <w:rPr>
          <w:rFonts w:hint="cs"/>
          <w:rtl/>
        </w:rPr>
        <w:t xml:space="preserve">אריאל, </w:t>
      </w:r>
      <w:r w:rsidR="001940B5">
        <w:rPr>
          <w:rFonts w:hint="cs"/>
          <w:rtl/>
        </w:rPr>
        <w:t xml:space="preserve">בעמוד ראשון לא צריך להופיע המספר. יש פונציה </w:t>
      </w:r>
      <w:r w:rsidR="001940B5">
        <w:rPr>
          <w:rtl/>
        </w:rPr>
        <w:t>–</w:t>
      </w:r>
      <w:r w:rsidR="001940B5">
        <w:rPr>
          <w:rFonts w:hint="cs"/>
          <w:rtl/>
        </w:rPr>
        <w:t xml:space="preserve"> עמוד ראשון שונה.</w:t>
      </w:r>
    </w:p>
  </w:comment>
  <w:comment w:id="1" w:author="אריאל סטולפר" w:date="2020-07-21T10:39:00Z" w:initials="אס">
    <w:p w:rsidR="00182554" w:rsidRDefault="00182554">
      <w:pPr>
        <w:pStyle w:val="a9"/>
        <w:rPr>
          <w:rtl/>
        </w:rPr>
      </w:pPr>
      <w:r>
        <w:rPr>
          <w:rStyle w:val="a8"/>
        </w:rPr>
        <w:annotationRef/>
      </w:r>
      <w:r>
        <w:rPr>
          <w:rFonts w:hint="cs"/>
          <w:rtl/>
        </w:rPr>
        <w:t>עברתי על הבקשה של סויסה ועל תיאור התביעה בהחלטת בית המשפט ולא מצאתי שדרשו השבה של הכספים.</w:t>
      </w:r>
    </w:p>
    <w:p w:rsidR="00182554" w:rsidRDefault="00182554">
      <w:pPr>
        <w:pStyle w:val="a9"/>
      </w:pPr>
      <w:r>
        <w:rPr>
          <w:rFonts w:hint="cs"/>
          <w:rtl/>
        </w:rPr>
        <w:t>הסעד שנדרש מבית המשפט הוא לחייב את דלתא לרשום את הזכויות ולרשום הערבת זכויות בנכס ולגבות על כך את המחיר הקבוע בצו פיקוח.</w:t>
      </w:r>
    </w:p>
  </w:comment>
  <w:comment w:id="2" w:author="Yael Maimon" w:date="2020-07-21T13:13:00Z" w:initials="YM">
    <w:p w:rsidR="001940B5" w:rsidRDefault="001940B5">
      <w:pPr>
        <w:pStyle w:val="a9"/>
        <w:rPr>
          <w:rFonts w:hint="cs"/>
          <w:rtl/>
        </w:rPr>
      </w:pPr>
      <w:r>
        <w:rPr>
          <w:rStyle w:val="a8"/>
        </w:rPr>
        <w:annotationRef/>
      </w:r>
      <w:r>
        <w:rPr>
          <w:rFonts w:hint="cs"/>
          <w:rtl/>
        </w:rPr>
        <w:t>מה כתוב בתביעה של בן אביר. זה מה שביקשתי שתבדוק, ומה כתוב בתביעה של סויסה</w:t>
      </w:r>
    </w:p>
  </w:comment>
  <w:comment w:id="3" w:author="אריאל סטולפר" w:date="2020-07-21T10:51:00Z" w:initials="אס">
    <w:p w:rsidR="00436E7D" w:rsidRDefault="00436E7D">
      <w:pPr>
        <w:pStyle w:val="a9"/>
        <w:rPr>
          <w:rtl/>
        </w:rPr>
      </w:pPr>
      <w:r>
        <w:rPr>
          <w:rStyle w:val="a8"/>
        </w:rPr>
        <w:annotationRef/>
      </w:r>
      <w:r>
        <w:rPr>
          <w:rFonts w:hint="cs"/>
          <w:rtl/>
        </w:rPr>
        <w:t>לפי הבקשה לאישור של בן אביר, המינהל דרש תשלום של 13,629 ₪ דמי ניהול.</w:t>
      </w:r>
    </w:p>
    <w:p w:rsidR="00436E7D" w:rsidRDefault="00436E7D">
      <w:pPr>
        <w:pStyle w:val="a9"/>
      </w:pPr>
      <w:r>
        <w:rPr>
          <w:rFonts w:hint="cs"/>
          <w:rtl/>
        </w:rPr>
        <w:t>בהחלטה 2505 נקבע כי תופסק גבייה של 11,800 ₪ דמי ניהול.</w:t>
      </w:r>
    </w:p>
  </w:comment>
  <w:comment w:id="4" w:author="Yael Maimon" w:date="2020-07-20T21:50:00Z" w:initials="YM">
    <w:p w:rsidR="00AA227A" w:rsidRDefault="00AA227A">
      <w:pPr>
        <w:pStyle w:val="a9"/>
      </w:pPr>
      <w:r>
        <w:rPr>
          <w:rStyle w:val="a8"/>
        </w:rPr>
        <w:annotationRef/>
      </w:r>
      <w:r>
        <w:rPr>
          <w:rFonts w:hint="cs"/>
          <w:rtl/>
        </w:rPr>
        <w:t>אריאל, תביא מהספר של ויניצקי על תובענות ייצוגיות ציטוט על אישור הסכם בשלב בקשת האישור</w:t>
      </w:r>
    </w:p>
  </w:comment>
  <w:comment w:id="5" w:author="Yael Maimon" w:date="2020-07-21T13:17:00Z" w:initials="YM">
    <w:p w:rsidR="001940B5" w:rsidRDefault="001940B5">
      <w:pPr>
        <w:pStyle w:val="a9"/>
      </w:pPr>
      <w:r>
        <w:rPr>
          <w:rStyle w:val="a8"/>
        </w:rPr>
        <w:annotationRef/>
      </w:r>
      <w:r>
        <w:rPr>
          <w:rFonts w:hint="cs"/>
          <w:rtl/>
        </w:rPr>
        <w:t>תודה אך לא ממש משרת אותנו. חפש אמירה שלפיה הצדדים מבקשים מבית המשפט לאשר את התביעה לצורך אישור הפשרה, והסכמתם זו תלויה באישור הפשרה.</w:t>
      </w:r>
    </w:p>
  </w:comment>
</w:comments>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C1446F" w16cex:dateUtc="2020-07-21T07:39:00Z"/>
  <w16cex:commentExtensible w16cex:durableId="22C14745" w16cex:dateUtc="2020-07-21T07: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C8AC30B" w16cid:durableId="22C0981C"/>
  <w16cid:commentId w16cid:paraId="3C0A1E21" w16cid:durableId="22C1446F"/>
  <w16cid:commentId w16cid:paraId="7E6C3956" w16cid:durableId="22C14745"/>
  <w16cid:commentId w16cid:paraId="626957CF" w16cid:durableId="22C0981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5DFE" w:rsidRDefault="00725DFE" w:rsidP="00603849">
      <w:pPr>
        <w:spacing w:after="0" w:line="240" w:lineRule="auto"/>
      </w:pPr>
      <w:r>
        <w:separator/>
      </w:r>
    </w:p>
  </w:endnote>
  <w:endnote w:type="continuationSeparator" w:id="0">
    <w:p w:rsidR="00725DFE" w:rsidRDefault="00725DFE" w:rsidP="006038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Ruehl">
    <w:panose1 w:val="020E050306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5DFE" w:rsidRDefault="00725DFE" w:rsidP="00603849">
      <w:pPr>
        <w:spacing w:after="0" w:line="240" w:lineRule="auto"/>
      </w:pPr>
      <w:r>
        <w:separator/>
      </w:r>
    </w:p>
  </w:footnote>
  <w:footnote w:type="continuationSeparator" w:id="0">
    <w:p w:rsidR="00725DFE" w:rsidRDefault="00725DFE" w:rsidP="00603849">
      <w:pPr>
        <w:spacing w:after="0" w:line="240" w:lineRule="auto"/>
      </w:pPr>
      <w:r>
        <w:continuationSeparator/>
      </w:r>
    </w:p>
  </w:footnote>
  <w:footnote w:id="1">
    <w:p w:rsidR="009D5C70" w:rsidRPr="009D5C70" w:rsidRDefault="009D5C70" w:rsidP="009D5C70">
      <w:pPr>
        <w:pStyle w:val="af"/>
        <w:rPr>
          <w:rtl/>
        </w:rPr>
      </w:pPr>
      <w:r>
        <w:rPr>
          <w:rStyle w:val="af1"/>
        </w:rPr>
        <w:footnoteRef/>
      </w:r>
      <w:r>
        <w:rPr>
          <w:rtl/>
        </w:rPr>
        <w:t xml:space="preserve"> </w:t>
      </w:r>
      <w:r w:rsidRPr="001940B5">
        <w:rPr>
          <w:rFonts w:ascii="David" w:hAnsi="David" w:cs="David" w:hint="eastAsia"/>
          <w:rtl/>
        </w:rPr>
        <w:t>אביאל</w:t>
      </w:r>
      <w:r w:rsidRPr="001940B5">
        <w:rPr>
          <w:rFonts w:ascii="David" w:hAnsi="David" w:cs="David"/>
          <w:rtl/>
        </w:rPr>
        <w:t xml:space="preserve"> פלינט וחגי ויניצקי </w:t>
      </w:r>
      <w:r w:rsidRPr="001940B5">
        <w:rPr>
          <w:rFonts w:ascii="David" w:hAnsi="David" w:cs="David" w:hint="eastAsia"/>
          <w:b/>
          <w:bCs/>
          <w:rtl/>
        </w:rPr>
        <w:t>תובענות</w:t>
      </w:r>
      <w:r w:rsidRPr="001940B5">
        <w:rPr>
          <w:rFonts w:ascii="David" w:hAnsi="David" w:cs="David"/>
          <w:b/>
          <w:bCs/>
          <w:rtl/>
        </w:rPr>
        <w:t xml:space="preserve"> </w:t>
      </w:r>
      <w:r w:rsidRPr="001940B5">
        <w:rPr>
          <w:rFonts w:ascii="David" w:hAnsi="David" w:cs="David" w:hint="eastAsia"/>
          <w:b/>
          <w:bCs/>
          <w:rtl/>
        </w:rPr>
        <w:t>ייצוגיות</w:t>
      </w:r>
      <w:r w:rsidRPr="001940B5">
        <w:rPr>
          <w:rFonts w:ascii="David" w:hAnsi="David" w:cs="David"/>
          <w:rtl/>
        </w:rPr>
        <w:t xml:space="preserve"> בעמודים</w:t>
      </w:r>
      <w:r>
        <w:rPr>
          <w:rFonts w:ascii="David" w:hAnsi="David" w:cs="David" w:hint="cs"/>
          <w:rtl/>
        </w:rPr>
        <w:t xml:space="preserve"> 608-614</w:t>
      </w:r>
      <w:r w:rsidRPr="001940B5">
        <w:rPr>
          <w:rFonts w:ascii="David" w:hAnsi="David" w:cs="David"/>
          <w:rtl/>
        </w:rPr>
        <w:t xml:space="preserv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David" w:hAnsi="David" w:cs="David"/>
        <w:sz w:val="24"/>
        <w:szCs w:val="24"/>
        <w:rtl/>
      </w:rPr>
      <w:id w:val="-910467049"/>
      <w:docPartObj>
        <w:docPartGallery w:val="Page Numbers (Top of Page)"/>
        <w:docPartUnique/>
      </w:docPartObj>
    </w:sdtPr>
    <w:sdtEndPr/>
    <w:sdtContent>
      <w:p w:rsidR="00D262A6" w:rsidRPr="001940B5" w:rsidRDefault="00D262A6">
        <w:pPr>
          <w:pStyle w:val="a4"/>
          <w:jc w:val="center"/>
          <w:rPr>
            <w:rFonts w:ascii="David" w:hAnsi="David" w:cs="David"/>
            <w:sz w:val="24"/>
            <w:szCs w:val="24"/>
          </w:rPr>
        </w:pPr>
        <w:r w:rsidRPr="001940B5">
          <w:rPr>
            <w:rFonts w:ascii="David" w:hAnsi="David" w:cs="David"/>
            <w:sz w:val="24"/>
            <w:szCs w:val="24"/>
          </w:rPr>
          <w:fldChar w:fldCharType="begin"/>
        </w:r>
        <w:r w:rsidRPr="001940B5">
          <w:rPr>
            <w:rFonts w:ascii="David" w:hAnsi="David" w:cs="David"/>
            <w:sz w:val="24"/>
            <w:szCs w:val="24"/>
          </w:rPr>
          <w:instrText>PAGE   \* MERGEFORMAT</w:instrText>
        </w:r>
        <w:r w:rsidRPr="001940B5">
          <w:rPr>
            <w:rFonts w:ascii="David" w:hAnsi="David" w:cs="David"/>
            <w:sz w:val="24"/>
            <w:szCs w:val="24"/>
          </w:rPr>
          <w:fldChar w:fldCharType="separate"/>
        </w:r>
        <w:r w:rsidR="001940B5" w:rsidRPr="001940B5">
          <w:rPr>
            <w:rFonts w:ascii="David" w:hAnsi="David" w:cs="David"/>
            <w:noProof/>
            <w:sz w:val="24"/>
            <w:szCs w:val="24"/>
            <w:rtl/>
            <w:lang w:val="he-IL"/>
          </w:rPr>
          <w:t>2</w:t>
        </w:r>
        <w:r w:rsidRPr="001940B5">
          <w:rPr>
            <w:rFonts w:ascii="David" w:hAnsi="David" w:cs="David"/>
            <w:sz w:val="24"/>
            <w:szCs w:val="24"/>
          </w:rPr>
          <w:fldChar w:fldCharType="end"/>
        </w:r>
      </w:p>
    </w:sdtContent>
  </w:sdt>
  <w:p w:rsidR="00D262A6" w:rsidRDefault="00D262A6">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114DB9"/>
    <w:multiLevelType w:val="hybridMultilevel"/>
    <w:tmpl w:val="73B6AD56"/>
    <w:lvl w:ilvl="0" w:tplc="048A6F18">
      <w:start w:val="1"/>
      <w:numFmt w:val="decimal"/>
      <w:lvlText w:val="%1."/>
      <w:lvlJc w:val="left"/>
      <w:pPr>
        <w:ind w:left="302" w:hanging="360"/>
      </w:pPr>
      <w:rPr>
        <w:rFonts w:hint="default"/>
      </w:rPr>
    </w:lvl>
    <w:lvl w:ilvl="1" w:tplc="04090019" w:tentative="1">
      <w:start w:val="1"/>
      <w:numFmt w:val="lowerLetter"/>
      <w:lvlText w:val="%2."/>
      <w:lvlJc w:val="left"/>
      <w:pPr>
        <w:ind w:left="1022" w:hanging="360"/>
      </w:pPr>
    </w:lvl>
    <w:lvl w:ilvl="2" w:tplc="0409001B" w:tentative="1">
      <w:start w:val="1"/>
      <w:numFmt w:val="lowerRoman"/>
      <w:lvlText w:val="%3."/>
      <w:lvlJc w:val="right"/>
      <w:pPr>
        <w:ind w:left="1742" w:hanging="180"/>
      </w:pPr>
    </w:lvl>
    <w:lvl w:ilvl="3" w:tplc="0409000F" w:tentative="1">
      <w:start w:val="1"/>
      <w:numFmt w:val="decimal"/>
      <w:lvlText w:val="%4."/>
      <w:lvlJc w:val="left"/>
      <w:pPr>
        <w:ind w:left="2462" w:hanging="360"/>
      </w:pPr>
    </w:lvl>
    <w:lvl w:ilvl="4" w:tplc="04090019" w:tentative="1">
      <w:start w:val="1"/>
      <w:numFmt w:val="lowerLetter"/>
      <w:lvlText w:val="%5."/>
      <w:lvlJc w:val="left"/>
      <w:pPr>
        <w:ind w:left="3182" w:hanging="360"/>
      </w:pPr>
    </w:lvl>
    <w:lvl w:ilvl="5" w:tplc="0409001B" w:tentative="1">
      <w:start w:val="1"/>
      <w:numFmt w:val="lowerRoman"/>
      <w:lvlText w:val="%6."/>
      <w:lvlJc w:val="right"/>
      <w:pPr>
        <w:ind w:left="3902" w:hanging="180"/>
      </w:pPr>
    </w:lvl>
    <w:lvl w:ilvl="6" w:tplc="0409000F" w:tentative="1">
      <w:start w:val="1"/>
      <w:numFmt w:val="decimal"/>
      <w:lvlText w:val="%7."/>
      <w:lvlJc w:val="left"/>
      <w:pPr>
        <w:ind w:left="4622" w:hanging="360"/>
      </w:pPr>
    </w:lvl>
    <w:lvl w:ilvl="7" w:tplc="04090019" w:tentative="1">
      <w:start w:val="1"/>
      <w:numFmt w:val="lowerLetter"/>
      <w:lvlText w:val="%8."/>
      <w:lvlJc w:val="left"/>
      <w:pPr>
        <w:ind w:left="5342" w:hanging="360"/>
      </w:pPr>
    </w:lvl>
    <w:lvl w:ilvl="8" w:tplc="0409001B" w:tentative="1">
      <w:start w:val="1"/>
      <w:numFmt w:val="lowerRoman"/>
      <w:lvlText w:val="%9."/>
      <w:lvlJc w:val="right"/>
      <w:pPr>
        <w:ind w:left="6062" w:hanging="180"/>
      </w:pPr>
    </w:lvl>
  </w:abstractNum>
  <w:abstractNum w:abstractNumId="1" w15:restartNumberingAfterBreak="0">
    <w:nsid w:val="76057290"/>
    <w:multiLevelType w:val="hybridMultilevel"/>
    <w:tmpl w:val="9C96C794"/>
    <w:lvl w:ilvl="0" w:tplc="3B544FF8">
      <w:start w:val="1"/>
      <w:numFmt w:val="decimal"/>
      <w:suff w:val="space"/>
      <w:lvlText w:val="%1."/>
      <w:lvlJc w:val="left"/>
      <w:pPr>
        <w:ind w:left="720" w:right="552" w:hanging="360"/>
      </w:pPr>
      <w:rPr>
        <w:rFonts w:ascii="David" w:eastAsia="Times New Roman" w:hAnsi="David" w:cs="David"/>
        <w:b w:val="0"/>
        <w:bCs w:val="0"/>
        <w:sz w:val="24"/>
        <w:szCs w:val="24"/>
      </w:rPr>
    </w:lvl>
    <w:lvl w:ilvl="1" w:tplc="04090019">
      <w:start w:val="1"/>
      <w:numFmt w:val="lowerLetter"/>
      <w:lvlText w:val="%2."/>
      <w:lvlJc w:val="left"/>
      <w:pPr>
        <w:ind w:left="1440" w:right="1632" w:hanging="360"/>
      </w:pPr>
    </w:lvl>
    <w:lvl w:ilvl="2" w:tplc="0409001B">
      <w:start w:val="1"/>
      <w:numFmt w:val="lowerRoman"/>
      <w:lvlText w:val="%3."/>
      <w:lvlJc w:val="right"/>
      <w:pPr>
        <w:ind w:left="2160" w:right="2352" w:hanging="180"/>
      </w:pPr>
    </w:lvl>
    <w:lvl w:ilvl="3" w:tplc="0409000F">
      <w:start w:val="1"/>
      <w:numFmt w:val="decimal"/>
      <w:lvlText w:val="%4."/>
      <w:lvlJc w:val="left"/>
      <w:pPr>
        <w:ind w:left="2880" w:right="3072" w:hanging="360"/>
      </w:pPr>
    </w:lvl>
    <w:lvl w:ilvl="4" w:tplc="04090019">
      <w:start w:val="1"/>
      <w:numFmt w:val="lowerLetter"/>
      <w:lvlText w:val="%5."/>
      <w:lvlJc w:val="left"/>
      <w:pPr>
        <w:ind w:left="3600" w:right="3792" w:hanging="360"/>
      </w:pPr>
    </w:lvl>
    <w:lvl w:ilvl="5" w:tplc="0409001B">
      <w:start w:val="1"/>
      <w:numFmt w:val="lowerRoman"/>
      <w:lvlText w:val="%6."/>
      <w:lvlJc w:val="right"/>
      <w:pPr>
        <w:ind w:left="4320" w:right="4512" w:hanging="180"/>
      </w:pPr>
    </w:lvl>
    <w:lvl w:ilvl="6" w:tplc="0409000F">
      <w:start w:val="1"/>
      <w:numFmt w:val="decimal"/>
      <w:lvlText w:val="%7."/>
      <w:lvlJc w:val="left"/>
      <w:pPr>
        <w:ind w:left="5040" w:right="5232" w:hanging="360"/>
      </w:pPr>
    </w:lvl>
    <w:lvl w:ilvl="7" w:tplc="04090019">
      <w:start w:val="1"/>
      <w:numFmt w:val="lowerLetter"/>
      <w:lvlText w:val="%8."/>
      <w:lvlJc w:val="left"/>
      <w:pPr>
        <w:ind w:left="5760" w:right="5952" w:hanging="360"/>
      </w:pPr>
    </w:lvl>
    <w:lvl w:ilvl="8" w:tplc="0409001B">
      <w:start w:val="1"/>
      <w:numFmt w:val="lowerRoman"/>
      <w:lvlText w:val="%9."/>
      <w:lvlJc w:val="right"/>
      <w:pPr>
        <w:ind w:left="6480" w:right="6672"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Yael Maimon">
    <w15:presenceInfo w15:providerId="AD" w15:userId="S-1-5-21-806468-360911638-1700950580-1387"/>
  </w15:person>
  <w15:person w15:author="אריאל סטולפר">
    <w15:presenceInfo w15:providerId="Windows Live" w15:userId="09c616c499e4b78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11C0"/>
    <w:rsid w:val="00031BB2"/>
    <w:rsid w:val="00063942"/>
    <w:rsid w:val="00176373"/>
    <w:rsid w:val="00182554"/>
    <w:rsid w:val="001940B5"/>
    <w:rsid w:val="001A6916"/>
    <w:rsid w:val="001E4EBF"/>
    <w:rsid w:val="002B5115"/>
    <w:rsid w:val="00436E7D"/>
    <w:rsid w:val="004E56A3"/>
    <w:rsid w:val="00520630"/>
    <w:rsid w:val="005A009E"/>
    <w:rsid w:val="00603849"/>
    <w:rsid w:val="00612FCB"/>
    <w:rsid w:val="00725DFE"/>
    <w:rsid w:val="00774868"/>
    <w:rsid w:val="007811C0"/>
    <w:rsid w:val="00852294"/>
    <w:rsid w:val="009B4507"/>
    <w:rsid w:val="009D5C70"/>
    <w:rsid w:val="00A2574E"/>
    <w:rsid w:val="00AA227A"/>
    <w:rsid w:val="00C24CCF"/>
    <w:rsid w:val="00C57B08"/>
    <w:rsid w:val="00C875B9"/>
    <w:rsid w:val="00D262A6"/>
    <w:rsid w:val="00D50F08"/>
    <w:rsid w:val="00D81949"/>
    <w:rsid w:val="00D97CC7"/>
    <w:rsid w:val="00DD5123"/>
    <w:rsid w:val="00EC34B1"/>
    <w:rsid w:val="00ED72B9"/>
    <w:rsid w:val="00EF2DC5"/>
    <w:rsid w:val="00F37B6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1887DD"/>
  <w15:docId w15:val="{A7FC3444-1FB1-4523-BB6E-ECB9215EC2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11C0"/>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811C0"/>
    <w:pPr>
      <w:ind w:left="720"/>
      <w:contextualSpacing/>
    </w:pPr>
  </w:style>
  <w:style w:type="paragraph" w:styleId="a4">
    <w:name w:val="header"/>
    <w:basedOn w:val="a"/>
    <w:link w:val="a5"/>
    <w:uiPriority w:val="99"/>
    <w:unhideWhenUsed/>
    <w:rsid w:val="00603849"/>
    <w:pPr>
      <w:tabs>
        <w:tab w:val="center" w:pos="4153"/>
        <w:tab w:val="right" w:pos="8306"/>
      </w:tabs>
      <w:spacing w:after="0" w:line="240" w:lineRule="auto"/>
    </w:pPr>
  </w:style>
  <w:style w:type="character" w:customStyle="1" w:styleId="a5">
    <w:name w:val="כותרת עליונה תו"/>
    <w:basedOn w:val="a0"/>
    <w:link w:val="a4"/>
    <w:uiPriority w:val="99"/>
    <w:rsid w:val="00603849"/>
  </w:style>
  <w:style w:type="paragraph" w:styleId="a6">
    <w:name w:val="footer"/>
    <w:basedOn w:val="a"/>
    <w:link w:val="a7"/>
    <w:uiPriority w:val="99"/>
    <w:unhideWhenUsed/>
    <w:rsid w:val="00603849"/>
    <w:pPr>
      <w:tabs>
        <w:tab w:val="center" w:pos="4153"/>
        <w:tab w:val="right" w:pos="8306"/>
      </w:tabs>
      <w:spacing w:after="0" w:line="240" w:lineRule="auto"/>
    </w:pPr>
  </w:style>
  <w:style w:type="character" w:customStyle="1" w:styleId="a7">
    <w:name w:val="כותרת תחתונה תו"/>
    <w:basedOn w:val="a0"/>
    <w:link w:val="a6"/>
    <w:uiPriority w:val="99"/>
    <w:rsid w:val="00603849"/>
  </w:style>
  <w:style w:type="character" w:styleId="a8">
    <w:name w:val="annotation reference"/>
    <w:basedOn w:val="a0"/>
    <w:uiPriority w:val="99"/>
    <w:semiHidden/>
    <w:unhideWhenUsed/>
    <w:rsid w:val="00AA227A"/>
    <w:rPr>
      <w:sz w:val="16"/>
      <w:szCs w:val="16"/>
    </w:rPr>
  </w:style>
  <w:style w:type="paragraph" w:styleId="a9">
    <w:name w:val="annotation text"/>
    <w:basedOn w:val="a"/>
    <w:link w:val="aa"/>
    <w:uiPriority w:val="99"/>
    <w:semiHidden/>
    <w:unhideWhenUsed/>
    <w:rsid w:val="00AA227A"/>
    <w:pPr>
      <w:spacing w:line="240" w:lineRule="auto"/>
    </w:pPr>
    <w:rPr>
      <w:sz w:val="20"/>
      <w:szCs w:val="20"/>
    </w:rPr>
  </w:style>
  <w:style w:type="character" w:customStyle="1" w:styleId="aa">
    <w:name w:val="טקסט הערה תו"/>
    <w:basedOn w:val="a0"/>
    <w:link w:val="a9"/>
    <w:uiPriority w:val="99"/>
    <w:semiHidden/>
    <w:rsid w:val="00AA227A"/>
    <w:rPr>
      <w:sz w:val="20"/>
      <w:szCs w:val="20"/>
    </w:rPr>
  </w:style>
  <w:style w:type="paragraph" w:styleId="ab">
    <w:name w:val="annotation subject"/>
    <w:basedOn w:val="a9"/>
    <w:next w:val="a9"/>
    <w:link w:val="ac"/>
    <w:uiPriority w:val="99"/>
    <w:semiHidden/>
    <w:unhideWhenUsed/>
    <w:rsid w:val="00AA227A"/>
    <w:rPr>
      <w:b/>
      <w:bCs/>
    </w:rPr>
  </w:style>
  <w:style w:type="character" w:customStyle="1" w:styleId="ac">
    <w:name w:val="נושא הערה תו"/>
    <w:basedOn w:val="aa"/>
    <w:link w:val="ab"/>
    <w:uiPriority w:val="99"/>
    <w:semiHidden/>
    <w:rsid w:val="00AA227A"/>
    <w:rPr>
      <w:b/>
      <w:bCs/>
      <w:sz w:val="20"/>
      <w:szCs w:val="20"/>
    </w:rPr>
  </w:style>
  <w:style w:type="paragraph" w:styleId="ad">
    <w:name w:val="Balloon Text"/>
    <w:basedOn w:val="a"/>
    <w:link w:val="ae"/>
    <w:uiPriority w:val="99"/>
    <w:semiHidden/>
    <w:unhideWhenUsed/>
    <w:rsid w:val="00AA227A"/>
    <w:pPr>
      <w:spacing w:after="0" w:line="240" w:lineRule="auto"/>
    </w:pPr>
    <w:rPr>
      <w:rFonts w:ascii="Tahoma" w:hAnsi="Tahoma" w:cs="Tahoma"/>
      <w:sz w:val="18"/>
      <w:szCs w:val="18"/>
    </w:rPr>
  </w:style>
  <w:style w:type="character" w:customStyle="1" w:styleId="ae">
    <w:name w:val="טקסט בלונים תו"/>
    <w:basedOn w:val="a0"/>
    <w:link w:val="ad"/>
    <w:uiPriority w:val="99"/>
    <w:semiHidden/>
    <w:rsid w:val="00AA227A"/>
    <w:rPr>
      <w:rFonts w:ascii="Tahoma" w:hAnsi="Tahoma" w:cs="Tahoma"/>
      <w:sz w:val="18"/>
      <w:szCs w:val="18"/>
    </w:rPr>
  </w:style>
  <w:style w:type="paragraph" w:styleId="af">
    <w:name w:val="footnote text"/>
    <w:basedOn w:val="a"/>
    <w:link w:val="af0"/>
    <w:uiPriority w:val="99"/>
    <w:semiHidden/>
    <w:unhideWhenUsed/>
    <w:rsid w:val="009D5C70"/>
    <w:pPr>
      <w:spacing w:after="0" w:line="240" w:lineRule="auto"/>
    </w:pPr>
    <w:rPr>
      <w:sz w:val="20"/>
      <w:szCs w:val="20"/>
    </w:rPr>
  </w:style>
  <w:style w:type="character" w:customStyle="1" w:styleId="af0">
    <w:name w:val="טקסט הערת שוליים תו"/>
    <w:basedOn w:val="a0"/>
    <w:link w:val="af"/>
    <w:uiPriority w:val="99"/>
    <w:semiHidden/>
    <w:rsid w:val="009D5C70"/>
    <w:rPr>
      <w:sz w:val="20"/>
      <w:szCs w:val="20"/>
    </w:rPr>
  </w:style>
  <w:style w:type="character" w:styleId="af1">
    <w:name w:val="footnote reference"/>
    <w:basedOn w:val="a0"/>
    <w:uiPriority w:val="99"/>
    <w:semiHidden/>
    <w:unhideWhenUsed/>
    <w:rsid w:val="009D5C7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microsoft.com/office/2016/09/relationships/commentsIds" Target="commentsId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1D3AEB-2257-4961-A9DB-4288059A3D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970</TotalTime>
  <Pages>1</Pages>
  <Words>1865</Words>
  <Characters>9326</Characters>
  <Application>Microsoft Office Word</Application>
  <DocSecurity>0</DocSecurity>
  <Lines>77</Lines>
  <Paragraphs>22</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11169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Ariel Stolper</dc:creator>
  <cp:lastModifiedBy>אריאל סטולפר</cp:lastModifiedBy>
  <cp:revision>5</cp:revision>
  <dcterms:created xsi:type="dcterms:W3CDTF">2020-07-16T09:51:00Z</dcterms:created>
  <dcterms:modified xsi:type="dcterms:W3CDTF">2020-07-21T08:44:00Z</dcterms:modified>
</cp:coreProperties>
</file>