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bidiVisual/>
        <w:tblW w:w="0" w:type="auto"/>
        <w:jc w:val="right"/>
        <w:tblInd w:w="-471" w:type="dxa"/>
        <w:tblCellMar>
          <w:left w:w="0" w:type="dxa"/>
          <w:right w:w="0" w:type="dxa"/>
        </w:tblCellMar>
        <w:tblLook w:val="04A0" w:firstRow="1" w:lastRow="0" w:firstColumn="1" w:lastColumn="0" w:noHBand="0" w:noVBand="1"/>
      </w:tblPr>
      <w:tblGrid>
        <w:gridCol w:w="316"/>
        <w:gridCol w:w="791"/>
        <w:gridCol w:w="612"/>
      </w:tblGrid>
      <w:tr w:rsidR="0070657C" w:rsidRPr="004336A6" w:rsidTr="0070657C">
        <w:trPr>
          <w:cantSplit/>
          <w:trHeight w:val="20"/>
          <w:jc w:val="right"/>
        </w:trPr>
        <w:tc>
          <w:tcPr>
            <w:tcW w:w="316" w:type="dxa"/>
            <w:shd w:val="clear" w:color="auto" w:fill="auto"/>
            <w:vAlign w:val="bottom"/>
          </w:tcPr>
          <w:p w:rsidR="0070657C" w:rsidRPr="001405C4" w:rsidRDefault="00F157E2" w:rsidP="00F157E2">
            <w:pPr>
              <w:bidi/>
              <w:spacing w:after="0"/>
              <w:jc w:val="left"/>
              <w:rPr>
                <w:rtl/>
              </w:rPr>
            </w:pPr>
            <w:bookmarkStart w:id="0" w:name="_GoBack"/>
            <w:bookmarkEnd w:id="0"/>
            <w:r>
              <w:rPr>
                <w:rFonts w:hint="cs"/>
                <w:rtl/>
              </w:rPr>
              <w:t>ו</w:t>
            </w:r>
            <w:r w:rsidR="00E64A84">
              <w:rPr>
                <w:rFonts w:hint="cs"/>
                <w:rtl/>
              </w:rPr>
              <w:t xml:space="preserve">' </w:t>
            </w:r>
          </w:p>
        </w:tc>
        <w:tc>
          <w:tcPr>
            <w:tcW w:w="538" w:type="dxa"/>
            <w:shd w:val="clear" w:color="auto" w:fill="auto"/>
            <w:vAlign w:val="bottom"/>
          </w:tcPr>
          <w:p w:rsidR="0070657C" w:rsidRPr="001405C4" w:rsidRDefault="00E64A84" w:rsidP="00F157E2">
            <w:pPr>
              <w:bidi/>
              <w:spacing w:after="0"/>
              <w:jc w:val="center"/>
              <w:rPr>
                <w:rtl/>
              </w:rPr>
            </w:pPr>
            <w:r>
              <w:rPr>
                <w:rFonts w:hint="cs"/>
                <w:rtl/>
              </w:rPr>
              <w:t>חשוון</w:t>
            </w:r>
          </w:p>
        </w:tc>
        <w:tc>
          <w:tcPr>
            <w:tcW w:w="612" w:type="dxa"/>
            <w:shd w:val="clear" w:color="auto" w:fill="auto"/>
            <w:vAlign w:val="bottom"/>
          </w:tcPr>
          <w:p w:rsidR="0070657C" w:rsidRPr="001405C4" w:rsidRDefault="00E64A84" w:rsidP="00E64A84">
            <w:pPr>
              <w:spacing w:after="0"/>
              <w:jc w:val="right"/>
              <w:rPr>
                <w:rtl/>
              </w:rPr>
            </w:pPr>
            <w:r>
              <w:rPr>
                <w:rFonts w:hint="cs"/>
                <w:rtl/>
              </w:rPr>
              <w:t>תשע"ד</w:t>
            </w:r>
          </w:p>
        </w:tc>
      </w:tr>
      <w:tr w:rsidR="0070657C" w:rsidRPr="004336A6" w:rsidTr="0070657C">
        <w:trPr>
          <w:jc w:val="right"/>
        </w:trPr>
        <w:tc>
          <w:tcPr>
            <w:tcW w:w="316" w:type="dxa"/>
            <w:shd w:val="clear" w:color="auto" w:fill="auto"/>
            <w:vAlign w:val="bottom"/>
          </w:tcPr>
          <w:p w:rsidR="0070657C" w:rsidRPr="001405C4" w:rsidRDefault="00F157E2" w:rsidP="00F157E2">
            <w:pPr>
              <w:bidi/>
              <w:jc w:val="left"/>
              <w:rPr>
                <w:rtl/>
              </w:rPr>
            </w:pPr>
            <w:r>
              <w:rPr>
                <w:rFonts w:hint="cs"/>
                <w:rtl/>
              </w:rPr>
              <w:t>10</w:t>
            </w:r>
          </w:p>
        </w:tc>
        <w:tc>
          <w:tcPr>
            <w:tcW w:w="538" w:type="dxa"/>
            <w:shd w:val="clear" w:color="auto" w:fill="auto"/>
            <w:vAlign w:val="bottom"/>
          </w:tcPr>
          <w:p w:rsidR="0070657C" w:rsidRPr="001405C4" w:rsidRDefault="00E64A84" w:rsidP="00F157E2">
            <w:pPr>
              <w:bidi/>
              <w:jc w:val="center"/>
              <w:rPr>
                <w:rtl/>
              </w:rPr>
            </w:pPr>
            <w:r>
              <w:rPr>
                <w:rFonts w:hint="cs"/>
                <w:rtl/>
              </w:rPr>
              <w:t>אוקטובר</w:t>
            </w:r>
          </w:p>
        </w:tc>
        <w:tc>
          <w:tcPr>
            <w:tcW w:w="612" w:type="dxa"/>
            <w:shd w:val="clear" w:color="auto" w:fill="auto"/>
            <w:vAlign w:val="bottom"/>
          </w:tcPr>
          <w:p w:rsidR="0070657C" w:rsidRPr="001405C4" w:rsidRDefault="00E64A84" w:rsidP="00F157E2">
            <w:pPr>
              <w:bidi/>
              <w:jc w:val="right"/>
              <w:rPr>
                <w:rtl/>
              </w:rPr>
            </w:pPr>
            <w:r>
              <w:rPr>
                <w:rFonts w:hint="cs"/>
                <w:rtl/>
              </w:rPr>
              <w:t>2013</w:t>
            </w:r>
          </w:p>
        </w:tc>
      </w:tr>
      <w:tr w:rsidR="0070657C" w:rsidRPr="004336A6" w:rsidTr="0070657C">
        <w:trPr>
          <w:gridAfter w:val="1"/>
          <w:wAfter w:w="612" w:type="dxa"/>
          <w:jc w:val="right"/>
        </w:trPr>
        <w:tc>
          <w:tcPr>
            <w:tcW w:w="854" w:type="dxa"/>
            <w:gridSpan w:val="2"/>
            <w:shd w:val="clear" w:color="auto" w:fill="auto"/>
            <w:vAlign w:val="bottom"/>
          </w:tcPr>
          <w:p w:rsidR="0070657C" w:rsidRDefault="0070657C" w:rsidP="00F157E2">
            <w:pPr>
              <w:bidi/>
              <w:jc w:val="left"/>
              <w:rPr>
                <w:rtl/>
              </w:rPr>
            </w:pPr>
          </w:p>
        </w:tc>
      </w:tr>
    </w:tbl>
    <w:p w:rsidR="00E64A84" w:rsidRPr="00EF7756" w:rsidRDefault="000434E0" w:rsidP="00E64A84">
      <w:pPr>
        <w:bidi/>
        <w:spacing w:before="240"/>
        <w:jc w:val="center"/>
        <w:rPr>
          <w:b/>
          <w:bCs/>
          <w:u w:val="single"/>
          <w:rtl/>
        </w:rPr>
      </w:pPr>
      <w:r>
        <w:rPr>
          <w:rFonts w:hint="cs"/>
          <w:b/>
          <w:bCs/>
          <w:rtl/>
        </w:rPr>
        <w:t xml:space="preserve">הנדון: </w:t>
      </w:r>
      <w:r w:rsidR="00E64A84">
        <w:rPr>
          <w:rFonts w:hint="cs"/>
          <w:b/>
          <w:bCs/>
          <w:u w:val="single"/>
          <w:rtl/>
        </w:rPr>
        <w:t>תקופות החזקה במעצר של שוהים בלתי-חוקיים ומבקשי מקלט</w:t>
      </w:r>
      <w:r w:rsidR="000A15F4">
        <w:rPr>
          <w:rStyle w:val="af2"/>
          <w:b/>
          <w:bCs/>
          <w:u w:val="single"/>
          <w:rtl/>
        </w:rPr>
        <w:footnoteReference w:id="1"/>
      </w:r>
    </w:p>
    <w:p w:rsidR="00E64A84" w:rsidRDefault="00E64A84" w:rsidP="00E64A84">
      <w:pPr>
        <w:pStyle w:val="af"/>
        <w:numPr>
          <w:ilvl w:val="0"/>
          <w:numId w:val="11"/>
        </w:numPr>
        <w:bidi/>
        <w:spacing w:after="120"/>
        <w:ind w:left="425" w:hanging="357"/>
        <w:contextualSpacing w:val="0"/>
      </w:pPr>
      <w:r>
        <w:rPr>
          <w:rFonts w:hint="cs"/>
          <w:rtl/>
        </w:rPr>
        <w:t xml:space="preserve">במסגרת עבודת המטה שמתקיימת בימים אלה בעקבות מתן פסק הדין </w:t>
      </w:r>
      <w:proofErr w:type="spellStart"/>
      <w:r>
        <w:rPr>
          <w:rFonts w:hint="cs"/>
          <w:rtl/>
        </w:rPr>
        <w:t>בבג"צ</w:t>
      </w:r>
      <w:proofErr w:type="spellEnd"/>
      <w:r>
        <w:rPr>
          <w:rFonts w:hint="cs"/>
          <w:rtl/>
        </w:rPr>
        <w:t xml:space="preserve"> 7146/12, נתבקשנו להתייחס לפרקי הזמן המקסימאליים של מבקשי מקלט ומהגרים בלתי-חוקיים, הנהוגים במדינות נוספות. </w:t>
      </w:r>
      <w:proofErr w:type="spellStart"/>
      <w:r>
        <w:rPr>
          <w:rFonts w:hint="cs"/>
          <w:rtl/>
        </w:rPr>
        <w:t>במזכרנו</w:t>
      </w:r>
      <w:proofErr w:type="spellEnd"/>
      <w:r>
        <w:rPr>
          <w:rFonts w:hint="cs"/>
          <w:rtl/>
        </w:rPr>
        <w:t xml:space="preserve"> שעניינו "מעצר של מבקשי מקלט ושל שוהים בלתי-חוקיים </w:t>
      </w:r>
      <w:r>
        <w:rPr>
          <w:rtl/>
        </w:rPr>
        <w:t>–</w:t>
      </w:r>
      <w:r>
        <w:rPr>
          <w:rFonts w:hint="cs"/>
          <w:rtl/>
        </w:rPr>
        <w:t xml:space="preserve"> סקירת משפט משווה" מיום 27.05.2013, נסקרה בהרחבה הפרקטיקה של האיחוד האירופי וכן של אוסטרליה, קנדה, בריטניה וארה"ב בנושא זה. למען הנוחות, נבקש לחדד את עיקרי הדברים אשר נסקרו שם. כמו כן, להלן תיכלל גם התייחסות לפרקטיקה של מלטה, שוויץ, בלגיה, הולנד ודנמרק.</w:t>
      </w:r>
    </w:p>
    <w:p w:rsidR="00E64A84" w:rsidRDefault="00E64A84" w:rsidP="00E64A84">
      <w:pPr>
        <w:pStyle w:val="af"/>
        <w:numPr>
          <w:ilvl w:val="0"/>
          <w:numId w:val="11"/>
        </w:numPr>
        <w:bidi/>
        <w:spacing w:after="120"/>
        <w:ind w:left="425" w:hanging="357"/>
        <w:contextualSpacing w:val="0"/>
      </w:pPr>
      <w:r w:rsidRPr="00AE697C">
        <w:rPr>
          <w:rFonts w:hint="cs"/>
          <w:b/>
          <w:bCs/>
          <w:u w:val="single"/>
          <w:rtl/>
        </w:rPr>
        <w:t>האיחוד האירופי</w:t>
      </w:r>
      <w:r>
        <w:rPr>
          <w:rFonts w:hint="cs"/>
          <w:rtl/>
        </w:rPr>
        <w:t xml:space="preserve">: דירקטיבת האיחוד האירופי העוסקת במעצר עובר לבירור בקשת מקלט </w:t>
      </w:r>
      <w:r w:rsidRPr="00C72C31">
        <w:rPr>
          <w:rFonts w:hint="cs"/>
          <w:rtl/>
        </w:rPr>
        <w:t xml:space="preserve">(להלן: </w:t>
      </w:r>
      <w:r w:rsidRPr="00163909">
        <w:rPr>
          <w:rFonts w:hint="cs"/>
          <w:b/>
          <w:bCs/>
          <w:rtl/>
        </w:rPr>
        <w:t>דירקטיבת הקליטה</w:t>
      </w:r>
      <w:r>
        <w:rPr>
          <w:rFonts w:hint="cs"/>
          <w:rtl/>
        </w:rPr>
        <w:t>),</w:t>
      </w:r>
      <w:r>
        <w:rPr>
          <w:rStyle w:val="af2"/>
          <w:rtl/>
        </w:rPr>
        <w:footnoteReference w:id="2"/>
      </w:r>
      <w:r w:rsidRPr="00C72C31">
        <w:rPr>
          <w:rFonts w:hint="cs"/>
          <w:rtl/>
        </w:rPr>
        <w:t xml:space="preserve"> </w:t>
      </w:r>
      <w:r>
        <w:rPr>
          <w:rFonts w:hint="cs"/>
          <w:rtl/>
        </w:rPr>
        <w:t xml:space="preserve">וחלה על </w:t>
      </w:r>
      <w:r w:rsidRPr="00C72C31">
        <w:rPr>
          <w:rFonts w:hint="cs"/>
          <w:rtl/>
        </w:rPr>
        <w:t>כל מדינות האיחוד מלבד דנמרק, אירלנד ואנגליה</w:t>
      </w:r>
      <w:r>
        <w:rPr>
          <w:rFonts w:hint="cs"/>
          <w:rtl/>
        </w:rPr>
        <w:t xml:space="preserve">, </w:t>
      </w:r>
      <w:r w:rsidRPr="00163909">
        <w:rPr>
          <w:rFonts w:hint="cs"/>
          <w:rtl/>
        </w:rPr>
        <w:t>מחייבת בחינה פרטנית של כל מקרה ו</w:t>
      </w:r>
      <w:r>
        <w:rPr>
          <w:rFonts w:hint="cs"/>
          <w:rtl/>
        </w:rPr>
        <w:t>מ</w:t>
      </w:r>
      <w:r w:rsidRPr="00163909">
        <w:rPr>
          <w:rFonts w:hint="cs"/>
          <w:rtl/>
        </w:rPr>
        <w:t>ציינת כי</w:t>
      </w:r>
      <w:r w:rsidRPr="00163909">
        <w:rPr>
          <w:rFonts w:hint="cs"/>
          <w:b/>
          <w:bCs/>
          <w:rtl/>
        </w:rPr>
        <w:t xml:space="preserve"> </w:t>
      </w:r>
      <w:r w:rsidRPr="00AE697C">
        <w:rPr>
          <w:rFonts w:hint="cs"/>
          <w:u w:val="single"/>
          <w:rtl/>
        </w:rPr>
        <w:t>מעצר יהווה חלופה אחרונה, לאחר שנמצא שלא ניתן ליישם באפקטיביות אמצעי שמידת פגיעתו פחותה</w:t>
      </w:r>
      <w:r>
        <w:rPr>
          <w:rFonts w:hint="cs"/>
          <w:rtl/>
        </w:rPr>
        <w:t>.</w:t>
      </w:r>
      <w:r>
        <w:rPr>
          <w:rStyle w:val="af2"/>
        </w:rPr>
        <w:footnoteReference w:id="3"/>
      </w:r>
    </w:p>
    <w:p w:rsidR="00E64A84" w:rsidRDefault="00E64A84" w:rsidP="00E64A84">
      <w:pPr>
        <w:pStyle w:val="af"/>
        <w:numPr>
          <w:ilvl w:val="0"/>
          <w:numId w:val="11"/>
        </w:numPr>
        <w:bidi/>
        <w:spacing w:after="120"/>
        <w:ind w:left="425" w:hanging="357"/>
        <w:contextualSpacing w:val="0"/>
      </w:pPr>
      <w:r>
        <w:rPr>
          <w:rFonts w:hint="cs"/>
          <w:rtl/>
        </w:rPr>
        <w:t>הדירקטיבה מונה רשימה של טעמים להחזקת אדם במעצר. לענייננו רלוונטיים הסמכות להחזיק במעצר מבקש מקלט או הגנה, בין היתר, מקום שהדבר נדרש על-מנת לברר פרטים הקשורים לבקשתו או במהלך תהליך ההכרעה בבקשתו.</w:t>
      </w:r>
      <w:r>
        <w:rPr>
          <w:rStyle w:val="af2"/>
          <w:rtl/>
        </w:rPr>
        <w:footnoteReference w:id="4"/>
      </w:r>
      <w:r>
        <w:rPr>
          <w:rFonts w:hint="cs"/>
          <w:rtl/>
        </w:rPr>
        <w:t xml:space="preserve"> </w:t>
      </w:r>
      <w:r w:rsidRPr="00C72C31">
        <w:rPr>
          <w:rFonts w:hint="cs"/>
          <w:rtl/>
        </w:rPr>
        <w:t xml:space="preserve">בתגובה לשאלה האם ניתן ככלל להחזיק מבקשי מקלט במעצר עד להכרעה בבקשתם השיב פרופ' </w:t>
      </w:r>
      <w:proofErr w:type="spellStart"/>
      <w:r w:rsidRPr="00C72C31">
        <w:rPr>
          <w:rFonts w:hint="cs"/>
          <w:rtl/>
        </w:rPr>
        <w:t>היילברונר</w:t>
      </w:r>
      <w:proofErr w:type="spellEnd"/>
      <w:r w:rsidRPr="00C72C31">
        <w:rPr>
          <w:rFonts w:hint="cs"/>
          <w:rtl/>
        </w:rPr>
        <w:t xml:space="preserve"> כי על-אף שאמנת הפליטים אינה עוסקת בפרוצדורה, ניתן להסיק ממנה כי מרגע שמעלה אדם טענת פליטות לגיטימית, מוטלת על המדינה חובה לאפשר לו הזדמנות סבירה להציג את טענתו, וכי מעצר או סכנת מעצר במצב כזה ובהיעדר נסיבות מיוחדות עלול להיות קשה להצדקה. להערכתו, פרשנות סבירה של אמנת הפליטים הינה כי ניתן להחזיק מבקש מקלט במעצר על-מנת לוודא כי יהיה נגיש במהלך בירור בקשתו, בהנחה שהליך הבירור הינו קצר יחסית וכי נעשה מאמץ לברר את הבקשה במהירות. לעומת זאת, אם תהליך הבירור הינו ממושך, המעצר עלול להיות דומה יותר למאסר, ואז ניתן יהיה להשמיע טענה כי המדינה אינה מעניקה אפשרות כנה להגנה.</w:t>
      </w:r>
    </w:p>
    <w:p w:rsidR="00E64A84" w:rsidRDefault="003E4D6C" w:rsidP="00C83119">
      <w:pPr>
        <w:pStyle w:val="af"/>
        <w:numPr>
          <w:ilvl w:val="0"/>
          <w:numId w:val="11"/>
        </w:numPr>
        <w:bidi/>
        <w:spacing w:after="120"/>
        <w:ind w:left="425" w:hanging="357"/>
        <w:contextualSpacing w:val="0"/>
      </w:pPr>
      <w:r>
        <w:rPr>
          <w:rFonts w:hint="cs"/>
          <w:rtl/>
        </w:rPr>
        <w:t xml:space="preserve">לצד </w:t>
      </w:r>
      <w:r w:rsidR="005C3123">
        <w:rPr>
          <w:rFonts w:hint="cs"/>
          <w:rtl/>
        </w:rPr>
        <w:t xml:space="preserve">זאת, </w:t>
      </w:r>
      <w:r w:rsidR="00C84724">
        <w:rPr>
          <w:rFonts w:hint="cs"/>
          <w:rtl/>
        </w:rPr>
        <w:t xml:space="preserve">הזכיר פרופ' </w:t>
      </w:r>
      <w:proofErr w:type="spellStart"/>
      <w:r w:rsidR="00C84724">
        <w:rPr>
          <w:rFonts w:hint="cs"/>
          <w:rtl/>
        </w:rPr>
        <w:t>היילברונר</w:t>
      </w:r>
      <w:proofErr w:type="spellEnd"/>
      <w:r w:rsidR="00C84724">
        <w:rPr>
          <w:rFonts w:hint="cs"/>
          <w:rtl/>
        </w:rPr>
        <w:t xml:space="preserve"> גם את פסיקת </w:t>
      </w:r>
      <w:r w:rsidR="00E64A84">
        <w:rPr>
          <w:rFonts w:hint="cs"/>
          <w:rtl/>
        </w:rPr>
        <w:t xml:space="preserve">בית הדין האירופי לזכויות אדם </w:t>
      </w:r>
      <w:r w:rsidR="00E64A84" w:rsidRPr="00AE697C">
        <w:rPr>
          <w:rFonts w:hint="cs"/>
          <w:u w:val="single"/>
          <w:rtl/>
        </w:rPr>
        <w:t xml:space="preserve">בעניין </w:t>
      </w:r>
      <w:proofErr w:type="spellStart"/>
      <w:r w:rsidR="00E64A84" w:rsidRPr="00AE697C">
        <w:rPr>
          <w:i/>
          <w:iCs/>
          <w:u w:val="single"/>
        </w:rPr>
        <w:t>Saadi</w:t>
      </w:r>
      <w:proofErr w:type="spellEnd"/>
      <w:r w:rsidR="00C84724">
        <w:rPr>
          <w:rFonts w:hint="cs"/>
          <w:i/>
          <w:iCs/>
          <w:u w:val="single"/>
          <w:rtl/>
        </w:rPr>
        <w:t>.</w:t>
      </w:r>
      <w:r w:rsidR="00E64A84" w:rsidRPr="00AE697C">
        <w:rPr>
          <w:rStyle w:val="af2"/>
          <w:u w:val="single"/>
          <w:rtl/>
        </w:rPr>
        <w:footnoteReference w:id="5"/>
      </w:r>
      <w:r w:rsidR="00E64A84" w:rsidRPr="00AE697C">
        <w:rPr>
          <w:rFonts w:hint="cs"/>
          <w:u w:val="single"/>
          <w:rtl/>
        </w:rPr>
        <w:t xml:space="preserve"> </w:t>
      </w:r>
      <w:r w:rsidR="00C84724">
        <w:rPr>
          <w:rFonts w:hint="cs"/>
          <w:u w:val="single"/>
          <w:rtl/>
        </w:rPr>
        <w:t xml:space="preserve">שם נקבע </w:t>
      </w:r>
      <w:r w:rsidR="00E64A84" w:rsidRPr="00AE697C">
        <w:rPr>
          <w:rFonts w:hint="cs"/>
          <w:u w:val="single"/>
          <w:rtl/>
        </w:rPr>
        <w:t xml:space="preserve">כי סעיף 5 לאמנה האירופית לזכויות אדם, שעניינו </w:t>
      </w:r>
      <w:r w:rsidR="00E64A84">
        <w:rPr>
          <w:rFonts w:hint="cs"/>
          <w:u w:val="single"/>
          <w:rtl/>
        </w:rPr>
        <w:t>ה</w:t>
      </w:r>
      <w:r w:rsidR="00E64A84" w:rsidRPr="00AE697C">
        <w:rPr>
          <w:rFonts w:hint="cs"/>
          <w:u w:val="single"/>
          <w:rtl/>
        </w:rPr>
        <w:t>זכות לחירות, מאפשר החזקה במעצר עד לבירור זכאותו של אדם להיכנס למדינה, אף אם אותו אדם הגיש בקשת מקלט</w:t>
      </w:r>
      <w:r w:rsidR="005C3123">
        <w:rPr>
          <w:rFonts w:hint="cs"/>
          <w:u w:val="single"/>
          <w:rtl/>
        </w:rPr>
        <w:t xml:space="preserve">, וזאת גם ללא צורך להצביע על </w:t>
      </w:r>
      <w:r w:rsidR="00C83119">
        <w:rPr>
          <w:rFonts w:hint="cs"/>
          <w:u w:val="single"/>
          <w:rtl/>
        </w:rPr>
        <w:t>חיוניות ה</w:t>
      </w:r>
      <w:r w:rsidR="005C3123">
        <w:rPr>
          <w:rFonts w:hint="cs"/>
          <w:u w:val="single"/>
          <w:rtl/>
        </w:rPr>
        <w:t>מעצר</w:t>
      </w:r>
      <w:r w:rsidR="00E64A84" w:rsidRPr="00AE697C">
        <w:rPr>
          <w:rFonts w:hint="cs"/>
          <w:rtl/>
        </w:rPr>
        <w:t>.</w:t>
      </w:r>
      <w:r w:rsidR="00E64A84" w:rsidRPr="00C72C31">
        <w:rPr>
          <w:rFonts w:hint="cs"/>
          <w:rtl/>
        </w:rPr>
        <w:t xml:space="preserve"> על-מנת שהמעצר לא ייחשב לשרירותי, קבע בית הדין כי עליו להיות מבוצע בתום לב; להיות קשור למטרה של מניעת כניסה בלתי-חוקית למדינה; מקום ותנאי המעצר צריכים להיות יאים; יש לקחת בחשבון כי המעצר מוחל לעיתים על מי שנמלטו על חייהם ולא על מי שהורשעו בעבירה פלילית; </w:t>
      </w:r>
      <w:r w:rsidR="00E64A84" w:rsidRPr="00AE697C">
        <w:rPr>
          <w:rFonts w:hint="cs"/>
          <w:u w:val="single"/>
          <w:rtl/>
        </w:rPr>
        <w:t xml:space="preserve">ואורכו של המעצר אינו יכול לחרוג ממה שנדרש באופן סביר על-מנת </w:t>
      </w:r>
      <w:r w:rsidR="00E64A84" w:rsidRPr="00AE697C">
        <w:rPr>
          <w:rFonts w:hint="cs"/>
          <w:u w:val="single"/>
          <w:rtl/>
        </w:rPr>
        <w:lastRenderedPageBreak/>
        <w:t>להשיג את התוצאה המבוקשת</w:t>
      </w:r>
      <w:r w:rsidR="00E64A84" w:rsidRPr="00C72C31">
        <w:rPr>
          <w:rFonts w:hint="cs"/>
          <w:rtl/>
        </w:rPr>
        <w:t>.</w:t>
      </w:r>
      <w:r w:rsidR="00E64A84" w:rsidRPr="00C72C31">
        <w:rPr>
          <w:rStyle w:val="af2"/>
          <w:rtl/>
        </w:rPr>
        <w:footnoteReference w:id="6"/>
      </w:r>
      <w:r w:rsidR="00E64A84" w:rsidRPr="00C72C31">
        <w:rPr>
          <w:rFonts w:hint="cs"/>
          <w:rtl/>
        </w:rPr>
        <w:t xml:space="preserve"> במקרה דנן, קבע בית הדין כי לאור הקריטריונים הללו, המעצר לא היה שרירותי. יודגש, כי באותו מקרה </w:t>
      </w:r>
      <w:r w:rsidR="00E64A84">
        <w:rPr>
          <w:rFonts w:hint="cs"/>
          <w:rtl/>
        </w:rPr>
        <w:t xml:space="preserve">שעסק במדיניותה של בריטניה, </w:t>
      </w:r>
      <w:r w:rsidR="00E64A84" w:rsidRPr="00C72C31">
        <w:rPr>
          <w:rFonts w:hint="cs"/>
          <w:rtl/>
        </w:rPr>
        <w:t xml:space="preserve">מדובר היה במעצר ראשוני של פרק זמן קצר של עד </w:t>
      </w:r>
      <w:r w:rsidR="00E64A84" w:rsidRPr="00280A01">
        <w:rPr>
          <w:rFonts w:hint="cs"/>
          <w:b/>
          <w:bCs/>
          <w:rtl/>
        </w:rPr>
        <w:t>7 ימים</w:t>
      </w:r>
      <w:r w:rsidR="00E64A84">
        <w:rPr>
          <w:rFonts w:hint="cs"/>
          <w:rtl/>
        </w:rPr>
        <w:t>.</w:t>
      </w:r>
    </w:p>
    <w:p w:rsidR="00E64A84" w:rsidRDefault="00E64A84" w:rsidP="00E64A84">
      <w:pPr>
        <w:pStyle w:val="af"/>
        <w:numPr>
          <w:ilvl w:val="0"/>
          <w:numId w:val="11"/>
        </w:numPr>
        <w:bidi/>
        <w:spacing w:after="120"/>
        <w:ind w:left="425" w:hanging="357"/>
        <w:contextualSpacing w:val="0"/>
      </w:pPr>
      <w:r>
        <w:rPr>
          <w:rFonts w:hint="cs"/>
          <w:rtl/>
        </w:rPr>
        <w:t xml:space="preserve">מקום שנדחתה בקשת המקלט/ההגנה של אדם, קובעת </w:t>
      </w:r>
      <w:r w:rsidRPr="00C72C31">
        <w:rPr>
          <w:rFonts w:hint="cs"/>
          <w:rtl/>
        </w:rPr>
        <w:t xml:space="preserve">דירקטיבה של האיחוד בעניין החזרתם של שוהים בלתי-חוקיים (להלן: </w:t>
      </w:r>
      <w:r w:rsidRPr="00C72C31">
        <w:rPr>
          <w:rFonts w:hint="cs"/>
          <w:b/>
          <w:bCs/>
          <w:rtl/>
        </w:rPr>
        <w:t>דירקטיבת ההחזרה</w:t>
      </w:r>
      <w:r w:rsidRPr="00C72C31">
        <w:rPr>
          <w:rFonts w:hint="cs"/>
          <w:rtl/>
        </w:rPr>
        <w:t>),</w:t>
      </w:r>
      <w:r w:rsidRPr="00C72C31">
        <w:rPr>
          <w:rStyle w:val="af2"/>
          <w:rtl/>
        </w:rPr>
        <w:footnoteReference w:id="7"/>
      </w:r>
      <w:r>
        <w:rPr>
          <w:rFonts w:hint="cs"/>
          <w:rtl/>
        </w:rPr>
        <w:t xml:space="preserve"> כי ניתן </w:t>
      </w:r>
      <w:r w:rsidRPr="00C72C31">
        <w:rPr>
          <w:rFonts w:hint="cs"/>
          <w:rtl/>
        </w:rPr>
        <w:t xml:space="preserve">להחזיק במשמורת </w:t>
      </w:r>
      <w:r w:rsidRPr="00AE697C">
        <w:rPr>
          <w:rFonts w:hint="cs"/>
          <w:u w:val="single"/>
          <w:rtl/>
        </w:rPr>
        <w:t>רק מקום שאמצעים פחותים אינם אפקטיביים ורק על-מנת לשרת או להוציא לפועל את הגירוש</w:t>
      </w:r>
      <w:r w:rsidRPr="00C72C31">
        <w:rPr>
          <w:rFonts w:hint="cs"/>
          <w:rtl/>
        </w:rPr>
        <w:t>.</w:t>
      </w:r>
      <w:r>
        <w:rPr>
          <w:rFonts w:hint="cs"/>
          <w:rtl/>
        </w:rPr>
        <w:t xml:space="preserve"> </w:t>
      </w:r>
      <w:r w:rsidRPr="00C72C31">
        <w:rPr>
          <w:rFonts w:hint="cs"/>
          <w:rtl/>
        </w:rPr>
        <w:t>תקופת המ</w:t>
      </w:r>
      <w:r>
        <w:rPr>
          <w:rFonts w:hint="cs"/>
          <w:rtl/>
        </w:rPr>
        <w:t xml:space="preserve">עצר לא תעלה על </w:t>
      </w:r>
      <w:r w:rsidRPr="0098271F">
        <w:rPr>
          <w:rFonts w:hint="cs"/>
          <w:b/>
          <w:bCs/>
          <w:rtl/>
        </w:rPr>
        <w:t>שישה חודשים</w:t>
      </w:r>
      <w:r>
        <w:rPr>
          <w:rFonts w:hint="cs"/>
          <w:rtl/>
        </w:rPr>
        <w:t>, ו</w:t>
      </w:r>
      <w:r w:rsidRPr="00C72C31">
        <w:rPr>
          <w:rFonts w:hint="cs"/>
          <w:rtl/>
        </w:rPr>
        <w:t xml:space="preserve">המדינות רשאיות להאריך תקופה זו </w:t>
      </w:r>
      <w:r w:rsidRPr="0098271F">
        <w:rPr>
          <w:rFonts w:hint="cs"/>
          <w:b/>
          <w:bCs/>
          <w:rtl/>
        </w:rPr>
        <w:t>בשנה נוספת</w:t>
      </w:r>
      <w:r w:rsidRPr="00C72C31">
        <w:rPr>
          <w:rFonts w:hint="cs"/>
          <w:rtl/>
        </w:rPr>
        <w:t xml:space="preserve"> מקום שהעצור אינו משתף פעולה או שישנם עיכובים בקבלת מסמכי הנסיעה ממדינות שלישיות. </w:t>
      </w:r>
      <w:r>
        <w:rPr>
          <w:rFonts w:hint="cs"/>
          <w:u w:val="single"/>
          <w:rtl/>
        </w:rPr>
        <w:t xml:space="preserve">פרקי זמן אלו כפופים לקיומה של </w:t>
      </w:r>
      <w:r w:rsidRPr="00AE697C">
        <w:rPr>
          <w:rFonts w:hint="cs"/>
          <w:u w:val="single"/>
          <w:rtl/>
        </w:rPr>
        <w:t>אפשרות סבירה לגירוש</w:t>
      </w:r>
      <w:r>
        <w:rPr>
          <w:rFonts w:hint="cs"/>
          <w:u w:val="single"/>
          <w:rtl/>
        </w:rPr>
        <w:t>. בהעדרה</w:t>
      </w:r>
      <w:r w:rsidRPr="00AE697C">
        <w:rPr>
          <w:rFonts w:hint="cs"/>
          <w:u w:val="single"/>
          <w:rtl/>
        </w:rPr>
        <w:t>, יש לשחרר את העצור ללא דיחוי</w:t>
      </w:r>
      <w:r>
        <w:rPr>
          <w:rFonts w:hint="cs"/>
          <w:u w:val="single"/>
          <w:rtl/>
        </w:rPr>
        <w:t xml:space="preserve"> אף טרם סיום תקופות המעצר המותרות</w:t>
      </w:r>
      <w:r w:rsidRPr="00C72C31">
        <w:rPr>
          <w:rFonts w:hint="cs"/>
          <w:rtl/>
        </w:rPr>
        <w:t>.</w:t>
      </w:r>
      <w:r>
        <w:rPr>
          <w:rFonts w:hint="cs"/>
          <w:rtl/>
        </w:rPr>
        <w:t xml:space="preserve"> </w:t>
      </w:r>
    </w:p>
    <w:p w:rsidR="00E64A84" w:rsidRPr="00C900E3" w:rsidRDefault="00E64A84" w:rsidP="00E64A84">
      <w:pPr>
        <w:pStyle w:val="af"/>
        <w:numPr>
          <w:ilvl w:val="0"/>
          <w:numId w:val="11"/>
        </w:numPr>
        <w:bidi/>
        <w:spacing w:after="120"/>
        <w:ind w:left="425" w:hanging="357"/>
        <w:contextualSpacing w:val="0"/>
      </w:pPr>
      <w:r>
        <w:rPr>
          <w:rFonts w:hint="cs"/>
          <w:rtl/>
        </w:rPr>
        <w:t xml:space="preserve">בפסיקת בית הדין האירופי לזכויות אדם נקבע </w:t>
      </w:r>
      <w:r w:rsidRPr="00AE697C">
        <w:rPr>
          <w:rFonts w:hint="cs"/>
          <w:u w:val="single"/>
          <w:rtl/>
        </w:rPr>
        <w:t xml:space="preserve">בעניין </w:t>
      </w:r>
      <w:proofErr w:type="spellStart"/>
      <w:r w:rsidRPr="00AE697C">
        <w:rPr>
          <w:i/>
          <w:iCs/>
          <w:u w:val="single"/>
        </w:rPr>
        <w:t>Chahal</w:t>
      </w:r>
      <w:proofErr w:type="spellEnd"/>
      <w:r w:rsidRPr="00AE697C">
        <w:rPr>
          <w:rFonts w:hint="cs"/>
          <w:u w:val="single"/>
          <w:rtl/>
        </w:rPr>
        <w:t xml:space="preserve"> כי המעצר אינו חייב להיות חיוני (</w:t>
      </w:r>
      <w:r w:rsidRPr="00AE697C">
        <w:rPr>
          <w:u w:val="single"/>
        </w:rPr>
        <w:t>"necessary"</w:t>
      </w:r>
      <w:r w:rsidRPr="00AE697C">
        <w:rPr>
          <w:rFonts w:hint="cs"/>
          <w:u w:val="single"/>
          <w:rtl/>
        </w:rPr>
        <w:t>), וכי כל שנדרש הוא כי הליכי הגירוש אכן מתקיימים</w:t>
      </w:r>
      <w:r w:rsidRPr="006E2ED3">
        <w:rPr>
          <w:rFonts w:hint="cs"/>
          <w:rtl/>
        </w:rPr>
        <w:t>.</w:t>
      </w:r>
      <w:r>
        <w:rPr>
          <w:rFonts w:hint="cs"/>
          <w:rtl/>
        </w:rPr>
        <w:t xml:space="preserve"> זהו לכאורה רף נמוך יותר מהדירקטיבה, שאינו דורש</w:t>
      </w:r>
      <w:r w:rsidRPr="00C72C31">
        <w:rPr>
          <w:rFonts w:hint="cs"/>
          <w:rtl/>
        </w:rPr>
        <w:t xml:space="preserve"> עילת מעצר ספציפית מלבד היותו של המעצר לצורכי גירוש. עם זאת, נדרש כי יתקיימו הליכי גירוש במסירות ובמהירות. מקום שלא כך הדבר, המעצר עלול להיחשב לבלתי-סביר או לבלתי-מידתי.</w:t>
      </w:r>
      <w:r>
        <w:rPr>
          <w:rFonts w:hint="cs"/>
          <w:rtl/>
        </w:rPr>
        <w:t xml:space="preserve"> כמו כן, יש לקחת בחשבון כי פסק הדין ניתן בשנת 1996.</w:t>
      </w:r>
    </w:p>
    <w:p w:rsidR="00E64A84" w:rsidRPr="00C80033" w:rsidRDefault="00E64A84" w:rsidP="00EA4EB5">
      <w:pPr>
        <w:pStyle w:val="af"/>
        <w:numPr>
          <w:ilvl w:val="0"/>
          <w:numId w:val="11"/>
        </w:numPr>
        <w:bidi/>
        <w:spacing w:after="120"/>
        <w:ind w:left="425" w:hanging="357"/>
        <w:contextualSpacing w:val="0"/>
      </w:pPr>
      <w:r>
        <w:rPr>
          <w:rtl/>
        </w:rPr>
        <w:t>כל המדינות הרלוונטיות דיווחו לאיחוד האירופי על הטמע</w:t>
      </w:r>
      <w:r>
        <w:rPr>
          <w:rFonts w:hint="cs"/>
          <w:rtl/>
        </w:rPr>
        <w:t>ת</w:t>
      </w:r>
      <w:r>
        <w:rPr>
          <w:rtl/>
        </w:rPr>
        <w:t>ה של הדירקטיבה,</w:t>
      </w:r>
      <w:r>
        <w:rPr>
          <w:rStyle w:val="af2"/>
          <w:rtl/>
        </w:rPr>
        <w:footnoteReference w:id="8"/>
      </w:r>
      <w:r>
        <w:rPr>
          <w:rtl/>
        </w:rPr>
        <w:t xml:space="preserve"> אם כי עדיין ייתכן שתהיינה מחלוקות בין האיחוד לבין מדינה </w:t>
      </w:r>
      <w:r>
        <w:rPr>
          <w:rFonts w:hint="cs"/>
          <w:rtl/>
        </w:rPr>
        <w:t>מסוימת</w:t>
      </w:r>
      <w:r>
        <w:rPr>
          <w:rtl/>
        </w:rPr>
        <w:t xml:space="preserve"> האם ההטמעה נעשתה כראוי</w:t>
      </w:r>
      <w:r w:rsidR="0098271F">
        <w:rPr>
          <w:rFonts w:hint="cs"/>
          <w:rtl/>
        </w:rPr>
        <w:t xml:space="preserve"> (ראו </w:t>
      </w:r>
      <w:r w:rsidR="00EA4EB5">
        <w:rPr>
          <w:rFonts w:hint="cs"/>
          <w:rtl/>
        </w:rPr>
        <w:t xml:space="preserve">בהקשר זה את </w:t>
      </w:r>
      <w:r w:rsidR="0098271F">
        <w:rPr>
          <w:rFonts w:hint="cs"/>
          <w:rtl/>
        </w:rPr>
        <w:t xml:space="preserve">ההתייחסות למלטה </w:t>
      </w:r>
      <w:r w:rsidR="00280A01">
        <w:rPr>
          <w:rFonts w:hint="cs"/>
          <w:rtl/>
        </w:rPr>
        <w:t>בהמשך</w:t>
      </w:r>
      <w:r w:rsidR="0098271F">
        <w:rPr>
          <w:rFonts w:hint="cs"/>
          <w:rtl/>
        </w:rPr>
        <w:t>)</w:t>
      </w:r>
      <w:r>
        <w:rPr>
          <w:rFonts w:hint="cs"/>
          <w:rtl/>
        </w:rPr>
        <w:t xml:space="preserve">. יצוין, כי משחלף </w:t>
      </w:r>
      <w:r>
        <w:rPr>
          <w:rtl/>
        </w:rPr>
        <w:t>המועד להטמעת הדירקטיבה ע"י המדינות</w:t>
      </w:r>
      <w:r>
        <w:rPr>
          <w:rFonts w:hint="cs"/>
          <w:rtl/>
        </w:rPr>
        <w:t xml:space="preserve"> </w:t>
      </w:r>
      <w:r w:rsidR="00415737">
        <w:rPr>
          <w:rFonts w:hint="cs"/>
          <w:rtl/>
        </w:rPr>
        <w:t xml:space="preserve">בדצמבר </w:t>
      </w:r>
      <w:r>
        <w:rPr>
          <w:rFonts w:hint="cs"/>
          <w:rtl/>
        </w:rPr>
        <w:t>2010</w:t>
      </w:r>
      <w:r>
        <w:rPr>
          <w:rtl/>
        </w:rPr>
        <w:t xml:space="preserve">, לסעיפי הדירקטיבה הקובעים הוראות ברורות ישנה תחולה ישירה במדינות, ובעלי עניין יכולים לנקוט בהליכים בהתבסס ישירות על הוראות הדירקטיבה, גם ללא צורך בחקיקה פנימית. </w:t>
      </w:r>
    </w:p>
    <w:p w:rsidR="00E64A84" w:rsidRDefault="00E64A84" w:rsidP="00E64A84">
      <w:pPr>
        <w:pStyle w:val="af"/>
        <w:numPr>
          <w:ilvl w:val="0"/>
          <w:numId w:val="11"/>
        </w:numPr>
        <w:bidi/>
        <w:spacing w:after="120"/>
        <w:ind w:left="425" w:hanging="357"/>
        <w:contextualSpacing w:val="0"/>
      </w:pPr>
      <w:r w:rsidRPr="00AE697C">
        <w:rPr>
          <w:rFonts w:hint="cs"/>
          <w:b/>
          <w:bCs/>
          <w:u w:val="single"/>
          <w:rtl/>
        </w:rPr>
        <w:t>אוסטרליה</w:t>
      </w:r>
      <w:r w:rsidRPr="0089276D">
        <w:rPr>
          <w:rFonts w:hint="cs"/>
          <w:rtl/>
        </w:rPr>
        <w:t>:</w:t>
      </w:r>
      <w:r>
        <w:rPr>
          <w:rFonts w:hint="cs"/>
          <w:b/>
          <w:bCs/>
          <w:rtl/>
        </w:rPr>
        <w:t xml:space="preserve"> </w:t>
      </w:r>
      <w:r w:rsidRPr="0089276D">
        <w:rPr>
          <w:rFonts w:hint="cs"/>
          <w:rtl/>
        </w:rPr>
        <w:t>באוסטרליה</w:t>
      </w:r>
      <w:r>
        <w:rPr>
          <w:rFonts w:hint="cs"/>
          <w:rtl/>
        </w:rPr>
        <w:t xml:space="preserve"> </w:t>
      </w:r>
      <w:r w:rsidRPr="0098271F">
        <w:rPr>
          <w:rFonts w:hint="cs"/>
          <w:b/>
          <w:bCs/>
          <w:rtl/>
        </w:rPr>
        <w:t>לא קיימת מגבלה פורמאלית על משך הזמן</w:t>
      </w:r>
      <w:r w:rsidRPr="008B467C">
        <w:rPr>
          <w:rFonts w:hint="cs"/>
          <w:b/>
          <w:bCs/>
          <w:rtl/>
        </w:rPr>
        <w:t xml:space="preserve"> </w:t>
      </w:r>
      <w:r>
        <w:rPr>
          <w:rFonts w:hint="cs"/>
          <w:rtl/>
        </w:rPr>
        <w:t xml:space="preserve">בו ניתן להחזיק שוהה בלתי-חוקי במעצר טרם הרחקתו מהמדינה, אפילו מקום שלא קיימת אפשרות ממשית לגרשו. עם זאת, בהצהרות של גורמי ממשל נאמר כי יעשו מאמצים להגביל את השימוש בסמכות המעצר </w:t>
      </w:r>
      <w:r w:rsidRPr="00C72C31">
        <w:rPr>
          <w:rFonts w:hint="cs"/>
          <w:rtl/>
        </w:rPr>
        <w:t>ולהשתמש במעצר כאמצעי אחרון לתקופה קצרה ככל הניתן</w:t>
      </w:r>
      <w:r>
        <w:rPr>
          <w:rFonts w:hint="cs"/>
          <w:rtl/>
        </w:rPr>
        <w:t>.</w:t>
      </w:r>
    </w:p>
    <w:p w:rsidR="00E64A84" w:rsidRDefault="00E64A84" w:rsidP="00E64A84">
      <w:pPr>
        <w:pStyle w:val="af"/>
        <w:numPr>
          <w:ilvl w:val="0"/>
          <w:numId w:val="11"/>
        </w:numPr>
        <w:bidi/>
        <w:spacing w:after="120"/>
        <w:ind w:left="425" w:hanging="357"/>
        <w:contextualSpacing w:val="0"/>
      </w:pPr>
      <w:r w:rsidRPr="00C72C31">
        <w:rPr>
          <w:rFonts w:hint="cs"/>
          <w:rtl/>
        </w:rPr>
        <w:t xml:space="preserve">הנתונים העדכניים ביותר שפורסמו על-ידי ממשלת אוסטרליה בעניין משך תקופות המעצר מלמדים כי מבין 7,952 האנשים שהוחזקו במעצר נכון לפברואר 2013 </w:t>
      </w:r>
      <w:r w:rsidRPr="00C72C31">
        <w:rPr>
          <w:rtl/>
        </w:rPr>
        <w:t>–</w:t>
      </w:r>
      <w:r w:rsidRPr="00C72C31">
        <w:rPr>
          <w:rFonts w:hint="cs"/>
          <w:rtl/>
        </w:rPr>
        <w:t xml:space="preserve"> </w:t>
      </w:r>
      <w:r w:rsidRPr="008B467C">
        <w:rPr>
          <w:rFonts w:hint="cs"/>
          <w:i/>
          <w:iCs/>
          <w:rtl/>
        </w:rPr>
        <w:t>לרבות</w:t>
      </w:r>
      <w:r w:rsidRPr="00C72C31">
        <w:rPr>
          <w:rFonts w:hint="cs"/>
          <w:rtl/>
        </w:rPr>
        <w:t xml:space="preserve"> מעצר בקהילה (2,202) </w:t>
      </w:r>
      <w:r w:rsidRPr="00C72C31">
        <w:rPr>
          <w:rtl/>
        </w:rPr>
        <w:t>–</w:t>
      </w:r>
      <w:r w:rsidRPr="00C72C31">
        <w:rPr>
          <w:rFonts w:hint="cs"/>
          <w:rtl/>
        </w:rPr>
        <w:t xml:space="preserve"> 30% מהם נמצאים במעצר שלושה חודשים או פחות ו-89% נמצאים במעצר 12 חודשים או פחות. יצוין, כ</w:t>
      </w:r>
      <w:r>
        <w:rPr>
          <w:rFonts w:hint="cs"/>
          <w:rtl/>
        </w:rPr>
        <w:t>י 7% נמצאים במעצר למעלה משנתיים.</w:t>
      </w:r>
      <w:r w:rsidRPr="00C72C31">
        <w:rPr>
          <w:rStyle w:val="af2"/>
          <w:rtl/>
        </w:rPr>
        <w:footnoteReference w:id="9"/>
      </w:r>
      <w:r w:rsidRPr="00C72C31">
        <w:rPr>
          <w:rFonts w:hint="cs"/>
          <w:rtl/>
        </w:rPr>
        <w:t xml:space="preserve"> </w:t>
      </w:r>
      <w:r>
        <w:rPr>
          <w:rFonts w:hint="cs"/>
          <w:rtl/>
        </w:rPr>
        <w:t>משך המעצר הממוצע ירד מ-277 יום בשלהי שנת 2011 ל-141 יום בראשית 2013, אולם</w:t>
      </w:r>
      <w:r w:rsidRPr="00C72C31">
        <w:rPr>
          <w:rFonts w:hint="cs"/>
          <w:rtl/>
        </w:rPr>
        <w:t xml:space="preserve"> כאמור, </w:t>
      </w:r>
      <w:r w:rsidRPr="00AE697C">
        <w:rPr>
          <w:rFonts w:hint="cs"/>
          <w:u w:val="single"/>
          <w:rtl/>
        </w:rPr>
        <w:t>נתונים אלו אינם מבחינים בין מעצר סגור לבין מעצר פתוח בקהילה</w:t>
      </w:r>
      <w:r w:rsidRPr="00C72C31">
        <w:rPr>
          <w:rFonts w:hint="cs"/>
          <w:rtl/>
        </w:rPr>
        <w:t>.</w:t>
      </w:r>
    </w:p>
    <w:p w:rsidR="00E64A84" w:rsidRPr="00C22C8A" w:rsidRDefault="00E64A84" w:rsidP="00E64A84">
      <w:pPr>
        <w:pStyle w:val="af"/>
        <w:numPr>
          <w:ilvl w:val="0"/>
          <w:numId w:val="11"/>
        </w:numPr>
        <w:bidi/>
        <w:spacing w:after="120"/>
        <w:ind w:left="425" w:hanging="357"/>
        <w:contextualSpacing w:val="0"/>
      </w:pPr>
      <w:r w:rsidRPr="00AE697C">
        <w:rPr>
          <w:rFonts w:hint="cs"/>
          <w:b/>
          <w:bCs/>
          <w:u w:val="single"/>
          <w:rtl/>
        </w:rPr>
        <w:t>קנדה</w:t>
      </w:r>
      <w:r w:rsidRPr="00C22C8A">
        <w:rPr>
          <w:rFonts w:hint="cs"/>
          <w:rtl/>
        </w:rPr>
        <w:t>: בעקבות חקיקה חדשה משנת 2012, ניתן בנסיבות מסוימות לעצור אדם</w:t>
      </w:r>
      <w:r w:rsidR="00EA4EB5">
        <w:rPr>
          <w:rFonts w:hint="cs"/>
          <w:rtl/>
        </w:rPr>
        <w:t xml:space="preserve"> אשר הגיע בקבוצה</w:t>
      </w:r>
      <w:r w:rsidRPr="00C22C8A">
        <w:rPr>
          <w:rFonts w:hint="cs"/>
          <w:rtl/>
        </w:rPr>
        <w:t xml:space="preserve"> עד לבירור בקשתו</w:t>
      </w:r>
      <w:r w:rsidR="00EA4EB5">
        <w:rPr>
          <w:rFonts w:hint="cs"/>
          <w:rtl/>
        </w:rPr>
        <w:t>,</w:t>
      </w:r>
      <w:r w:rsidRPr="00C22C8A">
        <w:rPr>
          <w:rFonts w:hint="cs"/>
          <w:rtl/>
        </w:rPr>
        <w:t xml:space="preserve"> כאשר </w:t>
      </w:r>
      <w:r w:rsidRPr="002611A9">
        <w:rPr>
          <w:rFonts w:hint="cs"/>
          <w:b/>
          <w:bCs/>
          <w:rtl/>
        </w:rPr>
        <w:t>ביקורת שיפוטית ראשונה תיערך תוך 14 יום וביקורות נוספות תיערכנה לאחר ששה חודשים ולא קודם לכן</w:t>
      </w:r>
      <w:r w:rsidRPr="00C22C8A">
        <w:rPr>
          <w:rFonts w:hint="cs"/>
          <w:rtl/>
        </w:rPr>
        <w:t xml:space="preserve">, מקום שמדובר באנשים מעל גיל 16. מכך משתמע כי תקופות המעצר עשויות להיות ממושכות. </w:t>
      </w:r>
      <w:r w:rsidRPr="002611A9">
        <w:rPr>
          <w:rFonts w:hint="cs"/>
          <w:u w:val="single"/>
          <w:rtl/>
        </w:rPr>
        <w:t>אולם נדרשת עילת מעצר ספציפית</w:t>
      </w:r>
      <w:r w:rsidRPr="00C22C8A">
        <w:rPr>
          <w:rFonts w:hint="cs"/>
          <w:rtl/>
        </w:rPr>
        <w:t xml:space="preserve"> והיא: סכנה לציבור, סכנת הימלטות, העדר מידע מספק לביסוס זהות המבקש, או חשד לעבירות ביטחון חמורות, פשע מאורגן או הפרת זכויות אדם.</w:t>
      </w:r>
    </w:p>
    <w:p w:rsidR="00E64A84" w:rsidRPr="00C72C31" w:rsidRDefault="00E64A84" w:rsidP="00E64A84">
      <w:pPr>
        <w:pStyle w:val="af"/>
        <w:numPr>
          <w:ilvl w:val="0"/>
          <w:numId w:val="11"/>
        </w:numPr>
        <w:bidi/>
        <w:spacing w:after="120"/>
        <w:ind w:left="425" w:hanging="357"/>
        <w:contextualSpacing w:val="0"/>
      </w:pPr>
      <w:r w:rsidRPr="00401EF6">
        <w:rPr>
          <w:rFonts w:hint="cs"/>
          <w:rtl/>
        </w:rPr>
        <w:lastRenderedPageBreak/>
        <w:t>ישנם מקרים של החזקה במעצר לפרקי זמן ארוכים</w:t>
      </w:r>
      <w:r>
        <w:rPr>
          <w:rFonts w:hint="cs"/>
          <w:rtl/>
        </w:rPr>
        <w:t xml:space="preserve">, אולם מדובר במקרים בהם קיימת עילת מעצר פרטנית, כגון: חשש מהימלטות או מסוכנות לציבור. בפרט, נמצא פסק דין שבו הוחזק במעצר אדם שהורשע בעבר בפלילים פעמים רבות במעצר במשך 28 חודשים היות שקנדה </w:t>
      </w:r>
      <w:r w:rsidRPr="00C72C31">
        <w:rPr>
          <w:rFonts w:hint="cs"/>
          <w:rtl/>
        </w:rPr>
        <w:t>התקשתה למצוא מדינה אליה ניתן לבצע את הגירוש</w:t>
      </w:r>
      <w:r>
        <w:rPr>
          <w:rFonts w:hint="cs"/>
          <w:rtl/>
        </w:rPr>
        <w:t xml:space="preserve">. </w:t>
      </w:r>
      <w:r w:rsidRPr="00C72C31">
        <w:rPr>
          <w:rFonts w:hint="cs"/>
          <w:rtl/>
        </w:rPr>
        <w:t>ביהמ</w:t>
      </w:r>
      <w:r w:rsidRPr="00C72C31">
        <w:rPr>
          <w:rtl/>
        </w:rPr>
        <w:t>"</w:t>
      </w:r>
      <w:r w:rsidRPr="00C72C31">
        <w:rPr>
          <w:rFonts w:hint="cs"/>
          <w:rtl/>
        </w:rPr>
        <w:t>ש</w:t>
      </w:r>
      <w:r w:rsidRPr="00C72C31">
        <w:rPr>
          <w:rtl/>
        </w:rPr>
        <w:t xml:space="preserve"> </w:t>
      </w:r>
      <w:r w:rsidRPr="00C72C31">
        <w:rPr>
          <w:rFonts w:hint="cs"/>
          <w:rtl/>
        </w:rPr>
        <w:t>פסק</w:t>
      </w:r>
      <w:r w:rsidRPr="00C72C31">
        <w:rPr>
          <w:rtl/>
        </w:rPr>
        <w:t xml:space="preserve"> </w:t>
      </w:r>
      <w:r w:rsidRPr="00C72C31">
        <w:rPr>
          <w:rFonts w:hint="cs"/>
          <w:rtl/>
        </w:rPr>
        <w:t>על</w:t>
      </w:r>
      <w:r w:rsidRPr="00C72C31">
        <w:rPr>
          <w:rtl/>
        </w:rPr>
        <w:t xml:space="preserve"> </w:t>
      </w:r>
      <w:r w:rsidRPr="00C72C31">
        <w:rPr>
          <w:rFonts w:hint="cs"/>
          <w:rtl/>
        </w:rPr>
        <w:t>סמך</w:t>
      </w:r>
      <w:r w:rsidRPr="00C72C31">
        <w:rPr>
          <w:rtl/>
        </w:rPr>
        <w:t xml:space="preserve"> </w:t>
      </w:r>
      <w:r w:rsidRPr="00C72C31">
        <w:rPr>
          <w:rFonts w:hint="cs"/>
          <w:rtl/>
        </w:rPr>
        <w:t>מסוכנותו</w:t>
      </w:r>
      <w:r w:rsidRPr="00C72C31">
        <w:rPr>
          <w:rtl/>
        </w:rPr>
        <w:t xml:space="preserve"> </w:t>
      </w:r>
      <w:r w:rsidRPr="00C72C31">
        <w:rPr>
          <w:rFonts w:hint="cs"/>
          <w:rtl/>
        </w:rPr>
        <w:t>לציבור</w:t>
      </w:r>
      <w:r w:rsidRPr="00C72C31">
        <w:rPr>
          <w:rtl/>
        </w:rPr>
        <w:t xml:space="preserve">, </w:t>
      </w:r>
      <w:r w:rsidRPr="00C72C31">
        <w:rPr>
          <w:rFonts w:hint="cs"/>
          <w:rtl/>
        </w:rPr>
        <w:t>שהארכת</w:t>
      </w:r>
      <w:r w:rsidRPr="00C72C31">
        <w:rPr>
          <w:rtl/>
        </w:rPr>
        <w:t xml:space="preserve"> </w:t>
      </w:r>
      <w:r w:rsidRPr="00C72C31">
        <w:rPr>
          <w:rFonts w:hint="cs"/>
          <w:rtl/>
        </w:rPr>
        <w:t>מעצרו</w:t>
      </w:r>
      <w:r w:rsidRPr="00C72C31">
        <w:rPr>
          <w:rtl/>
        </w:rPr>
        <w:t xml:space="preserve"> </w:t>
      </w:r>
      <w:r w:rsidRPr="00C72C31">
        <w:rPr>
          <w:rFonts w:hint="cs"/>
          <w:rtl/>
        </w:rPr>
        <w:t>מתקבלת</w:t>
      </w:r>
      <w:r w:rsidRPr="00C72C31">
        <w:rPr>
          <w:rtl/>
        </w:rPr>
        <w:t xml:space="preserve"> </w:t>
      </w:r>
      <w:r w:rsidRPr="00C72C31">
        <w:rPr>
          <w:rFonts w:hint="cs"/>
          <w:rtl/>
        </w:rPr>
        <w:t>על</w:t>
      </w:r>
      <w:r w:rsidRPr="00C72C31">
        <w:rPr>
          <w:rtl/>
        </w:rPr>
        <w:t xml:space="preserve"> </w:t>
      </w:r>
      <w:r w:rsidRPr="00C72C31">
        <w:rPr>
          <w:rFonts w:hint="cs"/>
          <w:rtl/>
        </w:rPr>
        <w:t>הדעת</w:t>
      </w:r>
      <w:r w:rsidRPr="00C72C31">
        <w:rPr>
          <w:rtl/>
        </w:rPr>
        <w:t xml:space="preserve"> </w:t>
      </w:r>
      <w:r w:rsidRPr="00C72C31">
        <w:rPr>
          <w:rFonts w:hint="cs"/>
          <w:rtl/>
        </w:rPr>
        <w:t>ובקשתו</w:t>
      </w:r>
      <w:r w:rsidRPr="00C72C31">
        <w:rPr>
          <w:rtl/>
        </w:rPr>
        <w:t xml:space="preserve"> </w:t>
      </w:r>
      <w:r w:rsidRPr="00C72C31">
        <w:rPr>
          <w:rFonts w:hint="cs"/>
          <w:rtl/>
        </w:rPr>
        <w:t>לשחרור</w:t>
      </w:r>
      <w:r w:rsidRPr="00C72C31">
        <w:rPr>
          <w:rtl/>
        </w:rPr>
        <w:t xml:space="preserve"> </w:t>
      </w:r>
      <w:r w:rsidRPr="00C72C31">
        <w:rPr>
          <w:rFonts w:hint="cs"/>
          <w:rtl/>
        </w:rPr>
        <w:t>נדחתה</w:t>
      </w:r>
      <w:r w:rsidRPr="00C72C31">
        <w:rPr>
          <w:rtl/>
        </w:rPr>
        <w:t>.</w:t>
      </w:r>
      <w:r w:rsidRPr="00C72C31">
        <w:rPr>
          <w:rStyle w:val="af2"/>
          <w:rtl/>
        </w:rPr>
        <w:footnoteReference w:id="10"/>
      </w:r>
      <w:r w:rsidRPr="00C72C31">
        <w:rPr>
          <w:rFonts w:hint="cs"/>
          <w:rtl/>
        </w:rPr>
        <w:t xml:space="preserve"> </w:t>
      </w:r>
    </w:p>
    <w:p w:rsidR="00E64A84" w:rsidRDefault="00E64A84" w:rsidP="00E64A84">
      <w:pPr>
        <w:pStyle w:val="af"/>
        <w:numPr>
          <w:ilvl w:val="0"/>
          <w:numId w:val="11"/>
        </w:numPr>
        <w:bidi/>
        <w:spacing w:after="120"/>
        <w:ind w:left="425" w:hanging="357"/>
        <w:contextualSpacing w:val="0"/>
      </w:pPr>
      <w:r w:rsidRPr="00AE697C">
        <w:rPr>
          <w:rFonts w:hint="cs"/>
          <w:b/>
          <w:bCs/>
          <w:u w:val="single"/>
          <w:rtl/>
        </w:rPr>
        <w:t>בריטניה</w:t>
      </w:r>
      <w:r>
        <w:rPr>
          <w:rFonts w:hint="cs"/>
          <w:rtl/>
        </w:rPr>
        <w:t xml:space="preserve">: מתקיים </w:t>
      </w:r>
      <w:r w:rsidRPr="002611A9">
        <w:rPr>
          <w:rFonts w:hint="cs"/>
          <w:b/>
          <w:bCs/>
          <w:rtl/>
        </w:rPr>
        <w:t>מעצר ראשוני קצר</w:t>
      </w:r>
      <w:r>
        <w:rPr>
          <w:rFonts w:hint="cs"/>
          <w:rtl/>
        </w:rPr>
        <w:t xml:space="preserve"> </w:t>
      </w:r>
      <w:r w:rsidRPr="002611A9">
        <w:rPr>
          <w:rFonts w:hint="cs"/>
          <w:b/>
          <w:bCs/>
          <w:rtl/>
        </w:rPr>
        <w:t>של כשבוע</w:t>
      </w:r>
      <w:r>
        <w:rPr>
          <w:rFonts w:hint="cs"/>
          <w:rtl/>
        </w:rPr>
        <w:t xml:space="preserve"> לצורך בירור מהיר של בקשות מקלט, אולם לאחר מכן, דומה ש</w:t>
      </w:r>
      <w:r w:rsidRPr="002611A9">
        <w:rPr>
          <w:rFonts w:hint="cs"/>
          <w:u w:val="single"/>
          <w:rtl/>
        </w:rPr>
        <w:t>ברירת המחדל הינה כניסה למדינה ונדרש בסיס משמעותי (</w:t>
      </w:r>
      <w:r w:rsidRPr="002611A9">
        <w:rPr>
          <w:u w:val="single"/>
        </w:rPr>
        <w:t>"strong grounds"</w:t>
      </w:r>
      <w:r w:rsidRPr="002611A9">
        <w:rPr>
          <w:rFonts w:hint="cs"/>
          <w:u w:val="single"/>
          <w:rtl/>
        </w:rPr>
        <w:t>) להאמין כי אדם לא ימלא אחר דרישות הכניסה/שחרור על-מנת להצדיק מעצר</w:t>
      </w:r>
      <w:r>
        <w:rPr>
          <w:rFonts w:hint="cs"/>
          <w:rtl/>
        </w:rPr>
        <w:t xml:space="preserve">. במקרים כאלו, </w:t>
      </w:r>
      <w:r w:rsidRPr="00A82556">
        <w:rPr>
          <w:rFonts w:hint="cs"/>
          <w:b/>
          <w:bCs/>
          <w:rtl/>
        </w:rPr>
        <w:t>לא קיימת מגבלה בחקיקה על תקופת המעצר המקסימאלית</w:t>
      </w:r>
      <w:r>
        <w:rPr>
          <w:rFonts w:hint="cs"/>
          <w:rtl/>
        </w:rPr>
        <w:t xml:space="preserve"> עד לבירור בקשתו של אדם. מקום שנקבע כי אדם אינו זכאי למעמד של פליט או להגנה במדינה, ניתן להחזיקו במעצר לצורך גירושו, אולם </w:t>
      </w:r>
      <w:r w:rsidRPr="00A82556">
        <w:rPr>
          <w:rFonts w:hint="cs"/>
          <w:u w:val="single"/>
          <w:rtl/>
        </w:rPr>
        <w:t>אם לא קיימת אפשרות גירוש, לא ניתן לעשות שימוש במעצר</w:t>
      </w:r>
      <w:r>
        <w:rPr>
          <w:rFonts w:hint="cs"/>
          <w:rtl/>
        </w:rPr>
        <w:t>.</w:t>
      </w:r>
    </w:p>
    <w:p w:rsidR="00E64A84" w:rsidRDefault="00E64A84" w:rsidP="00E64A84">
      <w:pPr>
        <w:pStyle w:val="af"/>
        <w:numPr>
          <w:ilvl w:val="0"/>
          <w:numId w:val="11"/>
        </w:numPr>
        <w:bidi/>
        <w:spacing w:after="120"/>
        <w:ind w:left="425" w:hanging="357"/>
        <w:contextualSpacing w:val="0"/>
      </w:pPr>
      <w:r w:rsidRPr="00AE697C">
        <w:rPr>
          <w:rFonts w:hint="cs"/>
          <w:b/>
          <w:bCs/>
          <w:u w:val="single"/>
          <w:rtl/>
        </w:rPr>
        <w:t>ארה"ב</w:t>
      </w:r>
      <w:r w:rsidRPr="0089276D">
        <w:rPr>
          <w:rFonts w:hint="cs"/>
          <w:rtl/>
        </w:rPr>
        <w:t>:</w:t>
      </w:r>
      <w:r>
        <w:rPr>
          <w:rFonts w:hint="cs"/>
          <w:b/>
          <w:bCs/>
          <w:rtl/>
        </w:rPr>
        <w:t xml:space="preserve"> </w:t>
      </w:r>
      <w:r w:rsidRPr="00C72C31">
        <w:rPr>
          <w:rFonts w:hint="cs"/>
          <w:rtl/>
        </w:rPr>
        <w:t xml:space="preserve">אדם המעלה טענת מקלט בעת כניסתו </w:t>
      </w:r>
      <w:r>
        <w:rPr>
          <w:rFonts w:hint="cs"/>
          <w:rtl/>
        </w:rPr>
        <w:t xml:space="preserve">אך אינו מחזיק בניירות </w:t>
      </w:r>
      <w:r w:rsidRPr="00C72C31">
        <w:rPr>
          <w:rFonts w:hint="cs"/>
          <w:rtl/>
        </w:rPr>
        <w:t>יוחזק במעצר עד אשר לבירור ראשוני של טענת הרדיפה שלו.</w:t>
      </w:r>
      <w:r>
        <w:rPr>
          <w:rStyle w:val="af2"/>
          <w:rtl/>
        </w:rPr>
        <w:footnoteReference w:id="11"/>
      </w:r>
      <w:r w:rsidRPr="00C72C31">
        <w:rPr>
          <w:rFonts w:hint="cs"/>
          <w:rtl/>
        </w:rPr>
        <w:t xml:space="preserve"> מקום שיש יסוד לחשש מבוסס לרדיפה, ניתן להורות על שחרור בתנאים עד לקיום דיון מקיף בבקשת המקלט</w:t>
      </w:r>
      <w:r>
        <w:rPr>
          <w:rFonts w:hint="cs"/>
          <w:rtl/>
        </w:rPr>
        <w:t xml:space="preserve">, אולם </w:t>
      </w:r>
      <w:r w:rsidRPr="00A82556">
        <w:rPr>
          <w:rFonts w:hint="cs"/>
          <w:b/>
          <w:bCs/>
          <w:rtl/>
        </w:rPr>
        <w:t>לא נמצאה מגבלה מקסימאלית על תקופת המעצר עד להכרעה בבקשת המקלט</w:t>
      </w:r>
      <w:r>
        <w:rPr>
          <w:rFonts w:hint="cs"/>
          <w:rtl/>
        </w:rPr>
        <w:t>.</w:t>
      </w:r>
      <w:r w:rsidRPr="00C72C31">
        <w:rPr>
          <w:rFonts w:hint="cs"/>
          <w:rtl/>
        </w:rPr>
        <w:t xml:space="preserve"> מקום שטענת הרדיפה נדחית, יש להחזיק את הזר במעצר עד לגירושו. </w:t>
      </w:r>
      <w:r>
        <w:rPr>
          <w:rFonts w:hint="cs"/>
          <w:rtl/>
        </w:rPr>
        <w:t xml:space="preserve">על-פי פסיקת בית המשפט העליון האמריקאי, </w:t>
      </w:r>
      <w:r w:rsidRPr="00A82556">
        <w:rPr>
          <w:rFonts w:hint="cs"/>
          <w:b/>
          <w:bCs/>
          <w:rtl/>
        </w:rPr>
        <w:t>לא יוחזק אדם במעצר לתקופה העולה על שישה חודשים אם לא קיימת אפשרות ממשית לגירוש</w:t>
      </w:r>
      <w:r>
        <w:rPr>
          <w:rFonts w:hint="cs"/>
          <w:rtl/>
        </w:rPr>
        <w:t xml:space="preserve"> (אלא בנסיבות פרטניות מיוחדות</w:t>
      </w:r>
      <w:r>
        <w:rPr>
          <w:rStyle w:val="af2"/>
          <w:rtl/>
        </w:rPr>
        <w:footnoteReference w:id="12"/>
      </w:r>
      <w:r>
        <w:rPr>
          <w:rFonts w:hint="cs"/>
          <w:rtl/>
        </w:rPr>
        <w:t>).</w:t>
      </w:r>
      <w:r w:rsidR="00A82556">
        <w:rPr>
          <w:rStyle w:val="af2"/>
          <w:rtl/>
        </w:rPr>
        <w:footnoteReference w:id="13"/>
      </w:r>
    </w:p>
    <w:p w:rsidR="00E64A84" w:rsidRDefault="00E64A84" w:rsidP="00E64A84">
      <w:pPr>
        <w:pStyle w:val="af"/>
        <w:numPr>
          <w:ilvl w:val="0"/>
          <w:numId w:val="11"/>
        </w:numPr>
        <w:bidi/>
        <w:spacing w:after="120"/>
        <w:ind w:left="425" w:hanging="357"/>
        <w:contextualSpacing w:val="0"/>
      </w:pPr>
      <w:r>
        <w:rPr>
          <w:rFonts w:hint="cs"/>
          <w:rtl/>
        </w:rPr>
        <w:t xml:space="preserve">לפי נתונים שפורסמו ב-2009, בממוצע מוחזק זר במעצר 30 יום, אם כי קיימת שונות גדולה בין תקופות המעצר של מי שעוזב מרצון למי שמבקש לקבל מעמד במדינה, כלומר: דווקא מי שטוען לזכות להיכנס למדינה עלול להיות מוחזק במעצר תקופה ארוכה יותר. כ-25% מהאוכלוסייה המצויה במעצר משתחררת תוך יום אחד בלבד; 30% תוך שבוע; 71% תוך חודש ו-95% תוך ארבעה חודשים. פחות מאחוז אחד של נכנסים (2,100 נכון לאותה העת) מוחזקים במעצר </w:t>
      </w:r>
      <w:r w:rsidRPr="00AE697C">
        <w:rPr>
          <w:rFonts w:hint="cs"/>
          <w:u w:val="single"/>
          <w:rtl/>
        </w:rPr>
        <w:t>ליותר משנה</w:t>
      </w:r>
      <w:r>
        <w:rPr>
          <w:rFonts w:hint="cs"/>
          <w:rtl/>
        </w:rPr>
        <w:t>.</w:t>
      </w:r>
      <w:r>
        <w:rPr>
          <w:rStyle w:val="af2"/>
          <w:rtl/>
        </w:rPr>
        <w:footnoteReference w:id="14"/>
      </w:r>
      <w:r>
        <w:rPr>
          <w:rFonts w:hint="cs"/>
          <w:rtl/>
        </w:rPr>
        <w:t xml:space="preserve"> נתונים דומים קיימים לגבי 2012: מבין האנשים שסיימו את מעצרם בחודשים נוב'-דצמ' 2012, כ-3% (1,800 אנשים) הוחזקו במעצר למעלה משישה חודשים.</w:t>
      </w:r>
      <w:r>
        <w:rPr>
          <w:rStyle w:val="af2"/>
          <w:rtl/>
        </w:rPr>
        <w:footnoteReference w:id="15"/>
      </w:r>
      <w:r>
        <w:rPr>
          <w:rFonts w:hint="cs"/>
          <w:rtl/>
        </w:rPr>
        <w:t xml:space="preserve"> בשלהי 2012, 4,793 עצורים היו נתונים במעצר לפחות ששה חודשים כאשר תקופת המעצר הממוצעת הייתה למעלה משנה. כ-12 אנשים בילו במעצר תקופות של 6-8 שנים.</w:t>
      </w:r>
      <w:r>
        <w:rPr>
          <w:rStyle w:val="af2"/>
          <w:rtl/>
        </w:rPr>
        <w:footnoteReference w:id="16"/>
      </w:r>
      <w:r>
        <w:rPr>
          <w:rFonts w:hint="cs"/>
          <w:rtl/>
        </w:rPr>
        <w:t xml:space="preserve"> אין ברשותנו נתונים פרטניים אודות נסיבות או עילות המעצר.</w:t>
      </w:r>
    </w:p>
    <w:p w:rsidR="00E64A84" w:rsidRDefault="00E64A84" w:rsidP="007D6ED2">
      <w:pPr>
        <w:pStyle w:val="af"/>
        <w:numPr>
          <w:ilvl w:val="0"/>
          <w:numId w:val="11"/>
        </w:numPr>
        <w:bidi/>
        <w:spacing w:after="120"/>
        <w:ind w:left="425" w:hanging="357"/>
        <w:contextualSpacing w:val="0"/>
      </w:pPr>
      <w:r w:rsidRPr="00AE697C">
        <w:rPr>
          <w:rFonts w:hint="cs"/>
          <w:b/>
          <w:bCs/>
          <w:u w:val="single"/>
          <w:rtl/>
        </w:rPr>
        <w:t>מלטה</w:t>
      </w:r>
      <w:r>
        <w:rPr>
          <w:rStyle w:val="af2"/>
          <w:rtl/>
        </w:rPr>
        <w:footnoteReference w:id="17"/>
      </w:r>
      <w:r>
        <w:rPr>
          <w:rFonts w:hint="cs"/>
          <w:rtl/>
        </w:rPr>
        <w:t>: על אף שמלטה מחויבת לדירקטיבות האיחוד האירופי, לפי דו"ח מפורט של נציבות הפליטים מספט</w:t>
      </w:r>
      <w:r w:rsidR="007D6ED2">
        <w:rPr>
          <w:rFonts w:hint="cs"/>
          <w:rtl/>
        </w:rPr>
        <w:t>מבר</w:t>
      </w:r>
      <w:r>
        <w:rPr>
          <w:rFonts w:hint="cs"/>
          <w:rtl/>
        </w:rPr>
        <w:t xml:space="preserve"> 2013, </w:t>
      </w:r>
      <w:r w:rsidR="007D6ED2">
        <w:rPr>
          <w:rFonts w:hint="cs"/>
          <w:rtl/>
        </w:rPr>
        <w:t xml:space="preserve">עפ"י הדין </w:t>
      </w:r>
      <w:r>
        <w:rPr>
          <w:rFonts w:hint="cs"/>
          <w:rtl/>
        </w:rPr>
        <w:t xml:space="preserve">במלטה, </w:t>
      </w:r>
      <w:r w:rsidRPr="00AE697C">
        <w:rPr>
          <w:rFonts w:hint="cs"/>
          <w:u w:val="single"/>
          <w:rtl/>
        </w:rPr>
        <w:t>החזקה במעצר הינה אוטומטית מקום שאדם נכנס למדינה שלא כדין, שבקשתו של אדם להיכנס למדינה</w:t>
      </w:r>
      <w:r>
        <w:rPr>
          <w:rFonts w:hint="cs"/>
          <w:u w:val="single"/>
          <w:rtl/>
        </w:rPr>
        <w:t xml:space="preserve"> נדחתה</w:t>
      </w:r>
      <w:r w:rsidRPr="00AE697C">
        <w:rPr>
          <w:rFonts w:hint="cs"/>
          <w:u w:val="single"/>
          <w:rtl/>
        </w:rPr>
        <w:t xml:space="preserve"> או שהוצא נגדו צו הרחקה. הדין אינו עושה הבחנה כל</w:t>
      </w:r>
      <w:r>
        <w:rPr>
          <w:rFonts w:hint="cs"/>
          <w:u w:val="single"/>
          <w:rtl/>
        </w:rPr>
        <w:t>ש</w:t>
      </w:r>
      <w:r w:rsidRPr="00AE697C">
        <w:rPr>
          <w:rFonts w:hint="cs"/>
          <w:u w:val="single"/>
          <w:rtl/>
        </w:rPr>
        <w:t>הי ביחס למבקשי מקלט</w:t>
      </w:r>
      <w:r>
        <w:rPr>
          <w:rFonts w:hint="cs"/>
          <w:rtl/>
        </w:rPr>
        <w:t xml:space="preserve"> (אם כי בפועל המדיניות המיושמת מקלה על אוכלוסיות </w:t>
      </w:r>
      <w:r>
        <w:rPr>
          <w:rFonts w:hint="cs"/>
          <w:rtl/>
        </w:rPr>
        <w:lastRenderedPageBreak/>
        <w:t>מיוחדות בעלות צרכים מיוחדים, כגון: קטינים).</w:t>
      </w:r>
      <w:r>
        <w:rPr>
          <w:rStyle w:val="af2"/>
          <w:rtl/>
        </w:rPr>
        <w:footnoteReference w:id="18"/>
      </w:r>
      <w:r>
        <w:rPr>
          <w:rFonts w:hint="cs"/>
          <w:rtl/>
        </w:rPr>
        <w:t xml:space="preserve"> גם לאחר שאדם הגיש בקשת מקלט, לרוב הוא נותר במעצר.</w:t>
      </w:r>
      <w:r>
        <w:rPr>
          <w:rStyle w:val="af2"/>
          <w:rtl/>
        </w:rPr>
        <w:footnoteReference w:id="19"/>
      </w:r>
      <w:r>
        <w:rPr>
          <w:rFonts w:hint="cs"/>
          <w:rtl/>
        </w:rPr>
        <w:t xml:space="preserve"> </w:t>
      </w:r>
    </w:p>
    <w:p w:rsidR="00E64A84" w:rsidRDefault="00E64A84" w:rsidP="00D9066E">
      <w:pPr>
        <w:pStyle w:val="af"/>
        <w:numPr>
          <w:ilvl w:val="0"/>
          <w:numId w:val="11"/>
        </w:numPr>
        <w:bidi/>
        <w:spacing w:after="120"/>
        <w:ind w:left="425" w:hanging="357"/>
        <w:contextualSpacing w:val="0"/>
      </w:pPr>
      <w:r w:rsidRPr="00F03CD1">
        <w:rPr>
          <w:rFonts w:hint="cs"/>
          <w:rtl/>
        </w:rPr>
        <w:t>החוק אינו קובע תקופות מעצר מקסימאליות ביחס למבקשי מקלט,</w:t>
      </w:r>
      <w:r>
        <w:rPr>
          <w:rFonts w:hint="cs"/>
          <w:rtl/>
        </w:rPr>
        <w:t xml:space="preserve"> ואלו לרוב משוחררים ממעצר רק לאחר שקיבלו הגנה כלשהי מנציב הפליטים. אולם מסמך מדיניות של הממשלה קובע באופן כללי ביחס למי שנכנס למדינה באופן בלתי-חוקי כי </w:t>
      </w:r>
      <w:r w:rsidRPr="00F03CD1">
        <w:rPr>
          <w:rFonts w:hint="cs"/>
          <w:b/>
          <w:bCs/>
          <w:rtl/>
        </w:rPr>
        <w:t>תקופת המעצר לא תעלה על 18 חודשים</w:t>
      </w:r>
      <w:r w:rsidRPr="00F03CD1">
        <w:rPr>
          <w:rFonts w:hint="cs"/>
          <w:rtl/>
        </w:rPr>
        <w:t>.</w:t>
      </w:r>
      <w:r w:rsidRPr="00F03CD1">
        <w:rPr>
          <w:rStyle w:val="af2"/>
          <w:rtl/>
        </w:rPr>
        <w:footnoteReference w:id="20"/>
      </w:r>
      <w:r w:rsidRPr="00F03CD1">
        <w:rPr>
          <w:rFonts w:hint="cs"/>
          <w:rtl/>
        </w:rPr>
        <w:t xml:space="preserve"> </w:t>
      </w:r>
      <w:r w:rsidRPr="00F03CD1">
        <w:rPr>
          <w:rFonts w:hint="cs"/>
          <w:b/>
          <w:bCs/>
          <w:rtl/>
        </w:rPr>
        <w:t>בפרט ביחס למבקשי מקלט, נהוג לשחררם ממעצר לאחר שנה</w:t>
      </w:r>
      <w:r w:rsidR="00B153BF">
        <w:rPr>
          <w:rFonts w:hint="cs"/>
          <w:b/>
          <w:bCs/>
          <w:rtl/>
        </w:rPr>
        <w:t xml:space="preserve"> אם בקשתם טרם הוכרעה</w:t>
      </w:r>
      <w:r w:rsidRPr="00AE697C">
        <w:rPr>
          <w:rFonts w:hint="cs"/>
          <w:rtl/>
        </w:rPr>
        <w:t>.</w:t>
      </w:r>
      <w:r w:rsidRPr="00AE697C">
        <w:rPr>
          <w:rStyle w:val="af2"/>
          <w:rtl/>
        </w:rPr>
        <w:footnoteReference w:id="21"/>
      </w:r>
      <w:r w:rsidR="00F03CD1">
        <w:rPr>
          <w:rFonts w:hint="cs"/>
          <w:rtl/>
        </w:rPr>
        <w:t xml:space="preserve"> </w:t>
      </w:r>
      <w:r w:rsidRPr="00F03CD1">
        <w:rPr>
          <w:rFonts w:hint="cs"/>
          <w:b/>
          <w:bCs/>
          <w:rtl/>
        </w:rPr>
        <w:t>אנשים שנדחית בקשת המקלט/ההגנה שלהם, אך מתעורר קושי להרחיקם למדינת מוצאם נותרים במעצר בדרך כלל לתקופה של 18 חודשים</w:t>
      </w:r>
      <w:r w:rsidRPr="00C12FCA">
        <w:rPr>
          <w:rFonts w:hint="cs"/>
          <w:b/>
          <w:bCs/>
          <w:rtl/>
        </w:rPr>
        <w:t xml:space="preserve"> </w:t>
      </w:r>
      <w:r w:rsidR="00FF5F96">
        <w:rPr>
          <w:rFonts w:hint="cs"/>
          <w:rtl/>
        </w:rPr>
        <w:t xml:space="preserve">סה"כ </w:t>
      </w:r>
      <w:r w:rsidRPr="00745263">
        <w:rPr>
          <w:rFonts w:hint="cs"/>
          <w:rtl/>
        </w:rPr>
        <w:t>בהתאם למ</w:t>
      </w:r>
      <w:r>
        <w:rPr>
          <w:rFonts w:hint="cs"/>
          <w:rtl/>
        </w:rPr>
        <w:t>ד</w:t>
      </w:r>
      <w:r w:rsidRPr="00745263">
        <w:rPr>
          <w:rFonts w:hint="cs"/>
          <w:rtl/>
        </w:rPr>
        <w:t>יניות הממשלה משנת 2005</w:t>
      </w:r>
      <w:r w:rsidR="00D9066E">
        <w:rPr>
          <w:rFonts w:hint="cs"/>
          <w:rtl/>
        </w:rPr>
        <w:t>.</w:t>
      </w:r>
      <w:r w:rsidR="00EB567F">
        <w:rPr>
          <w:rStyle w:val="af2"/>
        </w:rPr>
        <w:footnoteReference w:id="22"/>
      </w:r>
      <w:r>
        <w:rPr>
          <w:rFonts w:hint="cs"/>
          <w:rtl/>
        </w:rPr>
        <w:t xml:space="preserve"> </w:t>
      </w:r>
    </w:p>
    <w:p w:rsidR="00E64A84" w:rsidRDefault="00E64A84" w:rsidP="00CB010A">
      <w:pPr>
        <w:pStyle w:val="af"/>
        <w:numPr>
          <w:ilvl w:val="0"/>
          <w:numId w:val="11"/>
        </w:numPr>
        <w:bidi/>
        <w:spacing w:after="120"/>
        <w:ind w:left="425" w:hanging="357"/>
        <w:contextualSpacing w:val="0"/>
      </w:pPr>
      <w:bookmarkStart w:id="1" w:name="_Ref369122850"/>
      <w:r w:rsidRPr="00012A96">
        <w:rPr>
          <w:rtl/>
        </w:rPr>
        <w:t>גורמים מדיניים הצהירו בעבור כי מדיניות המעצרים נועדה לייצר הרתעה (</w:t>
      </w:r>
      <w:r w:rsidRPr="00012A96">
        <w:t>deterrent</w:t>
      </w:r>
      <w:r w:rsidRPr="00012A96">
        <w:rPr>
          <w:rtl/>
        </w:rPr>
        <w:t>) וכי ההחזקה במעצר תעודד אנשים לעזוב את המדינה. בפני האיחוד האירופי טוענת המדינה כי על אף שמספר המהגרים הבלתי-חוקיים הינו קטן אבסולוטית, בשל שטחה ואמצעיה המוגבלים של המדינה ואוכלוסייתה הקטנה, מדובר בכמות המייצרת משבר הגירה (המקבילה להגעתם של 1.2 מיליון מהגרים לבריטניה למשל).</w:t>
      </w:r>
      <w:r>
        <w:rPr>
          <w:rFonts w:hint="cs"/>
          <w:rtl/>
        </w:rPr>
        <w:t xml:space="preserve"> נכון למועד כתיבת מזכר זה, טרם נמצאה התייחסות רשמית של גורמי איחוד ביחס למדיניות המעצרים של מלטה </w:t>
      </w:r>
      <w:r w:rsidR="00F03CD1">
        <w:rPr>
          <w:rFonts w:hint="cs"/>
          <w:rtl/>
        </w:rPr>
        <w:t xml:space="preserve">אל מול </w:t>
      </w:r>
      <w:r>
        <w:rPr>
          <w:rFonts w:hint="cs"/>
          <w:rtl/>
        </w:rPr>
        <w:t>דירקטיבת האיחוד בנושא.</w:t>
      </w:r>
      <w:bookmarkEnd w:id="1"/>
      <w:r w:rsidR="00CB010A">
        <w:rPr>
          <w:rFonts w:hint="cs"/>
          <w:rtl/>
        </w:rPr>
        <w:t xml:space="preserve"> יצוין, כי הפרקטיקה של מלטה נתונה לביקורת חריפה של ארגוני זכויות אדם וכן של ה-</w:t>
      </w:r>
      <w:r w:rsidR="00CB010A">
        <w:t>UNHCR</w:t>
      </w:r>
      <w:r w:rsidR="00CB010A">
        <w:rPr>
          <w:rFonts w:hint="cs"/>
          <w:rtl/>
        </w:rPr>
        <w:t xml:space="preserve">, אשר הוציא </w:t>
      </w:r>
      <w:r w:rsidR="00F45F5F">
        <w:rPr>
          <w:rFonts w:hint="cs"/>
          <w:rtl/>
        </w:rPr>
        <w:t xml:space="preserve">כאמור </w:t>
      </w:r>
      <w:r w:rsidR="00CB010A">
        <w:rPr>
          <w:rFonts w:hint="cs"/>
          <w:rtl/>
        </w:rPr>
        <w:t>דו"ח מפורט בנושא בספטמבר 2013.</w:t>
      </w:r>
    </w:p>
    <w:p w:rsidR="00E64A84" w:rsidRDefault="00E64A84" w:rsidP="00E64A84">
      <w:pPr>
        <w:pStyle w:val="af"/>
        <w:numPr>
          <w:ilvl w:val="0"/>
          <w:numId w:val="11"/>
        </w:numPr>
        <w:bidi/>
        <w:spacing w:after="120"/>
        <w:ind w:left="425" w:hanging="357"/>
        <w:contextualSpacing w:val="0"/>
      </w:pPr>
      <w:r w:rsidRPr="006525EA">
        <w:rPr>
          <w:rFonts w:hint="cs"/>
          <w:b/>
          <w:bCs/>
          <w:u w:val="single"/>
          <w:rtl/>
        </w:rPr>
        <w:t>שוויץ</w:t>
      </w:r>
      <w:r>
        <w:rPr>
          <w:rFonts w:hint="cs"/>
          <w:rtl/>
        </w:rPr>
        <w:t xml:space="preserve">: תקופת המעצר המקסימאלית לצורכי גירוש (משמע: לאחר שנדחתה בקשת מקלט/הגנה) אינה יכולה לעלות על </w:t>
      </w:r>
      <w:r w:rsidRPr="00805E1C">
        <w:rPr>
          <w:rFonts w:hint="cs"/>
          <w:b/>
          <w:bCs/>
          <w:rtl/>
        </w:rPr>
        <w:t>חצי שנה</w:t>
      </w:r>
      <w:r>
        <w:rPr>
          <w:rFonts w:hint="cs"/>
          <w:rtl/>
        </w:rPr>
        <w:t xml:space="preserve"> </w:t>
      </w:r>
      <w:r w:rsidRPr="00805E1C">
        <w:rPr>
          <w:rFonts w:hint="cs"/>
          <w:u w:val="single"/>
          <w:rtl/>
        </w:rPr>
        <w:t>בנסיבות פרטניות</w:t>
      </w:r>
      <w:r>
        <w:rPr>
          <w:rFonts w:hint="cs"/>
          <w:rtl/>
        </w:rPr>
        <w:t>.</w:t>
      </w:r>
      <w:r>
        <w:rPr>
          <w:rStyle w:val="af2"/>
          <w:rtl/>
        </w:rPr>
        <w:footnoteReference w:id="23"/>
      </w:r>
      <w:r>
        <w:rPr>
          <w:rFonts w:hint="cs"/>
          <w:rtl/>
        </w:rPr>
        <w:t xml:space="preserve"> </w:t>
      </w:r>
      <w:r w:rsidRPr="00805E1C">
        <w:rPr>
          <w:rFonts w:hint="cs"/>
          <w:b/>
          <w:bCs/>
          <w:rtl/>
        </w:rPr>
        <w:t xml:space="preserve">ניתן </w:t>
      </w:r>
      <w:proofErr w:type="spellStart"/>
      <w:r w:rsidRPr="00805E1C">
        <w:rPr>
          <w:rFonts w:hint="cs"/>
          <w:b/>
          <w:bCs/>
          <w:rtl/>
        </w:rPr>
        <w:t>להאריכה</w:t>
      </w:r>
      <w:proofErr w:type="spellEnd"/>
      <w:r w:rsidRPr="00805E1C">
        <w:rPr>
          <w:rFonts w:hint="cs"/>
          <w:b/>
          <w:bCs/>
          <w:rtl/>
        </w:rPr>
        <w:t xml:space="preserve"> בעד 12 חודשים נוספים</w:t>
      </w:r>
      <w:r>
        <w:rPr>
          <w:rFonts w:hint="cs"/>
          <w:rtl/>
        </w:rPr>
        <w:t xml:space="preserve"> (ששה חודשים עבור קטינים בגילאים 15-18) מקום שאדם מסרב לשתף פעולה עם הרשויות או שישנו עיכוב בהנפקת מסמכי הנסיעה ע"י מדינה שאינה מדינת </w:t>
      </w:r>
      <w:r>
        <w:t>Schengen</w:t>
      </w:r>
      <w:r>
        <w:rPr>
          <w:rFonts w:hint="cs"/>
          <w:rtl/>
        </w:rPr>
        <w:t>.</w:t>
      </w:r>
      <w:r>
        <w:rPr>
          <w:rStyle w:val="af2"/>
          <w:rtl/>
        </w:rPr>
        <w:footnoteReference w:id="24"/>
      </w:r>
      <w:r>
        <w:rPr>
          <w:rFonts w:hint="cs"/>
          <w:rtl/>
        </w:rPr>
        <w:t xml:space="preserve"> אולם </w:t>
      </w:r>
      <w:r w:rsidRPr="00BF7401">
        <w:rPr>
          <w:rFonts w:hint="cs"/>
          <w:u w:val="single"/>
          <w:rtl/>
        </w:rPr>
        <w:t>יש להורות על שחרור מקום שהגירוש או ההרחקה אינם ניתנים למימוש מטעמים משפטיים או מעשיים</w:t>
      </w:r>
      <w:r>
        <w:rPr>
          <w:rFonts w:hint="cs"/>
          <w:rtl/>
        </w:rPr>
        <w:t>.</w:t>
      </w:r>
      <w:r>
        <w:rPr>
          <w:rStyle w:val="af2"/>
          <w:rtl/>
        </w:rPr>
        <w:footnoteReference w:id="25"/>
      </w:r>
    </w:p>
    <w:p w:rsidR="00E64A84" w:rsidRDefault="00E64A84" w:rsidP="00E64A84">
      <w:pPr>
        <w:pStyle w:val="af"/>
        <w:numPr>
          <w:ilvl w:val="0"/>
          <w:numId w:val="11"/>
        </w:numPr>
        <w:bidi/>
        <w:spacing w:after="120"/>
        <w:ind w:left="425" w:hanging="357"/>
        <w:contextualSpacing w:val="0"/>
      </w:pPr>
      <w:r>
        <w:rPr>
          <w:rFonts w:hint="cs"/>
          <w:b/>
          <w:bCs/>
          <w:u w:val="single"/>
          <w:rtl/>
        </w:rPr>
        <w:t>בלגיה</w:t>
      </w:r>
      <w:r w:rsidRPr="008746E1">
        <w:rPr>
          <w:rFonts w:hint="cs"/>
          <w:rtl/>
        </w:rPr>
        <w:t>:</w:t>
      </w:r>
      <w:r>
        <w:rPr>
          <w:rFonts w:hint="cs"/>
          <w:rtl/>
        </w:rPr>
        <w:t xml:space="preserve"> מעצר של מבקשי מקלט ללא ניירות אפשרי עד לבירור בקשתם. ניתן להחזיק במעצר גם את מי שנכנסו כבר לשטח המדינה ואז הגישו בקשת מקלט, אולם מקרים אלו חריגים יחסית. החוק קובע 15 עילות מעצר ספציפיות ביחס למבקשי מקלט, הכוללות, בין היתר: מבקש מקלט אשר הורחק מהמדינה ב-10 השנים האחרונות; מבקש אשר טרם הגעתו לבלגיה התגורר במדינה בטוחה תקופה עולה על שלושה חודשים; אדם אשר השמיד מסמכים שיש בכוחם לסייע לבירור הבקשה; אדם אשר הסתיר את קיומה של בקשת מקלט קודמת או שנמנע מהגשת בקשת מקלט תוך 8 ימים מכניסתו למדינה ללא הצדקה; ועוד. </w:t>
      </w:r>
      <w:r w:rsidRPr="00D43772">
        <w:rPr>
          <w:rFonts w:hint="cs"/>
          <w:rtl/>
        </w:rPr>
        <w:t xml:space="preserve">תקופת המעצר הינה </w:t>
      </w:r>
      <w:r w:rsidRPr="00D43772">
        <w:rPr>
          <w:rFonts w:hint="cs"/>
          <w:b/>
          <w:bCs/>
          <w:rtl/>
        </w:rPr>
        <w:t xml:space="preserve">עד חודשיים, אולם ניתן </w:t>
      </w:r>
      <w:proofErr w:type="spellStart"/>
      <w:r w:rsidRPr="00D43772">
        <w:rPr>
          <w:rFonts w:hint="cs"/>
          <w:b/>
          <w:bCs/>
          <w:rtl/>
        </w:rPr>
        <w:t>להאריכה</w:t>
      </w:r>
      <w:proofErr w:type="spellEnd"/>
      <w:r w:rsidRPr="00D43772">
        <w:rPr>
          <w:rFonts w:hint="cs"/>
          <w:b/>
          <w:bCs/>
          <w:rtl/>
        </w:rPr>
        <w:t xml:space="preserve"> עד לתקופה מקסימאלית של חמישה חודשים</w:t>
      </w:r>
      <w:r>
        <w:rPr>
          <w:rFonts w:hint="cs"/>
          <w:rtl/>
        </w:rPr>
        <w:t>,</w:t>
      </w:r>
      <w:r>
        <w:rPr>
          <w:rStyle w:val="af2"/>
          <w:rtl/>
        </w:rPr>
        <w:footnoteReference w:id="26"/>
      </w:r>
      <w:r>
        <w:rPr>
          <w:rFonts w:hint="cs"/>
          <w:rtl/>
        </w:rPr>
        <w:t xml:space="preserve"> אשר ככל הנראה ניתן </w:t>
      </w:r>
      <w:proofErr w:type="spellStart"/>
      <w:r>
        <w:rPr>
          <w:rFonts w:hint="cs"/>
          <w:rtl/>
        </w:rPr>
        <w:t>להאריכה</w:t>
      </w:r>
      <w:proofErr w:type="spellEnd"/>
      <w:r>
        <w:rPr>
          <w:rFonts w:hint="cs"/>
          <w:rtl/>
        </w:rPr>
        <w:t xml:space="preserve"> עד לתקופה מקסימאלית של </w:t>
      </w:r>
      <w:r w:rsidRPr="00D43772">
        <w:rPr>
          <w:rFonts w:hint="cs"/>
          <w:b/>
          <w:bCs/>
          <w:rtl/>
        </w:rPr>
        <w:t>שמונה חודשים מטעמים של ביטחון לאומי או סדר ציבורי</w:t>
      </w:r>
      <w:r>
        <w:rPr>
          <w:rFonts w:hint="cs"/>
          <w:rtl/>
        </w:rPr>
        <w:t>.</w:t>
      </w:r>
      <w:r>
        <w:rPr>
          <w:rStyle w:val="af2"/>
          <w:rtl/>
        </w:rPr>
        <w:footnoteReference w:id="27"/>
      </w:r>
      <w:r>
        <w:rPr>
          <w:rFonts w:hint="cs"/>
          <w:rtl/>
        </w:rPr>
        <w:t xml:space="preserve"> לא נמצאו נתונים מפורטים אודות </w:t>
      </w:r>
      <w:r>
        <w:rPr>
          <w:rFonts w:hint="cs"/>
          <w:rtl/>
        </w:rPr>
        <w:lastRenderedPageBreak/>
        <w:t xml:space="preserve">התנאים להחזקה במעצר אחרי שנדחתה בקשת מקלט. בהקשר זה יוזכר כי בלגיה מחויבת לדירקטיבת האיחוד בנושא. </w:t>
      </w:r>
    </w:p>
    <w:p w:rsidR="00E64A84" w:rsidRDefault="00E64A84" w:rsidP="00E64A84">
      <w:pPr>
        <w:pStyle w:val="af"/>
        <w:numPr>
          <w:ilvl w:val="0"/>
          <w:numId w:val="11"/>
        </w:numPr>
        <w:bidi/>
        <w:spacing w:after="120"/>
        <w:ind w:left="425" w:hanging="357"/>
        <w:contextualSpacing w:val="0"/>
      </w:pPr>
      <w:r>
        <w:rPr>
          <w:rFonts w:hint="cs"/>
          <w:b/>
          <w:bCs/>
          <w:u w:val="single"/>
          <w:rtl/>
        </w:rPr>
        <w:t>הולנד</w:t>
      </w:r>
      <w:r w:rsidRPr="00E35DD8">
        <w:rPr>
          <w:rFonts w:hint="cs"/>
          <w:rtl/>
        </w:rPr>
        <w:t>:</w:t>
      </w:r>
      <w:r>
        <w:rPr>
          <w:rFonts w:hint="cs"/>
          <w:rtl/>
        </w:rPr>
        <w:t xml:space="preserve"> החקיקה בהולנד מאפשרת מעצר של מהגרים ללא אשרת כניסה, לרבות מעצר של מבקשי מקלט, באחת משתי דרכים: מעצר בעת הגעה לנמל התעופה ומעצר של מי שכבר מצוי בתוך המדינה באופן בלתי-חוקי. </w:t>
      </w:r>
      <w:r w:rsidRPr="00D43772">
        <w:rPr>
          <w:rFonts w:hint="cs"/>
          <w:b/>
          <w:bCs/>
          <w:rtl/>
        </w:rPr>
        <w:t>החקיקה אינה קובעת תקופת מקסימום למעצר, אולם תקנות בנושא מגבילות את משך המעצר לששה חודשים</w:t>
      </w:r>
      <w:r w:rsidRPr="00772DB4">
        <w:rPr>
          <w:rFonts w:hint="cs"/>
          <w:rtl/>
        </w:rPr>
        <w:t>.</w:t>
      </w:r>
      <w:r w:rsidRPr="00D43772">
        <w:rPr>
          <w:rFonts w:hint="cs"/>
          <w:b/>
          <w:bCs/>
          <w:rtl/>
        </w:rPr>
        <w:t xml:space="preserve"> ניתן להאריך תקופה זו ב-12 חודשים</w:t>
      </w:r>
      <w:r w:rsidRPr="00772DB4">
        <w:rPr>
          <w:rFonts w:hint="cs"/>
          <w:rtl/>
        </w:rPr>
        <w:t xml:space="preserve"> </w:t>
      </w:r>
      <w:r w:rsidRPr="00D43772">
        <w:rPr>
          <w:rFonts w:hint="cs"/>
          <w:b/>
          <w:bCs/>
          <w:rtl/>
        </w:rPr>
        <w:t>נוספים</w:t>
      </w:r>
      <w:r w:rsidRPr="00772DB4">
        <w:rPr>
          <w:rFonts w:hint="cs"/>
          <w:rtl/>
        </w:rPr>
        <w:t xml:space="preserve"> אם הזר אינו משתף פעולה או שטרם סופקו ניירות ממדינה שלישית</w:t>
      </w:r>
      <w:r>
        <w:rPr>
          <w:rFonts w:hint="cs"/>
          <w:rtl/>
        </w:rPr>
        <w:t>.</w:t>
      </w:r>
      <w:r>
        <w:rPr>
          <w:rStyle w:val="af2"/>
          <w:rtl/>
        </w:rPr>
        <w:footnoteReference w:id="28"/>
      </w:r>
      <w:r>
        <w:rPr>
          <w:rFonts w:hint="cs"/>
          <w:rtl/>
        </w:rPr>
        <w:t xml:space="preserve"> </w:t>
      </w:r>
      <w:r w:rsidRPr="00FA01E2">
        <w:rPr>
          <w:rFonts w:hint="cs"/>
          <w:u w:val="single"/>
          <w:rtl/>
        </w:rPr>
        <w:t>ביחס למבקשי מקלט בפרט, במכתב של שר הפנים מפברואר 2013 נכתב, כי לאחר מספ</w:t>
      </w:r>
      <w:r>
        <w:rPr>
          <w:rFonts w:hint="cs"/>
          <w:u w:val="single"/>
          <w:rtl/>
        </w:rPr>
        <w:t>ר</w:t>
      </w:r>
      <w:r w:rsidRPr="00FA01E2">
        <w:rPr>
          <w:rFonts w:hint="cs"/>
          <w:u w:val="single"/>
          <w:rtl/>
        </w:rPr>
        <w:t xml:space="preserve"> שבועות מועברים הזרים למתקן שהייה פתוח וכי המעצר יופסק לאחר ששה שבועות אם טרם הוכרעה בקשת המקלט/מעמד</w:t>
      </w:r>
      <w:r>
        <w:rPr>
          <w:rFonts w:hint="cs"/>
          <w:rtl/>
        </w:rPr>
        <w:t xml:space="preserve"> (כאשר לא ברור אם הכוונה במונח מעצר הינה גם לשהייה במתקן הפתוח).</w:t>
      </w:r>
      <w:r>
        <w:rPr>
          <w:rStyle w:val="af2"/>
        </w:rPr>
        <w:footnoteReference w:id="29"/>
      </w:r>
      <w:r>
        <w:rPr>
          <w:rFonts w:hint="cs"/>
          <w:rtl/>
        </w:rPr>
        <w:t xml:space="preserve"> מדו"ח המחקר שפורסם בנושא עולה כי </w:t>
      </w:r>
      <w:r w:rsidRPr="00FA01E2">
        <w:rPr>
          <w:rFonts w:hint="cs"/>
          <w:u w:val="single"/>
          <w:rtl/>
        </w:rPr>
        <w:t>לא נבחנת חלופת מעצר</w:t>
      </w:r>
      <w:r>
        <w:rPr>
          <w:rFonts w:hint="cs"/>
          <w:rtl/>
        </w:rPr>
        <w:t xml:space="preserve"> בשלב ראשוני זה וכי הדבר עלול לעורר קושי אל מול הדירקטיבה בנושא.</w:t>
      </w:r>
      <w:r>
        <w:rPr>
          <w:rStyle w:val="af2"/>
          <w:rtl/>
        </w:rPr>
        <w:footnoteReference w:id="30"/>
      </w:r>
    </w:p>
    <w:p w:rsidR="00E64A84" w:rsidRDefault="00E64A84" w:rsidP="00E64A84">
      <w:pPr>
        <w:pStyle w:val="af"/>
        <w:numPr>
          <w:ilvl w:val="0"/>
          <w:numId w:val="11"/>
        </w:numPr>
        <w:bidi/>
        <w:spacing w:after="120"/>
        <w:ind w:left="425" w:hanging="357"/>
        <w:contextualSpacing w:val="0"/>
      </w:pPr>
      <w:r>
        <w:rPr>
          <w:rFonts w:hint="cs"/>
          <w:rtl/>
        </w:rPr>
        <w:t xml:space="preserve">גם מבקשי מקלט אשר נמצאים כבר בשטח המדינה וממתינים להכרעה בבקשתם או שבקשתם נדחתה עשויים להיות מוכנסים למעצר </w:t>
      </w:r>
      <w:r w:rsidRPr="00DE53F5">
        <w:rPr>
          <w:rFonts w:hint="cs"/>
          <w:u w:val="single"/>
          <w:rtl/>
        </w:rPr>
        <w:t>מטעמים של אינטרס או ביטחון ציבורי</w:t>
      </w:r>
      <w:r>
        <w:rPr>
          <w:rFonts w:hint="cs"/>
          <w:rtl/>
        </w:rPr>
        <w:t xml:space="preserve"> (מכוח סעיף 59 ל-</w:t>
      </w:r>
      <w:r>
        <w:t>Alien act</w:t>
      </w:r>
      <w:r>
        <w:rPr>
          <w:rFonts w:hint="cs"/>
          <w:rtl/>
        </w:rPr>
        <w:t xml:space="preserve">) </w:t>
      </w:r>
      <w:r w:rsidRPr="00685FE5">
        <w:rPr>
          <w:rFonts w:hint="cs"/>
          <w:u w:val="single"/>
          <w:rtl/>
        </w:rPr>
        <w:t>כאשר המעצר צופה פני גירוש</w:t>
      </w:r>
      <w:r>
        <w:rPr>
          <w:rFonts w:hint="cs"/>
          <w:rtl/>
        </w:rPr>
        <w:t xml:space="preserve"> (</w:t>
      </w:r>
      <w:r>
        <w:t>with a view to expulsion</w:t>
      </w:r>
      <w:r>
        <w:rPr>
          <w:rFonts w:hint="cs"/>
          <w:rtl/>
        </w:rPr>
        <w:t xml:space="preserve">). </w:t>
      </w:r>
      <w:r w:rsidRPr="00D43772">
        <w:rPr>
          <w:rFonts w:hint="cs"/>
          <w:u w:val="single"/>
          <w:rtl/>
        </w:rPr>
        <w:t>המעצר הינו חלופה אחרונה</w:t>
      </w:r>
      <w:r>
        <w:rPr>
          <w:rFonts w:hint="cs"/>
          <w:rtl/>
        </w:rPr>
        <w:t xml:space="preserve"> לאחר שנבחנו האינטרסים הפרטניים של אותו אדם מול השיקולים הציבוריים שבמעצר. אינטרס ציבורי מוגדר בהנחיות מחייבות של הממשלה כסכנה שהזר יחמוק מאמצעי המעקב אחריו או יחרים את הליכי הגירוש/הרחקה. למשל, נקבע ע"י ערכאת הערעור המנהלתית בנושא כי מעצר של מבקשי מקלט מהטעם של אינטרס ציבורי אך ורק בשל שהות במדינה ללא מסמכים אינו מוצדק. </w:t>
      </w:r>
    </w:p>
    <w:p w:rsidR="00E64A84" w:rsidRDefault="00E64A84" w:rsidP="00E64A84">
      <w:pPr>
        <w:pStyle w:val="af"/>
        <w:numPr>
          <w:ilvl w:val="0"/>
          <w:numId w:val="11"/>
        </w:numPr>
        <w:bidi/>
        <w:spacing w:after="120"/>
        <w:ind w:left="425" w:hanging="357"/>
        <w:contextualSpacing w:val="0"/>
      </w:pPr>
      <w:r>
        <w:rPr>
          <w:rFonts w:hint="cs"/>
          <w:rtl/>
        </w:rPr>
        <w:t>נהלים פנימיים קובעים כי יש לתת תשומת לב מיוחדת למבקשי מקלט וליישם את הסמכות בצורה מצומצמת ככל הניתן.</w:t>
      </w:r>
      <w:r>
        <w:rPr>
          <w:rStyle w:val="af2"/>
          <w:rtl/>
        </w:rPr>
        <w:footnoteReference w:id="31"/>
      </w:r>
      <w:r>
        <w:rPr>
          <w:rFonts w:hint="cs"/>
          <w:rtl/>
        </w:rPr>
        <w:t xml:space="preserve"> כמו כן, על המדינה מוטלת חובה לפעול בחריצות לטובת ביצוע הגירוש מקום שאדם נתון במעצר מכוח סעיף 59. אם לא מתקיים הליך נאות בעניינו, המעצר הופך להיות בלתי חוקי.</w:t>
      </w:r>
      <w:r>
        <w:rPr>
          <w:rStyle w:val="af2"/>
          <w:rtl/>
        </w:rPr>
        <w:footnoteReference w:id="32"/>
      </w:r>
      <w:r>
        <w:rPr>
          <w:rFonts w:hint="cs"/>
          <w:rtl/>
        </w:rPr>
        <w:t xml:space="preserve"> לפי הנתונים בדו"ח, בשנת 2012 הוחזקו במעצר 5,420 מהגרים, מרביתם לתקופה קצרה משלושה חודשים; 690 איש בין שלושה לששה חודשים; ו-900 לתקופה שעלתה על תשעה חודשים. נסיבות המעצר אינן מפורטות. </w:t>
      </w:r>
    </w:p>
    <w:p w:rsidR="00E64A84" w:rsidRDefault="00E64A84" w:rsidP="00E64A84">
      <w:pPr>
        <w:pStyle w:val="af"/>
        <w:numPr>
          <w:ilvl w:val="0"/>
          <w:numId w:val="11"/>
        </w:numPr>
        <w:bidi/>
        <w:spacing w:after="120"/>
        <w:ind w:left="425" w:hanging="357"/>
        <w:contextualSpacing w:val="0"/>
      </w:pPr>
      <w:r w:rsidRPr="00163B97">
        <w:rPr>
          <w:rFonts w:hint="cs"/>
          <w:b/>
          <w:bCs/>
          <w:u w:val="single"/>
          <w:rtl/>
        </w:rPr>
        <w:t>דנמרק</w:t>
      </w:r>
      <w:r>
        <w:rPr>
          <w:rFonts w:hint="cs"/>
          <w:rtl/>
        </w:rPr>
        <w:t>: דנמרק אינה כפופה לדירקטיבות של האיחוד האירופי שתוארו לעיל. עם זאת, באתר מכון מחקר בנושא מעצר מהגרים צוין כי ככלל, השימוש במעצר אינו נפוץ ובד"כ משמש כחלופה אחרונה; בפרט, מבקשי מקלט בד"כ אינם מוחזקים במעצר. החוק קובע כי ניתן לשלול את חירותו של מבקש מקלט מקום שמשבש את ההליכים לבירור בקשתו. כמו כן, ניתן להגביל את מגוריהם של מבקשי מקלט למתקן של רשות ההגירה (</w:t>
      </w:r>
      <w:r>
        <w:t>non-secure accommodation center</w:t>
      </w:r>
      <w:r>
        <w:rPr>
          <w:rFonts w:hint="cs"/>
          <w:rtl/>
        </w:rPr>
        <w:t>) בזמן הטיפול בבקשתם.</w:t>
      </w:r>
      <w:r>
        <w:rPr>
          <w:rStyle w:val="af2"/>
          <w:rtl/>
        </w:rPr>
        <w:footnoteReference w:id="33"/>
      </w:r>
      <w:r>
        <w:rPr>
          <w:rFonts w:hint="cs"/>
          <w:rtl/>
        </w:rPr>
        <w:t xml:space="preserve"> </w:t>
      </w:r>
      <w:r w:rsidRPr="000A15F4">
        <w:rPr>
          <w:rFonts w:hint="cs"/>
          <w:b/>
          <w:bCs/>
          <w:rtl/>
        </w:rPr>
        <w:t>לא קיימת בחקיקה תקופת מקסימום</w:t>
      </w:r>
      <w:r>
        <w:rPr>
          <w:rFonts w:hint="cs"/>
          <w:rtl/>
        </w:rPr>
        <w:t xml:space="preserve"> למעצר וכתוצאה מכך, צוין כי גופים לא-מדינתיים ביקרו את המצב בדנמרק, אשר עלול להוביל לתקופת מעצר ממושכת שמגיעה אפילו עד כדי שנתיים במקרים מסוימים שתועדו (לא פורטו הנסיבות).</w:t>
      </w:r>
      <w:r>
        <w:rPr>
          <w:rStyle w:val="af2"/>
          <w:rtl/>
        </w:rPr>
        <w:footnoteReference w:id="34"/>
      </w:r>
    </w:p>
    <w:p w:rsidR="000434E0" w:rsidRDefault="000434E0" w:rsidP="00E64A84">
      <w:pPr>
        <w:bidi/>
        <w:spacing w:after="120"/>
        <w:rPr>
          <w:rtl/>
        </w:rPr>
      </w:pPr>
    </w:p>
    <w:p w:rsidR="00B40032" w:rsidRDefault="00B40032" w:rsidP="00B40032">
      <w:pPr>
        <w:bidi/>
        <w:spacing w:after="120"/>
        <w:jc w:val="center"/>
        <w:rPr>
          <w:rtl/>
        </w:rPr>
      </w:pPr>
      <w:r>
        <w:rPr>
          <w:rFonts w:hint="cs"/>
          <w:rtl/>
        </w:rPr>
        <w:t>***</w:t>
      </w:r>
    </w:p>
    <w:sectPr w:rsidR="00B40032" w:rsidSect="00B657A3">
      <w:headerReference w:type="default" r:id="rId9"/>
      <w:footerReference w:type="default" r:id="rId10"/>
      <w:headerReference w:type="first" r:id="rId11"/>
      <w:footerReference w:type="first" r:id="rId12"/>
      <w:pgSz w:w="11907" w:h="16839" w:code="9"/>
      <w:pgMar w:top="1417" w:right="1417" w:bottom="1417" w:left="1417" w:header="432" w:footer="144"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106F6" w:rsidRDefault="007106F6" w:rsidP="00B95AC1">
      <w:pPr>
        <w:spacing w:after="0" w:line="240" w:lineRule="auto"/>
      </w:pPr>
      <w:r>
        <w:separator/>
      </w:r>
    </w:p>
  </w:endnote>
  <w:endnote w:type="continuationSeparator" w:id="0">
    <w:p w:rsidR="007106F6" w:rsidRDefault="007106F6" w:rsidP="00B95AC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David">
    <w:panose1 w:val="020E0502060401010101"/>
    <w:charset w:val="B1"/>
    <w:family w:val="swiss"/>
    <w:pitch w:val="variable"/>
    <w:sig w:usb0="00000801" w:usb1="00000000" w:usb2="00000000" w:usb3="00000000" w:csb0="0000002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157E2" w:rsidRPr="00EB4315" w:rsidRDefault="00F157E2" w:rsidP="00E93B47">
    <w:pPr>
      <w:jc w:val="center"/>
      <w:rPr>
        <w:rFonts w:cs="Times New Roman"/>
      </w:rPr>
    </w:pPr>
    <w:r>
      <w:rPr>
        <w:noProof/>
      </w:rPr>
      <w:drawing>
        <wp:inline distT="0" distB="0" distL="0" distR="0" wp14:anchorId="353F9A36" wp14:editId="640BDDAF">
          <wp:extent cx="5756910" cy="358140"/>
          <wp:effectExtent l="0" t="0" r="0" b="0"/>
          <wp:docPr id="2" name="תמונה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56910" cy="358140"/>
                  </a:xfrm>
                  <a:prstGeom prst="rect">
                    <a:avLst/>
                  </a:prstGeom>
                  <a:noFill/>
                  <a:ln>
                    <a:noFill/>
                  </a:ln>
                </pic:spPr>
              </pic:pic>
            </a:graphicData>
          </a:graphic>
        </wp:inline>
      </w:drawing>
    </w:r>
    <w:r>
      <w:br/>
    </w:r>
    <w:r>
      <w:rPr>
        <w:rFonts w:cs="Times New Roman"/>
      </w:rPr>
      <w:fldChar w:fldCharType="begin"/>
    </w:r>
    <w:r>
      <w:rPr>
        <w:rFonts w:cs="Times New Roman"/>
      </w:rPr>
      <w:instrText xml:space="preserve"> IF </w:instrText>
    </w:r>
    <w:r>
      <w:rPr>
        <w:rFonts w:cs="Times New Roman"/>
      </w:rPr>
      <w:fldChar w:fldCharType="begin"/>
    </w:r>
    <w:r>
      <w:rPr>
        <w:rFonts w:cs="Times New Roman"/>
      </w:rPr>
      <w:instrText xml:space="preserve"> = </w:instrText>
    </w:r>
    <w:r>
      <w:rPr>
        <w:rFonts w:cs="Times New Roman"/>
      </w:rPr>
      <w:fldChar w:fldCharType="begin"/>
    </w:r>
    <w:r>
      <w:rPr>
        <w:rFonts w:cs="Times New Roman"/>
      </w:rPr>
      <w:instrText>NUMPAGES</w:instrText>
    </w:r>
    <w:r>
      <w:rPr>
        <w:rFonts w:cs="Times New Roman"/>
      </w:rPr>
      <w:fldChar w:fldCharType="separate"/>
    </w:r>
    <w:r w:rsidR="00555783">
      <w:rPr>
        <w:rFonts w:cs="Times New Roman"/>
        <w:noProof/>
      </w:rPr>
      <w:instrText>5</w:instrText>
    </w:r>
    <w:r>
      <w:rPr>
        <w:rFonts w:cs="Times New Roman"/>
      </w:rPr>
      <w:fldChar w:fldCharType="end"/>
    </w:r>
    <w:r>
      <w:rPr>
        <w:rFonts w:cs="Times New Roman"/>
      </w:rPr>
      <w:instrText xml:space="preserve"> </w:instrText>
    </w:r>
    <w:r>
      <w:rPr>
        <w:rFonts w:cs="Times New Roman"/>
      </w:rPr>
      <w:fldChar w:fldCharType="separate"/>
    </w:r>
    <w:r w:rsidR="00555783">
      <w:rPr>
        <w:rFonts w:cs="Times New Roman"/>
        <w:noProof/>
      </w:rPr>
      <w:instrText>5</w:instrText>
    </w:r>
    <w:r>
      <w:rPr>
        <w:rFonts w:cs="Times New Roman"/>
      </w:rPr>
      <w:fldChar w:fldCharType="end"/>
    </w:r>
    <w:r>
      <w:rPr>
        <w:rFonts w:cs="Times New Roman"/>
      </w:rPr>
      <w:instrText xml:space="preserve"> &gt; 1 "</w:instrText>
    </w:r>
    <w:r>
      <w:rPr>
        <w:rFonts w:cs="Times New Roman"/>
      </w:rPr>
      <w:fldChar w:fldCharType="begin"/>
    </w:r>
    <w:r>
      <w:rPr>
        <w:rFonts w:cs="Times New Roman"/>
      </w:rPr>
      <w:instrText>PAGE</w:instrText>
    </w:r>
    <w:r>
      <w:rPr>
        <w:rFonts w:cs="Times New Roman"/>
      </w:rPr>
      <w:fldChar w:fldCharType="separate"/>
    </w:r>
    <w:r w:rsidR="00555783">
      <w:rPr>
        <w:rFonts w:cs="Times New Roman"/>
        <w:noProof/>
      </w:rPr>
      <w:instrText>5</w:instrText>
    </w:r>
    <w:r>
      <w:rPr>
        <w:rFonts w:cs="Times New Roman"/>
      </w:rPr>
      <w:fldChar w:fldCharType="end"/>
    </w:r>
    <w:r>
      <w:rPr>
        <w:rFonts w:cs="Times New Roman"/>
      </w:rPr>
      <w:instrText>" "</w:instrText>
    </w:r>
    <w:r>
      <w:rPr>
        <w:rFonts w:cs="Times New Roman"/>
      </w:rPr>
      <w:br/>
      <w:instrText xml:space="preserve">" </w:instrText>
    </w:r>
    <w:r>
      <w:rPr>
        <w:rFonts w:cs="Times New Roman"/>
      </w:rPr>
      <w:fldChar w:fldCharType="separate"/>
    </w:r>
    <w:r w:rsidR="00555783">
      <w:rPr>
        <w:rFonts w:cs="Times New Roman"/>
        <w:noProof/>
      </w:rPr>
      <w:t>5</w:t>
    </w:r>
    <w:r>
      <w:rPr>
        <w:rFonts w:cs="Times New Roman"/>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157E2" w:rsidRPr="00BD3002" w:rsidRDefault="00F157E2" w:rsidP="00E93B47">
    <w:pPr>
      <w:jc w:val="center"/>
      <w:rPr>
        <w:rFonts w:cs="Times New Roman"/>
      </w:rPr>
    </w:pPr>
    <w:r>
      <w:rPr>
        <w:noProof/>
      </w:rPr>
      <w:drawing>
        <wp:inline distT="0" distB="0" distL="0" distR="0" wp14:anchorId="0B96F547" wp14:editId="394C4CE1">
          <wp:extent cx="5756910" cy="358140"/>
          <wp:effectExtent l="0" t="0" r="0" b="0"/>
          <wp:docPr id="4" name="תמונה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56910" cy="358140"/>
                  </a:xfrm>
                  <a:prstGeom prst="rect">
                    <a:avLst/>
                  </a:prstGeom>
                  <a:noFill/>
                  <a:ln>
                    <a:noFill/>
                  </a:ln>
                </pic:spPr>
              </pic:pic>
            </a:graphicData>
          </a:graphic>
        </wp:inline>
      </w:drawing>
    </w:r>
    <w:r>
      <w:rPr>
        <w:rFonts w:cs="Times New Roman"/>
      </w:rPr>
      <w:fldChar w:fldCharType="begin"/>
    </w:r>
    <w:r>
      <w:rPr>
        <w:rFonts w:cs="Times New Roman"/>
      </w:rPr>
      <w:instrText xml:space="preserve"> IF </w:instrText>
    </w:r>
    <w:r>
      <w:rPr>
        <w:rFonts w:cs="Times New Roman"/>
      </w:rPr>
      <w:fldChar w:fldCharType="begin"/>
    </w:r>
    <w:r>
      <w:rPr>
        <w:rFonts w:cs="Times New Roman"/>
      </w:rPr>
      <w:instrText xml:space="preserve"> = </w:instrText>
    </w:r>
    <w:r>
      <w:rPr>
        <w:rFonts w:cs="Times New Roman"/>
      </w:rPr>
      <w:fldChar w:fldCharType="begin"/>
    </w:r>
    <w:r>
      <w:rPr>
        <w:rFonts w:cs="Times New Roman"/>
      </w:rPr>
      <w:instrText>NUMPAGES</w:instrText>
    </w:r>
    <w:r>
      <w:rPr>
        <w:rFonts w:cs="Times New Roman"/>
      </w:rPr>
      <w:fldChar w:fldCharType="separate"/>
    </w:r>
    <w:r w:rsidR="00555783">
      <w:rPr>
        <w:rFonts w:cs="Times New Roman"/>
        <w:noProof/>
      </w:rPr>
      <w:instrText>1</w:instrText>
    </w:r>
    <w:r>
      <w:rPr>
        <w:rFonts w:cs="Times New Roman"/>
      </w:rPr>
      <w:fldChar w:fldCharType="end"/>
    </w:r>
    <w:r>
      <w:rPr>
        <w:rFonts w:cs="Times New Roman"/>
      </w:rPr>
      <w:instrText xml:space="preserve"> </w:instrText>
    </w:r>
    <w:r>
      <w:rPr>
        <w:rFonts w:cs="Times New Roman"/>
      </w:rPr>
      <w:fldChar w:fldCharType="separate"/>
    </w:r>
    <w:r w:rsidR="00555783">
      <w:rPr>
        <w:rFonts w:cs="Times New Roman"/>
        <w:noProof/>
      </w:rPr>
      <w:instrText>1</w:instrText>
    </w:r>
    <w:r>
      <w:rPr>
        <w:rFonts w:cs="Times New Roman"/>
      </w:rPr>
      <w:fldChar w:fldCharType="end"/>
    </w:r>
    <w:r>
      <w:rPr>
        <w:rFonts w:cs="Times New Roman"/>
      </w:rPr>
      <w:instrText xml:space="preserve"> &gt; 1 "</w:instrText>
    </w:r>
    <w:r>
      <w:rPr>
        <w:rFonts w:cs="Times New Roman"/>
      </w:rPr>
      <w:fldChar w:fldCharType="begin"/>
    </w:r>
    <w:r>
      <w:rPr>
        <w:rFonts w:cs="Times New Roman"/>
      </w:rPr>
      <w:instrText>PAGE</w:instrText>
    </w:r>
    <w:r>
      <w:rPr>
        <w:rFonts w:cs="Times New Roman"/>
      </w:rPr>
      <w:fldChar w:fldCharType="separate"/>
    </w:r>
    <w:r w:rsidR="007D6B1F">
      <w:rPr>
        <w:rFonts w:cs="Times New Roman"/>
        <w:noProof/>
      </w:rPr>
      <w:instrText>1</w:instrText>
    </w:r>
    <w:r>
      <w:rPr>
        <w:rFonts w:cs="Times New Roman"/>
      </w:rPr>
      <w:fldChar w:fldCharType="end"/>
    </w:r>
    <w:r>
      <w:rPr>
        <w:rFonts w:cs="Times New Roman"/>
      </w:rPr>
      <w:instrText>" "</w:instrText>
    </w:r>
    <w:r>
      <w:rPr>
        <w:rFonts w:cs="Times New Roman"/>
      </w:rPr>
      <w:br/>
      <w:instrText xml:space="preserve">" </w:instrText>
    </w:r>
    <w:r>
      <w:rPr>
        <w:rFonts w:cs="Times New Roman"/>
      </w:rPr>
      <w:fldChar w:fldCharType="separate"/>
    </w:r>
    <w:r w:rsidR="00555783">
      <w:rPr>
        <w:rFonts w:cs="Times New Roman"/>
        <w:noProof/>
      </w:rPr>
      <w:br/>
    </w:r>
    <w:r>
      <w:rPr>
        <w:rFonts w:cs="Times New Roman"/>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106F6" w:rsidRDefault="007106F6" w:rsidP="000434E0">
      <w:pPr>
        <w:bidi/>
        <w:spacing w:after="0" w:line="240" w:lineRule="auto"/>
      </w:pPr>
      <w:r>
        <w:separator/>
      </w:r>
    </w:p>
  </w:footnote>
  <w:footnote w:type="continuationSeparator" w:id="0">
    <w:p w:rsidR="007106F6" w:rsidRDefault="007106F6" w:rsidP="00B95AC1">
      <w:pPr>
        <w:spacing w:after="0" w:line="240" w:lineRule="auto"/>
      </w:pPr>
      <w:r>
        <w:continuationSeparator/>
      </w:r>
    </w:p>
  </w:footnote>
  <w:footnote w:id="1">
    <w:p w:rsidR="00F157E2" w:rsidRDefault="00F157E2" w:rsidP="000A15F4">
      <w:pPr>
        <w:pStyle w:val="af0"/>
        <w:bidi/>
        <w:rPr>
          <w:rtl/>
        </w:rPr>
      </w:pPr>
      <w:r>
        <w:rPr>
          <w:rStyle w:val="af2"/>
        </w:rPr>
        <w:footnoteRef/>
      </w:r>
      <w:r>
        <w:rPr>
          <w:rFonts w:hint="cs"/>
          <w:rtl/>
        </w:rPr>
        <w:t xml:space="preserve"> מזכר זה נכתב על-ידי עו"ד גלית רג'ואן.</w:t>
      </w:r>
    </w:p>
  </w:footnote>
  <w:footnote w:id="2">
    <w:p w:rsidR="00F157E2" w:rsidRDefault="00F157E2" w:rsidP="00E64A84">
      <w:pPr>
        <w:pStyle w:val="af0"/>
        <w:bidi/>
        <w:rPr>
          <w:rtl/>
        </w:rPr>
      </w:pPr>
      <w:r>
        <w:rPr>
          <w:rStyle w:val="af2"/>
        </w:rPr>
        <w:footnoteRef/>
      </w:r>
      <w:r>
        <w:t xml:space="preserve"> </w:t>
      </w:r>
      <w:r>
        <w:rPr>
          <w:rFonts w:hint="cs"/>
          <w:rtl/>
        </w:rPr>
        <w:t xml:space="preserve"> </w:t>
      </w:r>
      <w:hyperlink r:id="rId1" w:history="1">
        <w:r w:rsidRPr="00176E10">
          <w:rPr>
            <w:rStyle w:val="Hyperlink"/>
          </w:rPr>
          <w:t>http://eur-lex.europa.eu/LexUriServ/LexUriServ.do?uri=OJ:L:2013:180:0096:0116:EN:PDF</w:t>
        </w:r>
      </w:hyperlink>
      <w:r>
        <w:rPr>
          <w:rFonts w:hint="cs"/>
          <w:rtl/>
        </w:rPr>
        <w:t xml:space="preserve">. </w:t>
      </w:r>
    </w:p>
  </w:footnote>
  <w:footnote w:id="3">
    <w:p w:rsidR="00F157E2" w:rsidRDefault="00F157E2" w:rsidP="00E64A84">
      <w:pPr>
        <w:pStyle w:val="af0"/>
        <w:bidi/>
        <w:rPr>
          <w:rtl/>
        </w:rPr>
      </w:pPr>
      <w:r>
        <w:rPr>
          <w:rStyle w:val="af2"/>
        </w:rPr>
        <w:footnoteRef/>
      </w:r>
      <w:r>
        <w:t xml:space="preserve"> </w:t>
      </w:r>
      <w:r>
        <w:rPr>
          <w:rFonts w:hint="cs"/>
          <w:rtl/>
        </w:rPr>
        <w:t xml:space="preserve"> סעיף 8(2):</w:t>
      </w:r>
    </w:p>
    <w:p w:rsidR="00F157E2" w:rsidRDefault="00F157E2" w:rsidP="00E64A84">
      <w:pPr>
        <w:pStyle w:val="af0"/>
      </w:pPr>
      <w:r>
        <w:t xml:space="preserve">When it proves necessary </w:t>
      </w:r>
      <w:r w:rsidRPr="00506E13">
        <w:rPr>
          <w:i/>
          <w:iCs/>
        </w:rPr>
        <w:t>and on the basis of an individual assessment of each case</w:t>
      </w:r>
      <w:r>
        <w:t xml:space="preserve">, Member States may detain an applicant, </w:t>
      </w:r>
      <w:r w:rsidRPr="00506E13">
        <w:rPr>
          <w:i/>
          <w:iCs/>
        </w:rPr>
        <w:t>if other less coercive alternative measures cannot be applied effectively</w:t>
      </w:r>
      <w:r>
        <w:t>. (</w:t>
      </w:r>
      <w:r>
        <w:rPr>
          <w:rFonts w:hint="cs"/>
          <w:rtl/>
        </w:rPr>
        <w:t>ההדגשות הוספו</w:t>
      </w:r>
      <w:r>
        <w:t>)</w:t>
      </w:r>
    </w:p>
  </w:footnote>
  <w:footnote w:id="4">
    <w:p w:rsidR="00F157E2" w:rsidRDefault="00F157E2" w:rsidP="00E64A84">
      <w:pPr>
        <w:pStyle w:val="af0"/>
        <w:bidi/>
        <w:rPr>
          <w:rtl/>
        </w:rPr>
      </w:pPr>
      <w:r>
        <w:rPr>
          <w:rStyle w:val="af2"/>
        </w:rPr>
        <w:footnoteRef/>
      </w:r>
      <w:r>
        <w:t xml:space="preserve"> </w:t>
      </w:r>
      <w:r>
        <w:rPr>
          <w:rFonts w:hint="cs"/>
          <w:rtl/>
        </w:rPr>
        <w:t xml:space="preserve"> סעיף 8(3) לדירקטיבה.</w:t>
      </w:r>
    </w:p>
  </w:footnote>
  <w:footnote w:id="5">
    <w:p w:rsidR="00F157E2" w:rsidRPr="00A773CC" w:rsidRDefault="00F157E2" w:rsidP="00E64A84">
      <w:pPr>
        <w:pStyle w:val="af0"/>
        <w:bidi/>
      </w:pPr>
      <w:r w:rsidRPr="00A773CC">
        <w:rPr>
          <w:rStyle w:val="af2"/>
        </w:rPr>
        <w:footnoteRef/>
      </w:r>
      <w:r w:rsidRPr="00A773CC">
        <w:rPr>
          <w:rFonts w:hint="cs"/>
          <w:rtl/>
        </w:rPr>
        <w:t xml:space="preserve"> </w:t>
      </w:r>
      <w:proofErr w:type="spellStart"/>
      <w:proofErr w:type="gramStart"/>
      <w:r w:rsidRPr="00A773CC">
        <w:t>Saadi</w:t>
      </w:r>
      <w:proofErr w:type="spellEnd"/>
      <w:r w:rsidRPr="00A773CC">
        <w:t xml:space="preserve"> v UK (2008) 47 EHRR 427</w:t>
      </w:r>
      <w:r w:rsidRPr="00A773CC">
        <w:rPr>
          <w:rFonts w:hint="cs"/>
          <w:rtl/>
        </w:rPr>
        <w:t xml:space="preserve">, </w:t>
      </w:r>
      <w:hyperlink r:id="rId2" w:history="1">
        <w:r w:rsidRPr="00A773CC">
          <w:rPr>
            <w:rStyle w:val="Hyperlink"/>
          </w:rPr>
          <w:t>http://www.refworld.org/cgi-bin/texis/vtx/rwmain?docid=47a074302</w:t>
        </w:r>
      </w:hyperlink>
      <w:r w:rsidRPr="00A773CC">
        <w:rPr>
          <w:rFonts w:hint="cs"/>
          <w:rtl/>
        </w:rPr>
        <w:t>.</w:t>
      </w:r>
      <w:proofErr w:type="gramEnd"/>
      <w:r w:rsidRPr="00A773CC">
        <w:rPr>
          <w:rFonts w:hint="cs"/>
          <w:rtl/>
        </w:rPr>
        <w:t xml:space="preserve"> </w:t>
      </w:r>
      <w:r w:rsidRPr="00163909">
        <w:rPr>
          <w:rtl/>
        </w:rPr>
        <w:t>באותו מקרה המעצר נועד לאפשר בחינה זריזה של בקשת הכניסה לבריטניה (בפסה"ד צוין כי באותה העת הוגשו כ-7,000 בקשות מקלט מדי חודש), כאשר ההחזקה במעצר אפשרה נגישות למבקש והקלה על הרשויות את הבירור, ולא הייתה מבוססת על חשד ספציפי שהעצורים יסרבו לשתף פעולה או יברחו במידה שתתאפשר כניסתם למדינה. אם לא ניתן היה להשלים את הבירור תוך שבעה ימים, התחייבה הממשלה בפני בית הנבחרים לאפשר כניסה למדינה, בהעדר נסיבות מיוחדות</w:t>
      </w:r>
      <w:r>
        <w:rPr>
          <w:rFonts w:hint="cs"/>
          <w:rtl/>
        </w:rPr>
        <w:t xml:space="preserve"> (פסקה 13 לפסה"ד)</w:t>
      </w:r>
      <w:r w:rsidRPr="00163909">
        <w:rPr>
          <w:rtl/>
        </w:rPr>
        <w:t>.</w:t>
      </w:r>
    </w:p>
  </w:footnote>
  <w:footnote w:id="6">
    <w:p w:rsidR="00F157E2" w:rsidRPr="00A773CC" w:rsidRDefault="00F157E2" w:rsidP="00E64A84">
      <w:pPr>
        <w:pStyle w:val="af0"/>
        <w:bidi/>
        <w:rPr>
          <w:rtl/>
        </w:rPr>
      </w:pPr>
      <w:r w:rsidRPr="00A773CC">
        <w:rPr>
          <w:rStyle w:val="af2"/>
        </w:rPr>
        <w:footnoteRef/>
      </w:r>
      <w:r w:rsidRPr="00A773CC">
        <w:rPr>
          <w:rFonts w:hint="cs"/>
          <w:rtl/>
        </w:rPr>
        <w:t xml:space="preserve"> פסקה 74.</w:t>
      </w:r>
    </w:p>
  </w:footnote>
  <w:footnote w:id="7">
    <w:p w:rsidR="00F157E2" w:rsidRPr="00A773CC" w:rsidRDefault="00F157E2" w:rsidP="00E64A84">
      <w:pPr>
        <w:pStyle w:val="af0"/>
        <w:bidi/>
        <w:rPr>
          <w:rtl/>
        </w:rPr>
      </w:pPr>
      <w:r w:rsidRPr="00A773CC">
        <w:rPr>
          <w:rStyle w:val="af2"/>
        </w:rPr>
        <w:footnoteRef/>
      </w:r>
      <w:r w:rsidRPr="00A773CC">
        <w:rPr>
          <w:rtl/>
        </w:rPr>
        <w:t xml:space="preserve"> </w:t>
      </w:r>
      <w:r w:rsidRPr="00A773CC">
        <w:t>Directive 2008/115/EC of the European Parliament and of the Council of 16 December 2008 on common standards and procedures in Member States for returning illegally staying third-country nationals</w:t>
      </w:r>
      <w:r w:rsidRPr="00A773CC">
        <w:rPr>
          <w:rFonts w:hint="cs"/>
          <w:rtl/>
        </w:rPr>
        <w:t xml:space="preserve">, ראו: </w:t>
      </w:r>
      <w:hyperlink r:id="rId3" w:history="1">
        <w:r w:rsidRPr="00A773CC">
          <w:rPr>
            <w:rStyle w:val="Hyperlink"/>
          </w:rPr>
          <w:t>http://eur-lex.europa.eu/LexUriServ/LexUriServ.do?uri=OJ:L:2008:348:0098:0107:EN:PDF</w:t>
        </w:r>
      </w:hyperlink>
      <w:r w:rsidRPr="00A773CC">
        <w:rPr>
          <w:rFonts w:hint="cs"/>
          <w:rtl/>
        </w:rPr>
        <w:t xml:space="preserve">. </w:t>
      </w:r>
    </w:p>
  </w:footnote>
  <w:footnote w:id="8">
    <w:p w:rsidR="00F157E2" w:rsidRPr="0077249F" w:rsidRDefault="00F157E2" w:rsidP="00E64A84">
      <w:pPr>
        <w:bidi/>
        <w:spacing w:after="0"/>
        <w:jc w:val="left"/>
        <w:rPr>
          <w:rFonts w:ascii="Arial" w:hAnsi="Arial" w:cs="Arial"/>
          <w:color w:val="1F497D"/>
          <w:sz w:val="20"/>
          <w:szCs w:val="20"/>
          <w:rtl/>
        </w:rPr>
      </w:pPr>
      <w:r w:rsidRPr="0077249F">
        <w:rPr>
          <w:rStyle w:val="af2"/>
          <w:sz w:val="20"/>
          <w:szCs w:val="20"/>
        </w:rPr>
        <w:footnoteRef/>
      </w:r>
      <w:r w:rsidRPr="0077249F">
        <w:rPr>
          <w:rFonts w:hint="cs"/>
          <w:sz w:val="20"/>
          <w:szCs w:val="20"/>
          <w:rtl/>
        </w:rPr>
        <w:t xml:space="preserve"> </w:t>
      </w:r>
      <w:hyperlink r:id="rId4" w:anchor="texte" w:history="1">
        <w:r w:rsidRPr="0077249F">
          <w:rPr>
            <w:rStyle w:val="Hyperlink"/>
            <w:rFonts w:hint="cs"/>
            <w:sz w:val="20"/>
            <w:szCs w:val="20"/>
          </w:rPr>
          <w:t>http://eur-lex.europa.eu/Notice.do?val=503344:cs&amp;lang=en&amp;list=503344:cs,&amp;pos=1&amp;page=1&amp;nbl=1&amp;pgs=10&amp;hwords=&amp;checktexte=checkbox&amp;visu=#texte</w:t>
        </w:r>
      </w:hyperlink>
      <w:r>
        <w:rPr>
          <w:rFonts w:hint="cs"/>
          <w:rtl/>
        </w:rPr>
        <w:t>.</w:t>
      </w:r>
    </w:p>
  </w:footnote>
  <w:footnote w:id="9">
    <w:p w:rsidR="00F157E2" w:rsidRPr="00A773CC" w:rsidRDefault="00F157E2" w:rsidP="00E64A84">
      <w:pPr>
        <w:pStyle w:val="af0"/>
        <w:bidi/>
        <w:rPr>
          <w:rtl/>
        </w:rPr>
      </w:pPr>
      <w:r w:rsidRPr="00A773CC">
        <w:rPr>
          <w:rStyle w:val="af2"/>
        </w:rPr>
        <w:footnoteRef/>
      </w:r>
      <w:r w:rsidRPr="00A773CC">
        <w:rPr>
          <w:rtl/>
        </w:rPr>
        <w:t xml:space="preserve"> </w:t>
      </w:r>
      <w:r w:rsidRPr="00A773CC">
        <w:rPr>
          <w:rFonts w:hint="cs"/>
          <w:rtl/>
        </w:rPr>
        <w:t xml:space="preserve">ראו: </w:t>
      </w:r>
      <w:hyperlink r:id="rId5" w:history="1">
        <w:r w:rsidRPr="00A773CC">
          <w:rPr>
            <w:rStyle w:val="Hyperlink"/>
          </w:rPr>
          <w:t>http://www.immi.gov.au/managing-australias-borders/detention/_pdf/immigration-detention-statistics-feb2013.pdf</w:t>
        </w:r>
      </w:hyperlink>
      <w:r w:rsidRPr="00A773CC">
        <w:rPr>
          <w:rFonts w:hint="cs"/>
          <w:rtl/>
        </w:rPr>
        <w:t xml:space="preserve">. </w:t>
      </w:r>
    </w:p>
  </w:footnote>
  <w:footnote w:id="10">
    <w:p w:rsidR="00F157E2" w:rsidRPr="00A773CC" w:rsidRDefault="00F157E2" w:rsidP="00E64A84">
      <w:pPr>
        <w:pStyle w:val="af0"/>
        <w:contextualSpacing/>
      </w:pPr>
      <w:r w:rsidRPr="00A773CC">
        <w:rPr>
          <w:rStyle w:val="af2"/>
        </w:rPr>
        <w:footnoteRef/>
      </w:r>
      <w:r w:rsidRPr="00A773CC">
        <w:rPr>
          <w:rtl/>
        </w:rPr>
        <w:t xml:space="preserve"> </w:t>
      </w:r>
      <w:hyperlink r:id="rId6" w:history="1">
        <w:r w:rsidRPr="00A773CC">
          <w:rPr>
            <w:rStyle w:val="Hyperlink"/>
          </w:rPr>
          <w:t>http://www.canlii.org/en/ca/fct/doc/1997/1997canlii5356/1997canlii5356.html</w:t>
        </w:r>
      </w:hyperlink>
      <w:r w:rsidRPr="00A773CC">
        <w:rPr>
          <w:rFonts w:hint="cs"/>
          <w:rtl/>
        </w:rPr>
        <w:t xml:space="preserve"> </w:t>
      </w:r>
    </w:p>
  </w:footnote>
  <w:footnote w:id="11">
    <w:p w:rsidR="00F157E2" w:rsidRDefault="00F157E2" w:rsidP="00E64A84">
      <w:pPr>
        <w:pStyle w:val="af0"/>
        <w:bidi/>
        <w:rPr>
          <w:rtl/>
        </w:rPr>
      </w:pPr>
      <w:r>
        <w:rPr>
          <w:rStyle w:val="af2"/>
        </w:rPr>
        <w:footnoteRef/>
      </w:r>
      <w:r>
        <w:t xml:space="preserve"> </w:t>
      </w:r>
      <w:r>
        <w:rPr>
          <w:rFonts w:hint="cs"/>
          <w:rtl/>
        </w:rPr>
        <w:t>החוק קובע מעצר חובה גם במקרים נוספים, למשל: מקום שאדם הורשע בעבירות מסוימות, מקום שאדם מהווה סכנה ביטחונית, מקום שאדם נתון להליך הרחקה מזורז; מקום שנראה על פני הדברים כי לאדם אין זכות כניסה למדינה.</w:t>
      </w:r>
    </w:p>
  </w:footnote>
  <w:footnote w:id="12">
    <w:p w:rsidR="00F157E2" w:rsidRDefault="00F157E2" w:rsidP="00E64A84">
      <w:pPr>
        <w:pStyle w:val="af0"/>
        <w:bidi/>
        <w:rPr>
          <w:rtl/>
        </w:rPr>
      </w:pPr>
      <w:r>
        <w:rPr>
          <w:rStyle w:val="af2"/>
        </w:rPr>
        <w:footnoteRef/>
      </w:r>
      <w:r>
        <w:t xml:space="preserve"> </w:t>
      </w:r>
      <w:r>
        <w:rPr>
          <w:rFonts w:hint="cs"/>
          <w:rtl/>
        </w:rPr>
        <w:t xml:space="preserve"> מחלה מדבקת המסכנת את הציבור, פגיעה במדיניות החוץ, החזקה במשמורת מטעמי ביטחון או מסוכנות חמורה לציבור. בין נוב' 2001 למרץ 2005 רק 17 עצורים הוחזקו מטעמים מיוחדים על-אף שהרחקתם לא הייתה אפשרית בעתיד הנראה לעין.</w:t>
      </w:r>
    </w:p>
  </w:footnote>
  <w:footnote w:id="13">
    <w:p w:rsidR="00F157E2" w:rsidRPr="00A82556" w:rsidRDefault="00F157E2" w:rsidP="00A82556">
      <w:pPr>
        <w:pStyle w:val="af0"/>
        <w:bidi/>
        <w:rPr>
          <w:rtl/>
        </w:rPr>
      </w:pPr>
      <w:r>
        <w:rPr>
          <w:rStyle w:val="af2"/>
        </w:rPr>
        <w:footnoteRef/>
      </w:r>
      <w:r>
        <w:rPr>
          <w:rFonts w:hint="cs"/>
          <w:rtl/>
        </w:rPr>
        <w:t xml:space="preserve"> בשנת 2011 גובשה הצעת חוק שנועדה להרחיב את הנסיבות בהן יתאפשר מעצר בלתי-מוגבל. במסגרת הדיון בנושא זה ציין אחד מחברי הקונגרס כי מאז 2008 ועד 2011 שוחררו כ-4,000 מהגרים בלתי-חוקיים שהורשעו בפלילים מכיוון שלא היה ניתן לגרשם. הצעת החוק עודנה תלויה ועומדת; ראו: </w:t>
      </w:r>
      <w:r w:rsidRPr="00A773CC">
        <w:t xml:space="preserve">Alison Siskin, </w:t>
      </w:r>
      <w:r w:rsidRPr="00A773CC">
        <w:rPr>
          <w:i/>
          <w:iCs/>
        </w:rPr>
        <w:t>Immigration-Related Detention: Current Legislative Issues</w:t>
      </w:r>
      <w:r w:rsidRPr="00A773CC">
        <w:t xml:space="preserve">, CRS, Jan. </w:t>
      </w:r>
      <w:proofErr w:type="gramStart"/>
      <w:r w:rsidRPr="00A773CC">
        <w:t xml:space="preserve">12, 2012, </w:t>
      </w:r>
      <w:hyperlink r:id="rId7" w:history="1">
        <w:r w:rsidRPr="00A773CC">
          <w:rPr>
            <w:rStyle w:val="Hyperlink"/>
          </w:rPr>
          <w:t>http://www.fas.org/irp/crs/RL32369.pdf</w:t>
        </w:r>
      </w:hyperlink>
      <w:r>
        <w:rPr>
          <w:rFonts w:hint="cs"/>
          <w:rtl/>
        </w:rPr>
        <w:t xml:space="preserve">, </w:t>
      </w:r>
      <w:proofErr w:type="spellStart"/>
      <w:r>
        <w:rPr>
          <w:rFonts w:hint="cs"/>
          <w:rtl/>
        </w:rPr>
        <w:t>ה"ש</w:t>
      </w:r>
      <w:proofErr w:type="spellEnd"/>
      <w:r>
        <w:rPr>
          <w:rFonts w:hint="cs"/>
          <w:rtl/>
        </w:rPr>
        <w:t xml:space="preserve"> 85.</w:t>
      </w:r>
      <w:proofErr w:type="gramEnd"/>
    </w:p>
  </w:footnote>
  <w:footnote w:id="14">
    <w:p w:rsidR="00F157E2" w:rsidRPr="00461D54" w:rsidRDefault="00F157E2" w:rsidP="00E64A84">
      <w:pPr>
        <w:bidi/>
        <w:spacing w:after="0"/>
        <w:rPr>
          <w:rtl/>
        </w:rPr>
      </w:pPr>
      <w:r w:rsidRPr="0027517D">
        <w:rPr>
          <w:rStyle w:val="af2"/>
          <w:sz w:val="20"/>
          <w:szCs w:val="20"/>
        </w:rPr>
        <w:footnoteRef/>
      </w:r>
      <w:r w:rsidRPr="0027517D">
        <w:rPr>
          <w:rFonts w:hint="cs"/>
          <w:sz w:val="20"/>
          <w:szCs w:val="20"/>
          <w:rtl/>
        </w:rPr>
        <w:t xml:space="preserve"> </w:t>
      </w:r>
      <w:hyperlink r:id="rId8" w:history="1">
        <w:r w:rsidRPr="0027517D">
          <w:rPr>
            <w:rStyle w:val="Hyperlink"/>
            <w:sz w:val="20"/>
            <w:szCs w:val="20"/>
          </w:rPr>
          <w:t>http://www.ice.gov/doclib/about/offices/odpp/pdf/ice-detention-rpt.pdf</w:t>
        </w:r>
      </w:hyperlink>
    </w:p>
  </w:footnote>
  <w:footnote w:id="15">
    <w:p w:rsidR="00F157E2" w:rsidRPr="0027517D" w:rsidRDefault="00F157E2" w:rsidP="00E64A84">
      <w:pPr>
        <w:pStyle w:val="af0"/>
        <w:bidi/>
        <w:jc w:val="left"/>
        <w:rPr>
          <w:rtl/>
        </w:rPr>
      </w:pPr>
      <w:r>
        <w:rPr>
          <w:rStyle w:val="af2"/>
        </w:rPr>
        <w:footnoteRef/>
      </w:r>
      <w:r>
        <w:rPr>
          <w:rtl/>
        </w:rPr>
        <w:tab/>
      </w:r>
      <w:hyperlink r:id="rId9" w:anchor="f3" w:history="1">
        <w:r w:rsidRPr="00314496">
          <w:rPr>
            <w:rStyle w:val="Hyperlink"/>
          </w:rPr>
          <w:t>http://trac.syr.edu/immigration/reports/321/#f3</w:t>
        </w:r>
      </w:hyperlink>
      <w:r>
        <w:rPr>
          <w:rFonts w:hint="cs"/>
          <w:rtl/>
        </w:rPr>
        <w:t>.</w:t>
      </w:r>
    </w:p>
  </w:footnote>
  <w:footnote w:id="16">
    <w:p w:rsidR="00F157E2" w:rsidRDefault="00F157E2" w:rsidP="00E64A84">
      <w:pPr>
        <w:pStyle w:val="af0"/>
        <w:bidi/>
        <w:rPr>
          <w:rtl/>
        </w:rPr>
      </w:pPr>
      <w:r>
        <w:rPr>
          <w:rStyle w:val="af2"/>
        </w:rPr>
        <w:footnoteRef/>
      </w:r>
      <w:r>
        <w:rPr>
          <w:rFonts w:hint="cs"/>
          <w:rtl/>
        </w:rPr>
        <w:t xml:space="preserve"> שם.</w:t>
      </w:r>
    </w:p>
  </w:footnote>
  <w:footnote w:id="17">
    <w:p w:rsidR="00F157E2" w:rsidRPr="00012A96" w:rsidRDefault="00F157E2" w:rsidP="00F03CD1">
      <w:pPr>
        <w:pStyle w:val="af0"/>
        <w:bidi/>
        <w:rPr>
          <w:rtl/>
        </w:rPr>
      </w:pPr>
      <w:r>
        <w:rPr>
          <w:rStyle w:val="af2"/>
        </w:rPr>
        <w:footnoteRef/>
      </w:r>
      <w:r>
        <w:rPr>
          <w:rFonts w:hint="cs"/>
          <w:rtl/>
        </w:rPr>
        <w:t xml:space="preserve"> </w:t>
      </w:r>
      <w:r w:rsidRPr="00012A96">
        <w:rPr>
          <w:rtl/>
        </w:rPr>
        <w:t xml:space="preserve">מדובר בקבוצת איים קטנה שאוכלוסייתה מונה כ-417,600 איש (נכון ל-2010).  עד לשנת 2002 הגיעו למדינה מהגרים בלתי-חוקיים </w:t>
      </w:r>
      <w:r>
        <w:rPr>
          <w:rFonts w:hint="cs"/>
          <w:rtl/>
        </w:rPr>
        <w:t xml:space="preserve">מעטים </w:t>
      </w:r>
      <w:r w:rsidRPr="00012A96">
        <w:rPr>
          <w:rtl/>
        </w:rPr>
        <w:t>(</w:t>
      </w:r>
      <w:r>
        <w:rPr>
          <w:rFonts w:hint="cs"/>
          <w:rtl/>
        </w:rPr>
        <w:t xml:space="preserve">למשל, רק </w:t>
      </w:r>
      <w:r w:rsidRPr="00012A96">
        <w:rPr>
          <w:rtl/>
        </w:rPr>
        <w:t xml:space="preserve">24 בשנת 2000), אולם בשנת 2002 חל זינוק בכמות המהגרים ומבקשי המקלט (1,686 בשנת 2002 ו-2,775 בשנת 2008). מלטה הצטרפה לאיחוד האירופי בשנת 2004. </w:t>
      </w:r>
      <w:r>
        <w:rPr>
          <w:rFonts w:hint="cs"/>
          <w:rtl/>
        </w:rPr>
        <w:t xml:space="preserve">ראו: </w:t>
      </w:r>
      <w:proofErr w:type="spellStart"/>
      <w:r>
        <w:t>Cetta</w:t>
      </w:r>
      <w:proofErr w:type="spellEnd"/>
      <w:r>
        <w:t xml:space="preserve"> Mainwaring, </w:t>
      </w:r>
      <w:r w:rsidRPr="00F30FD9">
        <w:rPr>
          <w:i/>
          <w:iCs/>
        </w:rPr>
        <w:t>Constructing a Crisis: the Role of Immigration Detention in Malta</w:t>
      </w:r>
      <w:r>
        <w:t>, Population, Space and Place (2012)</w:t>
      </w:r>
      <w:r>
        <w:rPr>
          <w:rFonts w:hint="cs"/>
          <w:rtl/>
        </w:rPr>
        <w:t xml:space="preserve">, </w:t>
      </w:r>
      <w:hyperlink r:id="rId10" w:history="1">
        <w:r w:rsidRPr="00C62D78">
          <w:rPr>
            <w:rStyle w:val="Hyperlink"/>
          </w:rPr>
          <w:t>http://www.newsbook.com.mt/media/news-article/Rapport_Detenzjoni.pdf</w:t>
        </w:r>
      </w:hyperlink>
      <w:r>
        <w:rPr>
          <w:rFonts w:hint="cs"/>
          <w:rtl/>
        </w:rPr>
        <w:t xml:space="preserve"> (להלן: </w:t>
      </w:r>
      <w:r w:rsidRPr="00175D74">
        <w:rPr>
          <w:b/>
          <w:bCs/>
        </w:rPr>
        <w:t>Mainwaring</w:t>
      </w:r>
      <w:r>
        <w:rPr>
          <w:rFonts w:hint="cs"/>
          <w:rtl/>
        </w:rPr>
        <w:t>).</w:t>
      </w:r>
    </w:p>
  </w:footnote>
  <w:footnote w:id="18">
    <w:p w:rsidR="00F157E2" w:rsidRDefault="00F157E2" w:rsidP="00E64A84">
      <w:pPr>
        <w:pStyle w:val="af0"/>
        <w:bidi/>
        <w:rPr>
          <w:rtl/>
        </w:rPr>
      </w:pPr>
      <w:r>
        <w:rPr>
          <w:rStyle w:val="af2"/>
        </w:rPr>
        <w:footnoteRef/>
      </w:r>
      <w:r>
        <w:rPr>
          <w:rFonts w:hint="cs"/>
          <w:rtl/>
        </w:rPr>
        <w:t xml:space="preserve"> </w:t>
      </w:r>
      <w:hyperlink r:id="rId11" w:history="1">
        <w:proofErr w:type="gramStart"/>
        <w:r w:rsidRPr="00314496">
          <w:rPr>
            <w:rStyle w:val="Hyperlink"/>
          </w:rPr>
          <w:t>http://www.unhcr.org.mt/media/com_form2content/documents/c8/a589/f40/UNHCR%20Position%20Paper%20on%20Detention%20in%20Malta.pdf</w:t>
        </w:r>
      </w:hyperlink>
      <w:r>
        <w:rPr>
          <w:rFonts w:hint="cs"/>
          <w:rtl/>
        </w:rPr>
        <w:t>, עמ' 4, 11.</w:t>
      </w:r>
      <w:proofErr w:type="gramEnd"/>
      <w:r>
        <w:rPr>
          <w:rFonts w:hint="cs"/>
          <w:rtl/>
        </w:rPr>
        <w:t xml:space="preserve"> </w:t>
      </w:r>
    </w:p>
  </w:footnote>
  <w:footnote w:id="19">
    <w:p w:rsidR="00F157E2" w:rsidRDefault="00F157E2" w:rsidP="00E64A84">
      <w:pPr>
        <w:pStyle w:val="af0"/>
        <w:bidi/>
        <w:rPr>
          <w:rtl/>
        </w:rPr>
      </w:pPr>
      <w:r>
        <w:rPr>
          <w:rStyle w:val="af2"/>
        </w:rPr>
        <w:footnoteRef/>
      </w:r>
      <w:r>
        <w:rPr>
          <w:rFonts w:hint="cs"/>
          <w:rtl/>
        </w:rPr>
        <w:t xml:space="preserve"> שם, עמ' 14.</w:t>
      </w:r>
    </w:p>
  </w:footnote>
  <w:footnote w:id="20">
    <w:p w:rsidR="00F157E2" w:rsidRDefault="00F157E2" w:rsidP="00E64A84">
      <w:pPr>
        <w:pStyle w:val="af0"/>
        <w:bidi/>
        <w:rPr>
          <w:rtl/>
        </w:rPr>
      </w:pPr>
      <w:r>
        <w:rPr>
          <w:rStyle w:val="af2"/>
        </w:rPr>
        <w:footnoteRef/>
      </w:r>
      <w:r>
        <w:rPr>
          <w:rFonts w:hint="cs"/>
          <w:rtl/>
        </w:rPr>
        <w:t xml:space="preserve"> שם, עמ' 15.</w:t>
      </w:r>
    </w:p>
  </w:footnote>
  <w:footnote w:id="21">
    <w:p w:rsidR="00F157E2" w:rsidRDefault="00F157E2" w:rsidP="00E64A84">
      <w:pPr>
        <w:pStyle w:val="af0"/>
        <w:bidi/>
        <w:rPr>
          <w:rtl/>
        </w:rPr>
      </w:pPr>
      <w:r>
        <w:rPr>
          <w:rStyle w:val="af2"/>
        </w:rPr>
        <w:footnoteRef/>
      </w:r>
      <w:r>
        <w:rPr>
          <w:rFonts w:hint="cs"/>
          <w:rtl/>
        </w:rPr>
        <w:t xml:space="preserve"> זאת, בעקבות פרשנות של הדירקטיבה האירופית, הקובעת כי יש לאפשר למבקשי מקלט להשתלב בשוק העבודה לאחר שנה. הדירקטיבה המתוקנת משנת 2013 קובעת כי יש לאפשר גישה לשוק העבודה תשעה חודשים לאחר שהוגשה בקשת המקלט.</w:t>
      </w:r>
    </w:p>
  </w:footnote>
  <w:footnote w:id="22">
    <w:p w:rsidR="00F157E2" w:rsidRDefault="00F157E2" w:rsidP="00EB567F">
      <w:pPr>
        <w:pStyle w:val="af0"/>
        <w:bidi/>
        <w:rPr>
          <w:rtl/>
        </w:rPr>
      </w:pPr>
      <w:r>
        <w:rPr>
          <w:rStyle w:val="af2"/>
        </w:rPr>
        <w:footnoteRef/>
      </w:r>
      <w:r>
        <w:rPr>
          <w:rFonts w:hint="cs"/>
          <w:rtl/>
        </w:rPr>
        <w:t xml:space="preserve"> </w:t>
      </w:r>
      <w:r>
        <w:rPr>
          <w:rFonts w:hint="cs"/>
          <w:rtl/>
        </w:rPr>
        <w:t xml:space="preserve">שם, </w:t>
      </w:r>
      <w:proofErr w:type="spellStart"/>
      <w:r>
        <w:rPr>
          <w:rFonts w:hint="cs"/>
          <w:rtl/>
        </w:rPr>
        <w:t>ה"ש</w:t>
      </w:r>
      <w:proofErr w:type="spellEnd"/>
      <w:r>
        <w:rPr>
          <w:rFonts w:hint="cs"/>
          <w:rtl/>
        </w:rPr>
        <w:t xml:space="preserve"> 69; </w:t>
      </w:r>
      <w:r>
        <w:t>Mainwaring</w:t>
      </w:r>
      <w:r>
        <w:rPr>
          <w:rFonts w:hint="cs"/>
          <w:rtl/>
        </w:rPr>
        <w:t xml:space="preserve">, </w:t>
      </w:r>
      <w:proofErr w:type="spellStart"/>
      <w:r>
        <w:rPr>
          <w:rFonts w:hint="cs"/>
          <w:rtl/>
        </w:rPr>
        <w:t>ה"ש</w:t>
      </w:r>
      <w:proofErr w:type="spellEnd"/>
      <w:r>
        <w:rPr>
          <w:rFonts w:hint="cs"/>
          <w:rtl/>
        </w:rPr>
        <w:t xml:space="preserve"> </w:t>
      </w:r>
      <w:r>
        <w:rPr>
          <w:rtl/>
        </w:rPr>
        <w:fldChar w:fldCharType="begin"/>
      </w:r>
      <w:r>
        <w:rPr>
          <w:rtl/>
        </w:rPr>
        <w:instrText xml:space="preserve"> </w:instrText>
      </w:r>
      <w:r>
        <w:rPr>
          <w:rFonts w:hint="cs"/>
        </w:rPr>
        <w:instrText>REF</w:instrText>
      </w:r>
      <w:r>
        <w:rPr>
          <w:rFonts w:hint="cs"/>
          <w:rtl/>
        </w:rPr>
        <w:instrText xml:space="preserve"> _</w:instrText>
      </w:r>
      <w:r>
        <w:rPr>
          <w:rFonts w:hint="cs"/>
        </w:rPr>
        <w:instrText>Ref369122850 \r \h</w:instrText>
      </w:r>
      <w:r>
        <w:rPr>
          <w:rtl/>
        </w:rPr>
        <w:instrText xml:space="preserve"> </w:instrText>
      </w:r>
      <w:r>
        <w:rPr>
          <w:rtl/>
        </w:rPr>
      </w:r>
      <w:r>
        <w:rPr>
          <w:rtl/>
        </w:rPr>
        <w:fldChar w:fldCharType="separate"/>
      </w:r>
      <w:r>
        <w:rPr>
          <w:cs/>
        </w:rPr>
        <w:t>‎</w:t>
      </w:r>
      <w:r>
        <w:t>17</w:t>
      </w:r>
      <w:r>
        <w:rPr>
          <w:rtl/>
        </w:rPr>
        <w:fldChar w:fldCharType="end"/>
      </w:r>
      <w:r>
        <w:rPr>
          <w:rFonts w:hint="cs"/>
          <w:rtl/>
        </w:rPr>
        <w:t xml:space="preserve"> לעיל.</w:t>
      </w:r>
    </w:p>
  </w:footnote>
  <w:footnote w:id="23">
    <w:p w:rsidR="00F157E2" w:rsidRDefault="00F157E2" w:rsidP="00E64A84">
      <w:pPr>
        <w:pStyle w:val="af0"/>
        <w:bidi/>
        <w:rPr>
          <w:rtl/>
        </w:rPr>
      </w:pPr>
      <w:r>
        <w:rPr>
          <w:rStyle w:val="af2"/>
        </w:rPr>
        <w:footnoteRef/>
      </w:r>
      <w:r>
        <w:rPr>
          <w:rFonts w:hint="cs"/>
          <w:rtl/>
        </w:rPr>
        <w:t xml:space="preserve"> כאשר אדם לא שיתף פעולה עם בירור הבקשה; לא מילא אחר המגבלות שהוטלו עליו ביחס לאזור השהייה; נכנס לשוויץ על אף שהיה מנוע כניסה ולא ניתן לגרשו באופן </w:t>
      </w:r>
      <w:proofErr w:type="spellStart"/>
      <w:r>
        <w:rPr>
          <w:rFonts w:hint="cs"/>
          <w:rtl/>
        </w:rPr>
        <w:t>מיידי</w:t>
      </w:r>
      <w:proofErr w:type="spellEnd"/>
      <w:r>
        <w:rPr>
          <w:rFonts w:hint="cs"/>
          <w:rtl/>
        </w:rPr>
        <w:t>; נשאר בשוויץ באופן לא חוקי והגיש בקשת מקלט במטרה ברורה לסכל את גירושו; מהווה סכנה רצינית לאחרים והועמד לדין או הורשע; הורשע בפשע. כמו כן, מקום שאדם מצהיר כי לא הגיש בקשת מקלט למדינה אחרת החברה בהסכם דבלין. מקום שרשות שיפוטית הוציאה צו גירוש, ניתן להורות על מעצר מטעמים נוספים, ביניהם: מקום שהתנהגות קודמת מקימה הנחה שאותו גורם לא ימלא אחר הוראות הרשויות.</w:t>
      </w:r>
    </w:p>
  </w:footnote>
  <w:footnote w:id="24">
    <w:p w:rsidR="00F157E2" w:rsidRDefault="00F157E2" w:rsidP="00E64A84">
      <w:pPr>
        <w:pStyle w:val="af0"/>
        <w:bidi/>
        <w:rPr>
          <w:rtl/>
        </w:rPr>
      </w:pPr>
      <w:r>
        <w:rPr>
          <w:rStyle w:val="af2"/>
        </w:rPr>
        <w:footnoteRef/>
      </w:r>
      <w:r>
        <w:rPr>
          <w:rFonts w:hint="cs"/>
          <w:rtl/>
        </w:rPr>
        <w:t xml:space="preserve"> סעיף 79 </w:t>
      </w:r>
      <w:r w:rsidRPr="0058660A">
        <w:rPr>
          <w:rtl/>
        </w:rPr>
        <w:t>ל-</w:t>
      </w:r>
      <w:r w:rsidRPr="0058660A">
        <w:rPr>
          <w:rFonts w:cs="Times New Roman"/>
        </w:rPr>
        <w:t>Foreign Nationals Federal Act</w:t>
      </w:r>
      <w:r w:rsidRPr="0058660A">
        <w:rPr>
          <w:rFonts w:cs="Times New Roman"/>
          <w:rtl/>
        </w:rPr>
        <w:t xml:space="preserve">; </w:t>
      </w:r>
      <w:hyperlink r:id="rId12" w:tooltip="http://www.admin.ch/opc/en/classified-compilation/20020232/201307010000/142.20.pdf" w:history="1">
        <w:r w:rsidRPr="0058660A">
          <w:rPr>
            <w:rStyle w:val="Hyperlink"/>
            <w:rFonts w:cs="Times New Roman"/>
          </w:rPr>
          <w:t>http://www.admin.ch/opc/en/classified-compilation/20020232/201307010000/142.20.pdf</w:t>
        </w:r>
      </w:hyperlink>
      <w:r w:rsidRPr="0058660A">
        <w:rPr>
          <w:rFonts w:cs="Times New Roman"/>
          <w:color w:val="000000"/>
          <w:rtl/>
        </w:rPr>
        <w:t>.</w:t>
      </w:r>
    </w:p>
  </w:footnote>
  <w:footnote w:id="25">
    <w:p w:rsidR="00F157E2" w:rsidRPr="0058660A" w:rsidRDefault="00F157E2" w:rsidP="00E64A84">
      <w:pPr>
        <w:bidi/>
        <w:spacing w:after="0"/>
        <w:rPr>
          <w:sz w:val="20"/>
          <w:szCs w:val="20"/>
          <w:rtl/>
        </w:rPr>
      </w:pPr>
      <w:r w:rsidRPr="00416C26">
        <w:rPr>
          <w:rStyle w:val="af2"/>
          <w:sz w:val="20"/>
          <w:szCs w:val="20"/>
        </w:rPr>
        <w:footnoteRef/>
      </w:r>
      <w:r w:rsidRPr="00416C26">
        <w:rPr>
          <w:rFonts w:hint="cs"/>
          <w:rtl/>
        </w:rPr>
        <w:t xml:space="preserve"> </w:t>
      </w:r>
      <w:r w:rsidRPr="0058660A">
        <w:rPr>
          <w:sz w:val="20"/>
          <w:szCs w:val="20"/>
          <w:rtl/>
        </w:rPr>
        <w:t>סעיף 80(6)</w:t>
      </w:r>
      <w:r w:rsidRPr="0058660A">
        <w:rPr>
          <w:color w:val="000000"/>
          <w:sz w:val="20"/>
          <w:szCs w:val="20"/>
          <w:rtl/>
        </w:rPr>
        <w:t>.</w:t>
      </w:r>
    </w:p>
  </w:footnote>
  <w:footnote w:id="26">
    <w:p w:rsidR="00F157E2" w:rsidRDefault="00F157E2" w:rsidP="00E64A84">
      <w:pPr>
        <w:pStyle w:val="af0"/>
        <w:bidi/>
        <w:rPr>
          <w:rtl/>
        </w:rPr>
      </w:pPr>
      <w:r>
        <w:rPr>
          <w:rStyle w:val="af2"/>
        </w:rPr>
        <w:footnoteRef/>
      </w:r>
      <w:r>
        <w:rPr>
          <w:rFonts w:hint="cs"/>
          <w:rtl/>
        </w:rPr>
        <w:t xml:space="preserve"> </w:t>
      </w:r>
      <w:proofErr w:type="gramStart"/>
      <w:r>
        <w:t>Hathaway</w:t>
      </w:r>
      <w:r>
        <w:rPr>
          <w:rFonts w:hint="cs"/>
          <w:rtl/>
        </w:rPr>
        <w:t>, עמ' 374 (</w:t>
      </w:r>
      <w:proofErr w:type="spellStart"/>
      <w:r>
        <w:rPr>
          <w:rFonts w:hint="cs"/>
          <w:rtl/>
        </w:rPr>
        <w:t>ה"ש</w:t>
      </w:r>
      <w:proofErr w:type="spellEnd"/>
      <w:r>
        <w:rPr>
          <w:rFonts w:hint="cs"/>
          <w:rtl/>
        </w:rPr>
        <w:t xml:space="preserve"> 427).</w:t>
      </w:r>
      <w:proofErr w:type="gramEnd"/>
    </w:p>
  </w:footnote>
  <w:footnote w:id="27">
    <w:p w:rsidR="00F157E2" w:rsidRPr="004D1E1E" w:rsidRDefault="00F157E2" w:rsidP="00E64A84">
      <w:pPr>
        <w:pStyle w:val="af0"/>
        <w:bidi/>
        <w:rPr>
          <w:rtl/>
        </w:rPr>
      </w:pPr>
      <w:r>
        <w:rPr>
          <w:rStyle w:val="af2"/>
        </w:rPr>
        <w:footnoteRef/>
      </w:r>
      <w:r>
        <w:rPr>
          <w:rFonts w:hint="cs"/>
          <w:rtl/>
        </w:rPr>
        <w:t xml:space="preserve"> ראו: </w:t>
      </w:r>
      <w:hyperlink r:id="rId13" w:history="1">
        <w:r w:rsidRPr="00D12B76">
          <w:rPr>
            <w:rStyle w:val="Hyperlink"/>
          </w:rPr>
          <w:t>http://www.globaldetentionproject.org/countries/europe/belgium/introduction.html</w:t>
        </w:r>
      </w:hyperlink>
      <w:r>
        <w:rPr>
          <w:rFonts w:hint="cs"/>
          <w:rtl/>
        </w:rPr>
        <w:t xml:space="preserve"> וכן סעיף 74/5 § 3 לחוק (בצרפתית): </w:t>
      </w:r>
      <w:hyperlink r:id="rId14" w:history="1">
        <w:r w:rsidRPr="00D12B76">
          <w:rPr>
            <w:rStyle w:val="Hyperlink"/>
          </w:rPr>
          <w:t>https://dofi.ibz.be/sites/dvzoe/FR/Documents/19801215_F.pdf</w:t>
        </w:r>
      </w:hyperlink>
      <w:r>
        <w:rPr>
          <w:rFonts w:hint="cs"/>
          <w:rtl/>
        </w:rPr>
        <w:t xml:space="preserve">. </w:t>
      </w:r>
    </w:p>
  </w:footnote>
  <w:footnote w:id="28">
    <w:p w:rsidR="00F157E2" w:rsidRDefault="00F157E2" w:rsidP="00E64A84">
      <w:pPr>
        <w:pStyle w:val="af0"/>
        <w:bidi/>
        <w:rPr>
          <w:rtl/>
        </w:rPr>
      </w:pPr>
      <w:r>
        <w:rPr>
          <w:rStyle w:val="af2"/>
        </w:rPr>
        <w:footnoteRef/>
      </w:r>
      <w:r>
        <w:rPr>
          <w:rFonts w:hint="cs"/>
          <w:rtl/>
        </w:rPr>
        <w:t xml:space="preserve"> </w:t>
      </w:r>
      <w:proofErr w:type="gramStart"/>
      <w:r>
        <w:t>Alexandra Brand, Immigration Detention and the Rule of Law (May 2013)</w:t>
      </w:r>
      <w:r>
        <w:rPr>
          <w:rFonts w:hint="cs"/>
          <w:rtl/>
        </w:rPr>
        <w:t xml:space="preserve">, </w:t>
      </w:r>
      <w:hyperlink r:id="rId15" w:history="1">
        <w:r w:rsidRPr="00314496">
          <w:rPr>
            <w:rStyle w:val="Hyperlink"/>
          </w:rPr>
          <w:t>http://www.biicl.org/files/6563_netherlands_-_final_bc_edit.pdf</w:t>
        </w:r>
      </w:hyperlink>
      <w:r>
        <w:rPr>
          <w:rFonts w:hint="cs"/>
          <w:rtl/>
        </w:rPr>
        <w:t>, עמ' 14-15.</w:t>
      </w:r>
      <w:proofErr w:type="gramEnd"/>
      <w:r>
        <w:rPr>
          <w:rFonts w:hint="cs"/>
          <w:rtl/>
        </w:rPr>
        <w:t xml:space="preserve"> </w:t>
      </w:r>
      <w:r w:rsidRPr="00FA01E2">
        <w:rPr>
          <w:rFonts w:hint="cs"/>
          <w:b/>
          <w:bCs/>
          <w:rtl/>
        </w:rPr>
        <w:t xml:space="preserve">יצוין כי בכותרת הדו"ח </w:t>
      </w:r>
      <w:r>
        <w:rPr>
          <w:rFonts w:hint="cs"/>
          <w:b/>
          <w:bCs/>
          <w:rtl/>
        </w:rPr>
        <w:t>נפלה טעות והי</w:t>
      </w:r>
      <w:r w:rsidRPr="00FA01E2">
        <w:rPr>
          <w:rFonts w:hint="cs"/>
          <w:b/>
          <w:bCs/>
          <w:rtl/>
        </w:rPr>
        <w:t>א מתייחס</w:t>
      </w:r>
      <w:r>
        <w:rPr>
          <w:rFonts w:hint="cs"/>
          <w:b/>
          <w:bCs/>
          <w:rtl/>
        </w:rPr>
        <w:t>ת</w:t>
      </w:r>
      <w:r w:rsidRPr="00FA01E2">
        <w:rPr>
          <w:rFonts w:hint="cs"/>
          <w:b/>
          <w:bCs/>
          <w:rtl/>
        </w:rPr>
        <w:t xml:space="preserve"> לבלגיה, אולם לגופם של דברים הדו"ח דן במצב המשפטי בהולנד.</w:t>
      </w:r>
    </w:p>
  </w:footnote>
  <w:footnote w:id="29">
    <w:p w:rsidR="00F157E2" w:rsidRDefault="00F157E2" w:rsidP="00E64A84">
      <w:pPr>
        <w:pStyle w:val="af0"/>
        <w:bidi/>
        <w:rPr>
          <w:rtl/>
        </w:rPr>
      </w:pPr>
      <w:r>
        <w:rPr>
          <w:rStyle w:val="af2"/>
        </w:rPr>
        <w:footnoteRef/>
      </w:r>
      <w:r>
        <w:rPr>
          <w:rFonts w:hint="cs"/>
          <w:rtl/>
        </w:rPr>
        <w:t xml:space="preserve"> שם, עמ' 12.</w:t>
      </w:r>
    </w:p>
  </w:footnote>
  <w:footnote w:id="30">
    <w:p w:rsidR="00F157E2" w:rsidRDefault="00F157E2" w:rsidP="00E64A84">
      <w:pPr>
        <w:pStyle w:val="af0"/>
        <w:bidi/>
        <w:rPr>
          <w:rtl/>
        </w:rPr>
      </w:pPr>
      <w:r>
        <w:t xml:space="preserve"> </w:t>
      </w:r>
      <w:r>
        <w:rPr>
          <w:rStyle w:val="af2"/>
        </w:rPr>
        <w:footnoteRef/>
      </w:r>
      <w:r>
        <w:rPr>
          <w:rFonts w:hint="cs"/>
          <w:rtl/>
        </w:rPr>
        <w:t>שם, עמ' 16.</w:t>
      </w:r>
    </w:p>
  </w:footnote>
  <w:footnote w:id="31">
    <w:p w:rsidR="00F157E2" w:rsidRDefault="00F157E2" w:rsidP="00E64A84">
      <w:pPr>
        <w:pStyle w:val="af0"/>
        <w:bidi/>
        <w:rPr>
          <w:rtl/>
        </w:rPr>
      </w:pPr>
      <w:r>
        <w:rPr>
          <w:rStyle w:val="af2"/>
        </w:rPr>
        <w:footnoteRef/>
      </w:r>
      <w:r>
        <w:rPr>
          <w:rFonts w:hint="cs"/>
          <w:rtl/>
        </w:rPr>
        <w:t xml:space="preserve"> שם, עמ' 25.</w:t>
      </w:r>
    </w:p>
  </w:footnote>
  <w:footnote w:id="32">
    <w:p w:rsidR="00F157E2" w:rsidRDefault="00F157E2" w:rsidP="00E64A84">
      <w:pPr>
        <w:pStyle w:val="af0"/>
        <w:bidi/>
        <w:rPr>
          <w:rtl/>
        </w:rPr>
      </w:pPr>
      <w:r>
        <w:rPr>
          <w:rStyle w:val="af2"/>
        </w:rPr>
        <w:footnoteRef/>
      </w:r>
      <w:r>
        <w:rPr>
          <w:rFonts w:hint="cs"/>
          <w:rtl/>
        </w:rPr>
        <w:t xml:space="preserve"> שם, עמ' </w:t>
      </w:r>
    </w:p>
  </w:footnote>
  <w:footnote w:id="33">
    <w:p w:rsidR="00F157E2" w:rsidRDefault="00F157E2" w:rsidP="00E64A84">
      <w:pPr>
        <w:pStyle w:val="af0"/>
        <w:bidi/>
        <w:rPr>
          <w:rtl/>
        </w:rPr>
      </w:pPr>
      <w:r>
        <w:rPr>
          <w:rStyle w:val="af2"/>
        </w:rPr>
        <w:footnoteRef/>
      </w:r>
      <w:r>
        <w:rPr>
          <w:rFonts w:hint="cs"/>
          <w:rtl/>
        </w:rPr>
        <w:t xml:space="preserve"> </w:t>
      </w:r>
      <w:hyperlink r:id="rId16" w:history="1">
        <w:r w:rsidRPr="00D12B76">
          <w:rPr>
            <w:rStyle w:val="Hyperlink"/>
          </w:rPr>
          <w:t>http://www.globaldetentionproject.org/countries/europe/denmark/introduction.html</w:t>
        </w:r>
      </w:hyperlink>
      <w:r>
        <w:rPr>
          <w:rFonts w:hint="cs"/>
          <w:rtl/>
        </w:rPr>
        <w:t xml:space="preserve">. </w:t>
      </w:r>
    </w:p>
  </w:footnote>
  <w:footnote w:id="34">
    <w:p w:rsidR="00F157E2" w:rsidRDefault="00F157E2" w:rsidP="00E64A84">
      <w:pPr>
        <w:pStyle w:val="af0"/>
        <w:bidi/>
        <w:rPr>
          <w:rtl/>
        </w:rPr>
      </w:pPr>
      <w:r>
        <w:rPr>
          <w:rStyle w:val="af2"/>
        </w:rPr>
        <w:footnoteRef/>
      </w:r>
      <w:r>
        <w:rPr>
          <w:rFonts w:hint="cs"/>
          <w:rtl/>
        </w:rPr>
        <w:t xml:space="preserve"> שם.</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157E2" w:rsidRDefault="00F157E2" w:rsidP="00F8371B">
    <w:pPr>
      <w:pStyle w:val="a3"/>
    </w:pPr>
    <w:r>
      <w:rPr>
        <w:noProof/>
      </w:rPr>
      <w:drawing>
        <wp:inline distT="0" distB="0" distL="0" distR="0" wp14:anchorId="3CED9226" wp14:editId="010C9114">
          <wp:extent cx="5749925" cy="343535"/>
          <wp:effectExtent l="0" t="0" r="3175" b="0"/>
          <wp:docPr id="1" name="תמונה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49925" cy="343535"/>
                  </a:xfrm>
                  <a:prstGeom prst="rect">
                    <a:avLst/>
                  </a:prstGeom>
                  <a:noFill/>
                  <a:ln>
                    <a:noFill/>
                  </a:ln>
                </pic:spPr>
              </pic:pic>
            </a:graphicData>
          </a:graphic>
        </wp:inline>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157E2" w:rsidRPr="00632C66" w:rsidRDefault="00F157E2" w:rsidP="00A55E09">
    <w:pPr>
      <w:pStyle w:val="a3"/>
      <w:jc w:val="center"/>
    </w:pPr>
    <w:r>
      <w:rPr>
        <w:noProof/>
      </w:rPr>
      <w:drawing>
        <wp:inline distT="0" distB="0" distL="0" distR="0" wp14:anchorId="7A24FEEA" wp14:editId="7854581B">
          <wp:extent cx="5771515" cy="1134110"/>
          <wp:effectExtent l="0" t="0" r="635" b="8890"/>
          <wp:docPr id="3" name="תמונה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71515" cy="1134110"/>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1F2676D"/>
    <w:multiLevelType w:val="hybridMultilevel"/>
    <w:tmpl w:val="218C512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
    <w:nsid w:val="22E6781B"/>
    <w:multiLevelType w:val="multilevel"/>
    <w:tmpl w:val="6BB46256"/>
    <w:styleLink w:val="DepartmentStandardHebrew"/>
    <w:lvl w:ilvl="0">
      <w:start w:val="1"/>
      <w:numFmt w:val="decimal"/>
      <w:lvlText w:val="%1."/>
      <w:lvlJc w:val="left"/>
      <w:pPr>
        <w:ind w:left="360" w:hanging="360"/>
      </w:pPr>
      <w:rPr>
        <w:rFonts w:ascii="Times New Roman" w:hAnsi="Times New Roman" w:hint="default"/>
        <w:sz w:val="24"/>
      </w:rPr>
    </w:lvl>
    <w:lvl w:ilvl="1">
      <w:start w:val="1"/>
      <w:numFmt w:val="hebrew1"/>
      <w:lvlText w:val="%2."/>
      <w:lvlJc w:val="left"/>
      <w:pPr>
        <w:ind w:left="720" w:hanging="360"/>
      </w:pPr>
      <w:rPr>
        <w:rFonts w:hint="default"/>
      </w:rPr>
    </w:lvl>
    <w:lvl w:ilvl="2">
      <w:start w:val="1"/>
      <w:numFmt w:val="hebrew1"/>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
    <w:nsid w:val="27AA54A0"/>
    <w:multiLevelType w:val="hybridMultilevel"/>
    <w:tmpl w:val="89108DA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308E6192"/>
    <w:multiLevelType w:val="multilevel"/>
    <w:tmpl w:val="B0BC88B8"/>
    <w:styleLink w:val="DepartmentStandard"/>
    <w:lvl w:ilvl="0">
      <w:start w:val="1"/>
      <w:numFmt w:val="decimal"/>
      <w:lvlText w:val="%1."/>
      <w:lvlJc w:val="left"/>
      <w:pPr>
        <w:ind w:left="360" w:hanging="360"/>
      </w:pPr>
      <w:rPr>
        <w:rFonts w:ascii="Times New Roman" w:hAnsi="Times New Roman" w:hint="default"/>
        <w:sz w:val="24"/>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
    <w:nsid w:val="340B43D4"/>
    <w:multiLevelType w:val="hybridMultilevel"/>
    <w:tmpl w:val="98D4AA2C"/>
    <w:lvl w:ilvl="0" w:tplc="F5F0AB40">
      <w:start w:val="1"/>
      <w:numFmt w:val="bullet"/>
      <w:pStyle w:val="BulletedLis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3A260082"/>
    <w:multiLevelType w:val="multilevel"/>
    <w:tmpl w:val="B0BC88B8"/>
    <w:numStyleLink w:val="DepartmentStandard"/>
  </w:abstractNum>
  <w:abstractNum w:abstractNumId="6">
    <w:nsid w:val="3FEB5B42"/>
    <w:multiLevelType w:val="hybridMultilevel"/>
    <w:tmpl w:val="167273D8"/>
    <w:lvl w:ilvl="0" w:tplc="0409000F">
      <w:start w:val="1"/>
      <w:numFmt w:val="decimal"/>
      <w:lvlText w:val="%1."/>
      <w:lvlJc w:val="left"/>
      <w:pPr>
        <w:ind w:left="720" w:hanging="360"/>
      </w:pPr>
    </w:lvl>
    <w:lvl w:ilvl="1" w:tplc="04090013">
      <w:start w:val="1"/>
      <w:numFmt w:val="hebrew1"/>
      <w:lvlText w:val="%2."/>
      <w:lvlJc w:val="center"/>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571E6996"/>
    <w:multiLevelType w:val="multilevel"/>
    <w:tmpl w:val="6BB46256"/>
    <w:numStyleLink w:val="DepartmentStandardHebrew"/>
  </w:abstractNum>
  <w:abstractNum w:abstractNumId="8">
    <w:nsid w:val="706A6E28"/>
    <w:multiLevelType w:val="hybridMultilevel"/>
    <w:tmpl w:val="485AF144"/>
    <w:lvl w:ilvl="0" w:tplc="0409000F">
      <w:start w:val="1"/>
      <w:numFmt w:val="decimal"/>
      <w:lvlText w:val="%1."/>
      <w:lvlJc w:val="left"/>
      <w:pPr>
        <w:ind w:left="721" w:hanging="360"/>
      </w:pPr>
    </w:lvl>
    <w:lvl w:ilvl="1" w:tplc="04090013">
      <w:start w:val="1"/>
      <w:numFmt w:val="hebrew1"/>
      <w:lvlText w:val="%2."/>
      <w:lvlJc w:val="center"/>
      <w:pPr>
        <w:ind w:left="1441" w:hanging="360"/>
      </w:pPr>
    </w:lvl>
    <w:lvl w:ilvl="2" w:tplc="0409001B" w:tentative="1">
      <w:start w:val="1"/>
      <w:numFmt w:val="lowerRoman"/>
      <w:lvlText w:val="%3."/>
      <w:lvlJc w:val="right"/>
      <w:pPr>
        <w:ind w:left="2161" w:hanging="180"/>
      </w:pPr>
    </w:lvl>
    <w:lvl w:ilvl="3" w:tplc="0409000F" w:tentative="1">
      <w:start w:val="1"/>
      <w:numFmt w:val="decimal"/>
      <w:lvlText w:val="%4."/>
      <w:lvlJc w:val="left"/>
      <w:pPr>
        <w:ind w:left="2881" w:hanging="360"/>
      </w:pPr>
    </w:lvl>
    <w:lvl w:ilvl="4" w:tplc="04090019" w:tentative="1">
      <w:start w:val="1"/>
      <w:numFmt w:val="lowerLetter"/>
      <w:lvlText w:val="%5."/>
      <w:lvlJc w:val="left"/>
      <w:pPr>
        <w:ind w:left="3601" w:hanging="360"/>
      </w:pPr>
    </w:lvl>
    <w:lvl w:ilvl="5" w:tplc="0409001B" w:tentative="1">
      <w:start w:val="1"/>
      <w:numFmt w:val="lowerRoman"/>
      <w:lvlText w:val="%6."/>
      <w:lvlJc w:val="right"/>
      <w:pPr>
        <w:ind w:left="4321" w:hanging="180"/>
      </w:pPr>
    </w:lvl>
    <w:lvl w:ilvl="6" w:tplc="0409000F" w:tentative="1">
      <w:start w:val="1"/>
      <w:numFmt w:val="decimal"/>
      <w:lvlText w:val="%7."/>
      <w:lvlJc w:val="left"/>
      <w:pPr>
        <w:ind w:left="5041" w:hanging="360"/>
      </w:pPr>
    </w:lvl>
    <w:lvl w:ilvl="7" w:tplc="04090019" w:tentative="1">
      <w:start w:val="1"/>
      <w:numFmt w:val="lowerLetter"/>
      <w:lvlText w:val="%8."/>
      <w:lvlJc w:val="left"/>
      <w:pPr>
        <w:ind w:left="5761" w:hanging="360"/>
      </w:pPr>
    </w:lvl>
    <w:lvl w:ilvl="8" w:tplc="0409001B" w:tentative="1">
      <w:start w:val="1"/>
      <w:numFmt w:val="lowerRoman"/>
      <w:lvlText w:val="%9."/>
      <w:lvlJc w:val="right"/>
      <w:pPr>
        <w:ind w:left="6481" w:hanging="180"/>
      </w:pPr>
    </w:lvl>
  </w:abstractNum>
  <w:abstractNum w:abstractNumId="9">
    <w:nsid w:val="73443C2A"/>
    <w:multiLevelType w:val="multilevel"/>
    <w:tmpl w:val="6BB46256"/>
    <w:numStyleLink w:val="DepartmentStandardHebrew"/>
  </w:abstractNum>
  <w:num w:numId="1">
    <w:abstractNumId w:val="5"/>
  </w:num>
  <w:num w:numId="2">
    <w:abstractNumId w:val="3"/>
  </w:num>
  <w:num w:numId="3">
    <w:abstractNumId w:val="9"/>
  </w:num>
  <w:num w:numId="4">
    <w:abstractNumId w:val="1"/>
  </w:num>
  <w:num w:numId="5">
    <w:abstractNumId w:val="7"/>
  </w:num>
  <w:num w:numId="6">
    <w:abstractNumId w:val="4"/>
  </w:num>
  <w:num w:numId="7">
    <w:abstractNumId w:val="4"/>
  </w:num>
  <w:num w:numId="8">
    <w:abstractNumId w:val="0"/>
  </w:num>
  <w:num w:numId="9">
    <w:abstractNumId w:val="8"/>
  </w:num>
  <w:num w:numId="10">
    <w:abstractNumId w:val="2"/>
  </w:num>
  <w:num w:numId="11">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402ED"/>
    <w:rsid w:val="000434E0"/>
    <w:rsid w:val="000A0691"/>
    <w:rsid w:val="000A15F4"/>
    <w:rsid w:val="000A35B8"/>
    <w:rsid w:val="000A66B6"/>
    <w:rsid w:val="000E2A6E"/>
    <w:rsid w:val="001300B9"/>
    <w:rsid w:val="00175D74"/>
    <w:rsid w:val="001D0C12"/>
    <w:rsid w:val="00221182"/>
    <w:rsid w:val="00225E01"/>
    <w:rsid w:val="00226AF6"/>
    <w:rsid w:val="00230666"/>
    <w:rsid w:val="0023159A"/>
    <w:rsid w:val="002433AE"/>
    <w:rsid w:val="002611A9"/>
    <w:rsid w:val="00280A01"/>
    <w:rsid w:val="00280C4B"/>
    <w:rsid w:val="0030571C"/>
    <w:rsid w:val="00345695"/>
    <w:rsid w:val="00361CFC"/>
    <w:rsid w:val="003B4787"/>
    <w:rsid w:val="003B752E"/>
    <w:rsid w:val="003E4D6C"/>
    <w:rsid w:val="004113D8"/>
    <w:rsid w:val="00415737"/>
    <w:rsid w:val="00464438"/>
    <w:rsid w:val="004A1435"/>
    <w:rsid w:val="004B02FD"/>
    <w:rsid w:val="004D1C8E"/>
    <w:rsid w:val="004E0D55"/>
    <w:rsid w:val="004F2E70"/>
    <w:rsid w:val="005402ED"/>
    <w:rsid w:val="00555783"/>
    <w:rsid w:val="00594D88"/>
    <w:rsid w:val="005A5EC9"/>
    <w:rsid w:val="005B6DB8"/>
    <w:rsid w:val="005C3123"/>
    <w:rsid w:val="00615E9E"/>
    <w:rsid w:val="00632C66"/>
    <w:rsid w:val="00696F7F"/>
    <w:rsid w:val="006C1F00"/>
    <w:rsid w:val="006E40D4"/>
    <w:rsid w:val="0070657C"/>
    <w:rsid w:val="007106F6"/>
    <w:rsid w:val="0071093C"/>
    <w:rsid w:val="007331E9"/>
    <w:rsid w:val="00750772"/>
    <w:rsid w:val="00784F07"/>
    <w:rsid w:val="00790936"/>
    <w:rsid w:val="007A6582"/>
    <w:rsid w:val="007B3390"/>
    <w:rsid w:val="007D6B1F"/>
    <w:rsid w:val="007D6ED2"/>
    <w:rsid w:val="007E1D71"/>
    <w:rsid w:val="007E6141"/>
    <w:rsid w:val="00805E1C"/>
    <w:rsid w:val="008179C0"/>
    <w:rsid w:val="0083143F"/>
    <w:rsid w:val="00855628"/>
    <w:rsid w:val="00861419"/>
    <w:rsid w:val="00894C95"/>
    <w:rsid w:val="008A7B11"/>
    <w:rsid w:val="008F4517"/>
    <w:rsid w:val="00905F19"/>
    <w:rsid w:val="009153FD"/>
    <w:rsid w:val="009329DB"/>
    <w:rsid w:val="009413E8"/>
    <w:rsid w:val="0095019E"/>
    <w:rsid w:val="00954A57"/>
    <w:rsid w:val="009819DB"/>
    <w:rsid w:val="0098271F"/>
    <w:rsid w:val="0098422B"/>
    <w:rsid w:val="00993594"/>
    <w:rsid w:val="009D4D7C"/>
    <w:rsid w:val="00A41A64"/>
    <w:rsid w:val="00A55E09"/>
    <w:rsid w:val="00A82556"/>
    <w:rsid w:val="00AA153B"/>
    <w:rsid w:val="00AD0767"/>
    <w:rsid w:val="00AF49E8"/>
    <w:rsid w:val="00B149EF"/>
    <w:rsid w:val="00B153BF"/>
    <w:rsid w:val="00B23F0B"/>
    <w:rsid w:val="00B40032"/>
    <w:rsid w:val="00B657A3"/>
    <w:rsid w:val="00B95AC1"/>
    <w:rsid w:val="00BD3002"/>
    <w:rsid w:val="00BF520C"/>
    <w:rsid w:val="00C83119"/>
    <w:rsid w:val="00C84724"/>
    <w:rsid w:val="00CB010A"/>
    <w:rsid w:val="00CB6516"/>
    <w:rsid w:val="00CE72DF"/>
    <w:rsid w:val="00D1120F"/>
    <w:rsid w:val="00D266ED"/>
    <w:rsid w:val="00D43772"/>
    <w:rsid w:val="00D75E3D"/>
    <w:rsid w:val="00D803DA"/>
    <w:rsid w:val="00D9066E"/>
    <w:rsid w:val="00DA0551"/>
    <w:rsid w:val="00DB388D"/>
    <w:rsid w:val="00DC64C5"/>
    <w:rsid w:val="00DE53F5"/>
    <w:rsid w:val="00DF5BD4"/>
    <w:rsid w:val="00E04406"/>
    <w:rsid w:val="00E64A84"/>
    <w:rsid w:val="00E93B47"/>
    <w:rsid w:val="00EA4EB5"/>
    <w:rsid w:val="00EB28B5"/>
    <w:rsid w:val="00EB4315"/>
    <w:rsid w:val="00EB567F"/>
    <w:rsid w:val="00ED55E1"/>
    <w:rsid w:val="00EE1929"/>
    <w:rsid w:val="00EF044B"/>
    <w:rsid w:val="00EF1266"/>
    <w:rsid w:val="00F03CD1"/>
    <w:rsid w:val="00F115BA"/>
    <w:rsid w:val="00F157E2"/>
    <w:rsid w:val="00F413DB"/>
    <w:rsid w:val="00F45F5F"/>
    <w:rsid w:val="00F54D9F"/>
    <w:rsid w:val="00F70D44"/>
    <w:rsid w:val="00F70ECE"/>
    <w:rsid w:val="00F770D9"/>
    <w:rsid w:val="00F8371B"/>
    <w:rsid w:val="00F84112"/>
    <w:rsid w:val="00FA1B39"/>
    <w:rsid w:val="00FC6073"/>
    <w:rsid w:val="00FF4645"/>
    <w:rsid w:val="00FF5F96"/>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Calibri" w:hAnsi="Times New Roman" w:cs="David"/>
        <w:lang w:val="en-US" w:eastAsia="en-US" w:bidi="he-IL"/>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lsdException w:name="heading 4" w:uiPriority="9"/>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lsdException w:name="Emphasis" w:semiHidden="0" w:uiPriority="20"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a">
    <w:name w:val="Normal"/>
    <w:qFormat/>
    <w:rsid w:val="00CB6516"/>
    <w:pPr>
      <w:spacing w:after="200" w:line="276" w:lineRule="auto"/>
      <w:jc w:val="both"/>
    </w:pPr>
    <w:rPr>
      <w:sz w:val="24"/>
      <w:szCs w:val="24"/>
    </w:rPr>
  </w:style>
  <w:style w:type="paragraph" w:styleId="1">
    <w:name w:val="heading 1"/>
    <w:basedOn w:val="a"/>
    <w:next w:val="a"/>
    <w:link w:val="10"/>
    <w:uiPriority w:val="9"/>
    <w:qFormat/>
    <w:rsid w:val="00CB6516"/>
    <w:pPr>
      <w:keepNext/>
      <w:spacing w:before="240" w:after="60"/>
      <w:outlineLvl w:val="0"/>
    </w:pPr>
    <w:rPr>
      <w:rFonts w:eastAsia="Times New Roman"/>
      <w:b/>
      <w:bCs/>
      <w:kern w:val="32"/>
      <w:sz w:val="28"/>
      <w:szCs w:val="32"/>
    </w:rPr>
  </w:style>
  <w:style w:type="paragraph" w:styleId="2">
    <w:name w:val="heading 2"/>
    <w:basedOn w:val="a"/>
    <w:next w:val="a"/>
    <w:link w:val="20"/>
    <w:uiPriority w:val="9"/>
    <w:semiHidden/>
    <w:unhideWhenUsed/>
    <w:qFormat/>
    <w:rsid w:val="00CB6516"/>
    <w:pPr>
      <w:keepNext/>
      <w:spacing w:before="240" w:after="60"/>
      <w:outlineLvl w:val="1"/>
    </w:pPr>
    <w:rPr>
      <w:rFonts w:eastAsia="Times New Roman"/>
      <w:b/>
      <w:bCs/>
      <w:iCs/>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B95AC1"/>
    <w:pPr>
      <w:tabs>
        <w:tab w:val="center" w:pos="4320"/>
        <w:tab w:val="right" w:pos="8640"/>
      </w:tabs>
    </w:pPr>
  </w:style>
  <w:style w:type="character" w:customStyle="1" w:styleId="a4">
    <w:name w:val="כותרת עליונה תו"/>
    <w:link w:val="a3"/>
    <w:uiPriority w:val="99"/>
    <w:rsid w:val="00B95AC1"/>
    <w:rPr>
      <w:sz w:val="22"/>
      <w:szCs w:val="22"/>
    </w:rPr>
  </w:style>
  <w:style w:type="paragraph" w:styleId="a5">
    <w:name w:val="footer"/>
    <w:basedOn w:val="a"/>
    <w:link w:val="a6"/>
    <w:uiPriority w:val="99"/>
    <w:unhideWhenUsed/>
    <w:rsid w:val="00B95AC1"/>
    <w:pPr>
      <w:tabs>
        <w:tab w:val="center" w:pos="4320"/>
        <w:tab w:val="right" w:pos="8640"/>
      </w:tabs>
    </w:pPr>
  </w:style>
  <w:style w:type="character" w:customStyle="1" w:styleId="a6">
    <w:name w:val="כותרת תחתונה תו"/>
    <w:link w:val="a5"/>
    <w:uiPriority w:val="99"/>
    <w:rsid w:val="00B95AC1"/>
    <w:rPr>
      <w:sz w:val="22"/>
      <w:szCs w:val="22"/>
    </w:rPr>
  </w:style>
  <w:style w:type="paragraph" w:styleId="a7">
    <w:name w:val="Balloon Text"/>
    <w:basedOn w:val="a"/>
    <w:link w:val="a8"/>
    <w:uiPriority w:val="99"/>
    <w:semiHidden/>
    <w:unhideWhenUsed/>
    <w:rsid w:val="00AA153B"/>
    <w:pPr>
      <w:spacing w:after="0" w:line="240" w:lineRule="auto"/>
    </w:pPr>
    <w:rPr>
      <w:rFonts w:ascii="Tahoma" w:hAnsi="Tahoma" w:cs="Tahoma"/>
      <w:sz w:val="16"/>
      <w:szCs w:val="16"/>
    </w:rPr>
  </w:style>
  <w:style w:type="character" w:customStyle="1" w:styleId="a8">
    <w:name w:val="טקסט בלונים תו"/>
    <w:link w:val="a7"/>
    <w:uiPriority w:val="99"/>
    <w:semiHidden/>
    <w:rsid w:val="00AA153B"/>
    <w:rPr>
      <w:rFonts w:ascii="Tahoma" w:hAnsi="Tahoma" w:cs="Tahoma"/>
      <w:sz w:val="16"/>
      <w:szCs w:val="16"/>
    </w:rPr>
  </w:style>
  <w:style w:type="character" w:customStyle="1" w:styleId="10">
    <w:name w:val="כותרת 1 תו"/>
    <w:link w:val="1"/>
    <w:uiPriority w:val="9"/>
    <w:rsid w:val="00CB6516"/>
    <w:rPr>
      <w:rFonts w:eastAsia="Times New Roman"/>
      <w:b/>
      <w:bCs/>
      <w:kern w:val="32"/>
      <w:sz w:val="28"/>
      <w:szCs w:val="32"/>
    </w:rPr>
  </w:style>
  <w:style w:type="paragraph" w:styleId="a9">
    <w:name w:val="Title"/>
    <w:basedOn w:val="a"/>
    <w:next w:val="a"/>
    <w:link w:val="aa"/>
    <w:uiPriority w:val="10"/>
    <w:qFormat/>
    <w:rsid w:val="00CB6516"/>
    <w:pPr>
      <w:spacing w:before="240" w:after="60"/>
      <w:jc w:val="center"/>
      <w:outlineLvl w:val="0"/>
    </w:pPr>
    <w:rPr>
      <w:rFonts w:eastAsia="Times New Roman"/>
      <w:b/>
      <w:bCs/>
      <w:kern w:val="28"/>
      <w:sz w:val="32"/>
      <w:szCs w:val="32"/>
      <w:u w:val="single"/>
    </w:rPr>
  </w:style>
  <w:style w:type="character" w:customStyle="1" w:styleId="aa">
    <w:name w:val="כותרת טקסט תו"/>
    <w:link w:val="a9"/>
    <w:uiPriority w:val="10"/>
    <w:rsid w:val="00CB6516"/>
    <w:rPr>
      <w:rFonts w:eastAsia="Times New Roman"/>
      <w:b/>
      <w:bCs/>
      <w:kern w:val="28"/>
      <w:sz w:val="32"/>
      <w:szCs w:val="32"/>
      <w:u w:val="single"/>
    </w:rPr>
  </w:style>
  <w:style w:type="character" w:customStyle="1" w:styleId="20">
    <w:name w:val="כותרת 2 תו"/>
    <w:link w:val="2"/>
    <w:uiPriority w:val="9"/>
    <w:semiHidden/>
    <w:rsid w:val="00CB6516"/>
    <w:rPr>
      <w:rFonts w:eastAsia="Times New Roman"/>
      <w:b/>
      <w:bCs/>
      <w:iCs/>
      <w:sz w:val="24"/>
      <w:szCs w:val="28"/>
    </w:rPr>
  </w:style>
  <w:style w:type="paragraph" w:customStyle="1" w:styleId="Hebrew-Normal">
    <w:name w:val="Hebrew - Normal"/>
    <w:basedOn w:val="a"/>
    <w:link w:val="Hebrew-NormalChar"/>
    <w:rsid w:val="00696F7F"/>
  </w:style>
  <w:style w:type="character" w:customStyle="1" w:styleId="Hebrew-NormalChar">
    <w:name w:val="Hebrew - Normal Char"/>
    <w:link w:val="Hebrew-Normal"/>
    <w:rsid w:val="00696F7F"/>
    <w:rPr>
      <w:rFonts w:ascii="Times New Roman" w:hAnsi="Times New Roman" w:cs="David"/>
      <w:sz w:val="24"/>
      <w:szCs w:val="24"/>
    </w:rPr>
  </w:style>
  <w:style w:type="character" w:styleId="ab">
    <w:name w:val="Book Title"/>
    <w:uiPriority w:val="33"/>
    <w:rsid w:val="00A41A64"/>
    <w:rPr>
      <w:b/>
      <w:bCs/>
      <w:smallCaps/>
      <w:spacing w:val="5"/>
    </w:rPr>
  </w:style>
  <w:style w:type="paragraph" w:styleId="ac">
    <w:name w:val="Subtitle"/>
    <w:basedOn w:val="a"/>
    <w:next w:val="a"/>
    <w:link w:val="ad"/>
    <w:uiPriority w:val="11"/>
    <w:qFormat/>
    <w:rsid w:val="00CB6516"/>
    <w:pPr>
      <w:spacing w:after="60"/>
      <w:jc w:val="center"/>
      <w:outlineLvl w:val="1"/>
    </w:pPr>
    <w:rPr>
      <w:rFonts w:eastAsia="Times New Roman"/>
      <w:bCs/>
      <w:sz w:val="32"/>
    </w:rPr>
  </w:style>
  <w:style w:type="character" w:customStyle="1" w:styleId="ad">
    <w:name w:val="כותרת משנה תו"/>
    <w:link w:val="ac"/>
    <w:uiPriority w:val="11"/>
    <w:rsid w:val="00CB6516"/>
    <w:rPr>
      <w:rFonts w:eastAsia="Times New Roman"/>
      <w:bCs/>
      <w:sz w:val="32"/>
      <w:szCs w:val="24"/>
    </w:rPr>
  </w:style>
  <w:style w:type="numbering" w:customStyle="1" w:styleId="DepartmentStandard">
    <w:name w:val="Department Standard"/>
    <w:uiPriority w:val="99"/>
    <w:rsid w:val="000A35B8"/>
    <w:pPr>
      <w:numPr>
        <w:numId w:val="2"/>
      </w:numPr>
    </w:pPr>
  </w:style>
  <w:style w:type="numbering" w:customStyle="1" w:styleId="DepartmentStandardHebrew">
    <w:name w:val="Department Standard Hebrew"/>
    <w:uiPriority w:val="99"/>
    <w:rsid w:val="000A35B8"/>
    <w:pPr>
      <w:numPr>
        <w:numId w:val="4"/>
      </w:numPr>
    </w:pPr>
  </w:style>
  <w:style w:type="paragraph" w:customStyle="1" w:styleId="BulletedList">
    <w:name w:val="Bulleted List"/>
    <w:basedOn w:val="a"/>
    <w:qFormat/>
    <w:rsid w:val="00CB6516"/>
    <w:pPr>
      <w:numPr>
        <w:numId w:val="7"/>
      </w:numPr>
      <w:bidi/>
      <w:spacing w:after="0"/>
    </w:pPr>
  </w:style>
  <w:style w:type="paragraph" w:styleId="ae">
    <w:name w:val="No Spacing"/>
    <w:uiPriority w:val="1"/>
    <w:qFormat/>
    <w:rsid w:val="00CB6516"/>
    <w:pPr>
      <w:jc w:val="both"/>
    </w:pPr>
    <w:rPr>
      <w:sz w:val="24"/>
      <w:szCs w:val="24"/>
    </w:rPr>
  </w:style>
  <w:style w:type="paragraph" w:styleId="af">
    <w:name w:val="List Paragraph"/>
    <w:basedOn w:val="a"/>
    <w:uiPriority w:val="34"/>
    <w:qFormat/>
    <w:rsid w:val="00AD0767"/>
    <w:pPr>
      <w:ind w:left="720"/>
      <w:contextualSpacing/>
    </w:pPr>
  </w:style>
  <w:style w:type="paragraph" w:styleId="af0">
    <w:name w:val="footnote text"/>
    <w:basedOn w:val="a"/>
    <w:link w:val="af1"/>
    <w:uiPriority w:val="99"/>
    <w:unhideWhenUsed/>
    <w:rsid w:val="000434E0"/>
    <w:pPr>
      <w:spacing w:after="0" w:line="240" w:lineRule="auto"/>
    </w:pPr>
    <w:rPr>
      <w:sz w:val="20"/>
      <w:szCs w:val="20"/>
    </w:rPr>
  </w:style>
  <w:style w:type="character" w:customStyle="1" w:styleId="af1">
    <w:name w:val="טקסט הערת שוליים תו"/>
    <w:basedOn w:val="a0"/>
    <w:link w:val="af0"/>
    <w:uiPriority w:val="99"/>
    <w:rsid w:val="000434E0"/>
  </w:style>
  <w:style w:type="character" w:styleId="af2">
    <w:name w:val="footnote reference"/>
    <w:basedOn w:val="a0"/>
    <w:uiPriority w:val="99"/>
    <w:unhideWhenUsed/>
    <w:rsid w:val="000434E0"/>
    <w:rPr>
      <w:vertAlign w:val="superscript"/>
    </w:rPr>
  </w:style>
  <w:style w:type="character" w:styleId="Hyperlink">
    <w:name w:val="Hyperlink"/>
    <w:uiPriority w:val="99"/>
    <w:unhideWhenUsed/>
    <w:rsid w:val="00E64A84"/>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Calibri" w:hAnsi="Times New Roman" w:cs="David"/>
        <w:lang w:val="en-US" w:eastAsia="en-US" w:bidi="he-IL"/>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lsdException w:name="heading 4" w:uiPriority="9"/>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lsdException w:name="Emphasis" w:semiHidden="0" w:uiPriority="20"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a">
    <w:name w:val="Normal"/>
    <w:qFormat/>
    <w:rsid w:val="00CB6516"/>
    <w:pPr>
      <w:spacing w:after="200" w:line="276" w:lineRule="auto"/>
      <w:jc w:val="both"/>
    </w:pPr>
    <w:rPr>
      <w:sz w:val="24"/>
      <w:szCs w:val="24"/>
    </w:rPr>
  </w:style>
  <w:style w:type="paragraph" w:styleId="1">
    <w:name w:val="heading 1"/>
    <w:basedOn w:val="a"/>
    <w:next w:val="a"/>
    <w:link w:val="10"/>
    <w:uiPriority w:val="9"/>
    <w:qFormat/>
    <w:rsid w:val="00CB6516"/>
    <w:pPr>
      <w:keepNext/>
      <w:spacing w:before="240" w:after="60"/>
      <w:outlineLvl w:val="0"/>
    </w:pPr>
    <w:rPr>
      <w:rFonts w:eastAsia="Times New Roman"/>
      <w:b/>
      <w:bCs/>
      <w:kern w:val="32"/>
      <w:sz w:val="28"/>
      <w:szCs w:val="32"/>
    </w:rPr>
  </w:style>
  <w:style w:type="paragraph" w:styleId="2">
    <w:name w:val="heading 2"/>
    <w:basedOn w:val="a"/>
    <w:next w:val="a"/>
    <w:link w:val="20"/>
    <w:uiPriority w:val="9"/>
    <w:semiHidden/>
    <w:unhideWhenUsed/>
    <w:qFormat/>
    <w:rsid w:val="00CB6516"/>
    <w:pPr>
      <w:keepNext/>
      <w:spacing w:before="240" w:after="60"/>
      <w:outlineLvl w:val="1"/>
    </w:pPr>
    <w:rPr>
      <w:rFonts w:eastAsia="Times New Roman"/>
      <w:b/>
      <w:bCs/>
      <w:iCs/>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B95AC1"/>
    <w:pPr>
      <w:tabs>
        <w:tab w:val="center" w:pos="4320"/>
        <w:tab w:val="right" w:pos="8640"/>
      </w:tabs>
    </w:pPr>
  </w:style>
  <w:style w:type="character" w:customStyle="1" w:styleId="a4">
    <w:name w:val="כותרת עליונה תו"/>
    <w:link w:val="a3"/>
    <w:uiPriority w:val="99"/>
    <w:rsid w:val="00B95AC1"/>
    <w:rPr>
      <w:sz w:val="22"/>
      <w:szCs w:val="22"/>
    </w:rPr>
  </w:style>
  <w:style w:type="paragraph" w:styleId="a5">
    <w:name w:val="footer"/>
    <w:basedOn w:val="a"/>
    <w:link w:val="a6"/>
    <w:uiPriority w:val="99"/>
    <w:unhideWhenUsed/>
    <w:rsid w:val="00B95AC1"/>
    <w:pPr>
      <w:tabs>
        <w:tab w:val="center" w:pos="4320"/>
        <w:tab w:val="right" w:pos="8640"/>
      </w:tabs>
    </w:pPr>
  </w:style>
  <w:style w:type="character" w:customStyle="1" w:styleId="a6">
    <w:name w:val="כותרת תחתונה תו"/>
    <w:link w:val="a5"/>
    <w:uiPriority w:val="99"/>
    <w:rsid w:val="00B95AC1"/>
    <w:rPr>
      <w:sz w:val="22"/>
      <w:szCs w:val="22"/>
    </w:rPr>
  </w:style>
  <w:style w:type="paragraph" w:styleId="a7">
    <w:name w:val="Balloon Text"/>
    <w:basedOn w:val="a"/>
    <w:link w:val="a8"/>
    <w:uiPriority w:val="99"/>
    <w:semiHidden/>
    <w:unhideWhenUsed/>
    <w:rsid w:val="00AA153B"/>
    <w:pPr>
      <w:spacing w:after="0" w:line="240" w:lineRule="auto"/>
    </w:pPr>
    <w:rPr>
      <w:rFonts w:ascii="Tahoma" w:hAnsi="Tahoma" w:cs="Tahoma"/>
      <w:sz w:val="16"/>
      <w:szCs w:val="16"/>
    </w:rPr>
  </w:style>
  <w:style w:type="character" w:customStyle="1" w:styleId="a8">
    <w:name w:val="טקסט בלונים תו"/>
    <w:link w:val="a7"/>
    <w:uiPriority w:val="99"/>
    <w:semiHidden/>
    <w:rsid w:val="00AA153B"/>
    <w:rPr>
      <w:rFonts w:ascii="Tahoma" w:hAnsi="Tahoma" w:cs="Tahoma"/>
      <w:sz w:val="16"/>
      <w:szCs w:val="16"/>
    </w:rPr>
  </w:style>
  <w:style w:type="character" w:customStyle="1" w:styleId="10">
    <w:name w:val="כותרת 1 תו"/>
    <w:link w:val="1"/>
    <w:uiPriority w:val="9"/>
    <w:rsid w:val="00CB6516"/>
    <w:rPr>
      <w:rFonts w:eastAsia="Times New Roman"/>
      <w:b/>
      <w:bCs/>
      <w:kern w:val="32"/>
      <w:sz w:val="28"/>
      <w:szCs w:val="32"/>
    </w:rPr>
  </w:style>
  <w:style w:type="paragraph" w:styleId="a9">
    <w:name w:val="Title"/>
    <w:basedOn w:val="a"/>
    <w:next w:val="a"/>
    <w:link w:val="aa"/>
    <w:uiPriority w:val="10"/>
    <w:qFormat/>
    <w:rsid w:val="00CB6516"/>
    <w:pPr>
      <w:spacing w:before="240" w:after="60"/>
      <w:jc w:val="center"/>
      <w:outlineLvl w:val="0"/>
    </w:pPr>
    <w:rPr>
      <w:rFonts w:eastAsia="Times New Roman"/>
      <w:b/>
      <w:bCs/>
      <w:kern w:val="28"/>
      <w:sz w:val="32"/>
      <w:szCs w:val="32"/>
      <w:u w:val="single"/>
    </w:rPr>
  </w:style>
  <w:style w:type="character" w:customStyle="1" w:styleId="aa">
    <w:name w:val="כותרת טקסט תו"/>
    <w:link w:val="a9"/>
    <w:uiPriority w:val="10"/>
    <w:rsid w:val="00CB6516"/>
    <w:rPr>
      <w:rFonts w:eastAsia="Times New Roman"/>
      <w:b/>
      <w:bCs/>
      <w:kern w:val="28"/>
      <w:sz w:val="32"/>
      <w:szCs w:val="32"/>
      <w:u w:val="single"/>
    </w:rPr>
  </w:style>
  <w:style w:type="character" w:customStyle="1" w:styleId="20">
    <w:name w:val="כותרת 2 תו"/>
    <w:link w:val="2"/>
    <w:uiPriority w:val="9"/>
    <w:semiHidden/>
    <w:rsid w:val="00CB6516"/>
    <w:rPr>
      <w:rFonts w:eastAsia="Times New Roman"/>
      <w:b/>
      <w:bCs/>
      <w:iCs/>
      <w:sz w:val="24"/>
      <w:szCs w:val="28"/>
    </w:rPr>
  </w:style>
  <w:style w:type="paragraph" w:customStyle="1" w:styleId="Hebrew-Normal">
    <w:name w:val="Hebrew - Normal"/>
    <w:basedOn w:val="a"/>
    <w:link w:val="Hebrew-NormalChar"/>
    <w:rsid w:val="00696F7F"/>
  </w:style>
  <w:style w:type="character" w:customStyle="1" w:styleId="Hebrew-NormalChar">
    <w:name w:val="Hebrew - Normal Char"/>
    <w:link w:val="Hebrew-Normal"/>
    <w:rsid w:val="00696F7F"/>
    <w:rPr>
      <w:rFonts w:ascii="Times New Roman" w:hAnsi="Times New Roman" w:cs="David"/>
      <w:sz w:val="24"/>
      <w:szCs w:val="24"/>
    </w:rPr>
  </w:style>
  <w:style w:type="character" w:styleId="ab">
    <w:name w:val="Book Title"/>
    <w:uiPriority w:val="33"/>
    <w:rsid w:val="00A41A64"/>
    <w:rPr>
      <w:b/>
      <w:bCs/>
      <w:smallCaps/>
      <w:spacing w:val="5"/>
    </w:rPr>
  </w:style>
  <w:style w:type="paragraph" w:styleId="ac">
    <w:name w:val="Subtitle"/>
    <w:basedOn w:val="a"/>
    <w:next w:val="a"/>
    <w:link w:val="ad"/>
    <w:uiPriority w:val="11"/>
    <w:qFormat/>
    <w:rsid w:val="00CB6516"/>
    <w:pPr>
      <w:spacing w:after="60"/>
      <w:jc w:val="center"/>
      <w:outlineLvl w:val="1"/>
    </w:pPr>
    <w:rPr>
      <w:rFonts w:eastAsia="Times New Roman"/>
      <w:bCs/>
      <w:sz w:val="32"/>
    </w:rPr>
  </w:style>
  <w:style w:type="character" w:customStyle="1" w:styleId="ad">
    <w:name w:val="כותרת משנה תו"/>
    <w:link w:val="ac"/>
    <w:uiPriority w:val="11"/>
    <w:rsid w:val="00CB6516"/>
    <w:rPr>
      <w:rFonts w:eastAsia="Times New Roman"/>
      <w:bCs/>
      <w:sz w:val="32"/>
      <w:szCs w:val="24"/>
    </w:rPr>
  </w:style>
  <w:style w:type="numbering" w:customStyle="1" w:styleId="DepartmentStandard">
    <w:name w:val="Department Standard"/>
    <w:uiPriority w:val="99"/>
    <w:rsid w:val="000A35B8"/>
    <w:pPr>
      <w:numPr>
        <w:numId w:val="2"/>
      </w:numPr>
    </w:pPr>
  </w:style>
  <w:style w:type="numbering" w:customStyle="1" w:styleId="DepartmentStandardHebrew">
    <w:name w:val="Department Standard Hebrew"/>
    <w:uiPriority w:val="99"/>
    <w:rsid w:val="000A35B8"/>
    <w:pPr>
      <w:numPr>
        <w:numId w:val="4"/>
      </w:numPr>
    </w:pPr>
  </w:style>
  <w:style w:type="paragraph" w:customStyle="1" w:styleId="BulletedList">
    <w:name w:val="Bulleted List"/>
    <w:basedOn w:val="a"/>
    <w:qFormat/>
    <w:rsid w:val="00CB6516"/>
    <w:pPr>
      <w:numPr>
        <w:numId w:val="7"/>
      </w:numPr>
      <w:bidi/>
      <w:spacing w:after="0"/>
    </w:pPr>
  </w:style>
  <w:style w:type="paragraph" w:styleId="ae">
    <w:name w:val="No Spacing"/>
    <w:uiPriority w:val="1"/>
    <w:qFormat/>
    <w:rsid w:val="00CB6516"/>
    <w:pPr>
      <w:jc w:val="both"/>
    </w:pPr>
    <w:rPr>
      <w:sz w:val="24"/>
      <w:szCs w:val="24"/>
    </w:rPr>
  </w:style>
  <w:style w:type="paragraph" w:styleId="af">
    <w:name w:val="List Paragraph"/>
    <w:basedOn w:val="a"/>
    <w:uiPriority w:val="34"/>
    <w:qFormat/>
    <w:rsid w:val="00AD0767"/>
    <w:pPr>
      <w:ind w:left="720"/>
      <w:contextualSpacing/>
    </w:pPr>
  </w:style>
  <w:style w:type="paragraph" w:styleId="af0">
    <w:name w:val="footnote text"/>
    <w:basedOn w:val="a"/>
    <w:link w:val="af1"/>
    <w:uiPriority w:val="99"/>
    <w:unhideWhenUsed/>
    <w:rsid w:val="000434E0"/>
    <w:pPr>
      <w:spacing w:after="0" w:line="240" w:lineRule="auto"/>
    </w:pPr>
    <w:rPr>
      <w:sz w:val="20"/>
      <w:szCs w:val="20"/>
    </w:rPr>
  </w:style>
  <w:style w:type="character" w:customStyle="1" w:styleId="af1">
    <w:name w:val="טקסט הערת שוליים תו"/>
    <w:basedOn w:val="a0"/>
    <w:link w:val="af0"/>
    <w:uiPriority w:val="99"/>
    <w:rsid w:val="000434E0"/>
  </w:style>
  <w:style w:type="character" w:styleId="af2">
    <w:name w:val="footnote reference"/>
    <w:basedOn w:val="a0"/>
    <w:uiPriority w:val="99"/>
    <w:unhideWhenUsed/>
    <w:rsid w:val="000434E0"/>
    <w:rPr>
      <w:vertAlign w:val="superscript"/>
    </w:rPr>
  </w:style>
  <w:style w:type="character" w:styleId="Hyperlink">
    <w:name w:val="Hyperlink"/>
    <w:uiPriority w:val="99"/>
    <w:unhideWhenUsed/>
    <w:rsid w:val="00E64A84"/>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991967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emf"/></Relationships>
</file>

<file path=word/_rels/footer2.xml.rels><?xml version="1.0" encoding="UTF-8" standalone="yes"?>
<Relationships xmlns="http://schemas.openxmlformats.org/package/2006/relationships"><Relationship Id="rId1" Type="http://schemas.openxmlformats.org/officeDocument/2006/relationships/image" Target="media/image4.emf"/></Relationships>
</file>

<file path=word/_rels/footnotes.xml.rels><?xml version="1.0" encoding="UTF-8" standalone="yes"?>
<Relationships xmlns="http://schemas.openxmlformats.org/package/2006/relationships"><Relationship Id="rId8" Type="http://schemas.openxmlformats.org/officeDocument/2006/relationships/hyperlink" Target="http://www.ice.gov/doclib/about/offices/odpp/pdf/ice-detention-rpt.pdf" TargetMode="External"/><Relationship Id="rId13" Type="http://schemas.openxmlformats.org/officeDocument/2006/relationships/hyperlink" Target="http://www.globaldetentionproject.org/countries/europe/belgium/introduction.html" TargetMode="External"/><Relationship Id="rId3" Type="http://schemas.openxmlformats.org/officeDocument/2006/relationships/hyperlink" Target="http://eur-lex.europa.eu/LexUriServ/LexUriServ.do?uri=OJ:L:2008:348:0098:0107:EN:PDF" TargetMode="External"/><Relationship Id="rId7" Type="http://schemas.openxmlformats.org/officeDocument/2006/relationships/hyperlink" Target="http://www.fas.org/irp/crs/RL32369.pdf" TargetMode="External"/><Relationship Id="rId12" Type="http://schemas.openxmlformats.org/officeDocument/2006/relationships/hyperlink" Target="http://www.admin.ch/opc/en/classified-compilation/20020232/201307010000/142.20.pdf" TargetMode="External"/><Relationship Id="rId2" Type="http://schemas.openxmlformats.org/officeDocument/2006/relationships/hyperlink" Target="http://www.refworld.org/cgi-bin/texis/vtx/rwmain?docid=47a074302" TargetMode="External"/><Relationship Id="rId16" Type="http://schemas.openxmlformats.org/officeDocument/2006/relationships/hyperlink" Target="http://www.globaldetentionproject.org/countries/europe/denmark/introduction.html" TargetMode="External"/><Relationship Id="rId1" Type="http://schemas.openxmlformats.org/officeDocument/2006/relationships/hyperlink" Target="http://eur-lex.europa.eu/LexUriServ/LexUriServ.do?uri=OJ:L:2013:180:0096:0116:EN:PDF" TargetMode="External"/><Relationship Id="rId6" Type="http://schemas.openxmlformats.org/officeDocument/2006/relationships/hyperlink" Target="http://www.canlii.org/en/ca/fct/doc/1997/1997canlii5356/1997canlii5356.html" TargetMode="External"/><Relationship Id="rId11" Type="http://schemas.openxmlformats.org/officeDocument/2006/relationships/hyperlink" Target="http://www.unhcr.org.mt/media/com_form2content/documents/c8/a589/f40/UNHCR%20Position%20Paper%20on%20Detention%20in%20Malta.pdf" TargetMode="External"/><Relationship Id="rId5" Type="http://schemas.openxmlformats.org/officeDocument/2006/relationships/hyperlink" Target="http://www.immi.gov.au/managing-australias-borders/detention/_pdf/immigration-detention-statistics-feb2013.pdf" TargetMode="External"/><Relationship Id="rId15" Type="http://schemas.openxmlformats.org/officeDocument/2006/relationships/hyperlink" Target="http://www.biicl.org/files/6563_netherlands_-_final_bc_edit.pdf" TargetMode="External"/><Relationship Id="rId10" Type="http://schemas.openxmlformats.org/officeDocument/2006/relationships/hyperlink" Target="http://www.newsbook.com.mt/media/news-article/Rapport_Detenzjoni.pdf" TargetMode="External"/><Relationship Id="rId4" Type="http://schemas.openxmlformats.org/officeDocument/2006/relationships/hyperlink" Target="http://eur-lex.europa.eu/Notice.do?val=503344:cs&amp;lang=en&amp;list=503344:cs,&amp;pos=1&amp;page=1&amp;nbl=1&amp;pgs=10&amp;hwords=&amp;checktexte=checkbox&amp;visu=" TargetMode="External"/><Relationship Id="rId9" Type="http://schemas.openxmlformats.org/officeDocument/2006/relationships/hyperlink" Target="http://trac.syr.edu/immigration/reports/321/" TargetMode="External"/><Relationship Id="rId14" Type="http://schemas.openxmlformats.org/officeDocument/2006/relationships/hyperlink" Target="https://dofi.ibz.be/sites/dvzoe/FR/Documents/19801215_F.pdf"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_rels/header2.xml.rels><?xml version="1.0" encoding="UTF-8" standalone="yes"?>
<Relationships xmlns="http://schemas.openxmlformats.org/package/2006/relationships"><Relationship Id="rId1" Type="http://schemas.openxmlformats.org/officeDocument/2006/relationships/image" Target="media/image3.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392B542-96F7-44F6-8119-CCD07DA20CE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2024</Words>
  <Characters>10121</Characters>
  <Application>Microsoft Office Word</Application>
  <DocSecurity>4</DocSecurity>
  <Lines>84</Lines>
  <Paragraphs>24</Paragraphs>
  <ScaleCrop>false</ScaleCrop>
  <HeadingPairs>
    <vt:vector size="4" baseType="variant">
      <vt:variant>
        <vt:lpstr>שם</vt:lpstr>
      </vt:variant>
      <vt:variant>
        <vt:i4>1</vt:i4>
      </vt:variant>
      <vt:variant>
        <vt:lpstr>Title</vt:lpstr>
      </vt:variant>
      <vt:variant>
        <vt:i4>1</vt:i4>
      </vt:variant>
    </vt:vector>
  </HeadingPairs>
  <TitlesOfParts>
    <vt:vector size="2" baseType="lpstr">
      <vt:lpstr/>
      <vt:lpstr/>
    </vt:vector>
  </TitlesOfParts>
  <Company>MOJ</Company>
  <LinksUpToDate>false</LinksUpToDate>
  <CharactersWithSpaces>12121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Michal Amram</dc:creator>
  <cp:lastModifiedBy>Ayelet Levin</cp:lastModifiedBy>
  <cp:revision>2</cp:revision>
  <cp:lastPrinted>2013-10-10T06:01:00Z</cp:lastPrinted>
  <dcterms:created xsi:type="dcterms:W3CDTF">2013-10-16T12:28:00Z</dcterms:created>
  <dcterms:modified xsi:type="dcterms:W3CDTF">2013-10-16T12:28:00Z</dcterms:modified>
</cp:coreProperties>
</file>