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50" w:rsidRDefault="00B91250" w:rsidP="00B91250">
      <w:pPr>
        <w:rPr>
          <w:u w:val="single"/>
          <w:rtl/>
        </w:rPr>
      </w:pPr>
      <w:r w:rsidRPr="008017DB">
        <w:rPr>
          <w:rFonts w:hint="cs"/>
          <w:u w:val="single"/>
          <w:rtl/>
        </w:rPr>
        <w:t>הערות והתייחסויות נוספות לגבי הסעיפים הפליליים:</w:t>
      </w:r>
    </w:p>
    <w:p w:rsidR="00495368" w:rsidRPr="008017DB" w:rsidRDefault="00495368" w:rsidP="00B91250">
      <w:pPr>
        <w:rPr>
          <w:u w:val="single"/>
          <w:rtl/>
        </w:rPr>
      </w:pPr>
    </w:p>
    <w:p w:rsidR="00B91250" w:rsidRPr="00B35F84" w:rsidRDefault="00B91250" w:rsidP="0019082C">
      <w:pPr>
        <w:pStyle w:val="a3"/>
        <w:numPr>
          <w:ilvl w:val="0"/>
          <w:numId w:val="1"/>
        </w:numPr>
        <w:rPr>
          <w:b/>
          <w:bCs/>
        </w:rPr>
      </w:pPr>
      <w:r w:rsidRPr="00B35F84">
        <w:rPr>
          <w:rFonts w:hint="cs"/>
          <w:b/>
          <w:bCs/>
          <w:rtl/>
        </w:rPr>
        <w:t>תקנה 16א(א)(1)</w:t>
      </w:r>
      <w:r>
        <w:rPr>
          <w:rFonts w:hint="cs"/>
          <w:b/>
          <w:bCs/>
          <w:rtl/>
        </w:rPr>
        <w:t xml:space="preserve"> ו-(2)</w:t>
      </w:r>
      <w:r w:rsidRPr="00B35F84">
        <w:rPr>
          <w:rFonts w:hint="cs"/>
          <w:b/>
          <w:bCs/>
          <w:rtl/>
        </w:rPr>
        <w:t xml:space="preserve"> הקובע</w:t>
      </w:r>
      <w:r>
        <w:rPr>
          <w:rFonts w:hint="cs"/>
          <w:b/>
          <w:bCs/>
          <w:rtl/>
        </w:rPr>
        <w:t>ות עבירות</w:t>
      </w:r>
      <w:r w:rsidRPr="00B35F84">
        <w:rPr>
          <w:rFonts w:hint="cs"/>
          <w:b/>
          <w:bCs/>
          <w:rtl/>
        </w:rPr>
        <w:t xml:space="preserve"> על תקנה </w:t>
      </w:r>
      <w:r>
        <w:rPr>
          <w:rFonts w:hint="cs"/>
          <w:b/>
          <w:bCs/>
          <w:rtl/>
        </w:rPr>
        <w:t>2</w:t>
      </w:r>
      <w:r w:rsidRPr="00B35F84">
        <w:rPr>
          <w:b/>
          <w:bCs/>
          <w:rtl/>
        </w:rPr>
        <w:t>–</w:t>
      </w:r>
      <w:r w:rsidR="0019082C">
        <w:rPr>
          <w:rFonts w:hint="cs"/>
          <w:b/>
          <w:bCs/>
          <w:rtl/>
        </w:rPr>
        <w:t xml:space="preserve"> </w:t>
      </w:r>
    </w:p>
    <w:p w:rsidR="00B91250" w:rsidRDefault="0024342D" w:rsidP="0024342D">
      <w:pPr>
        <w:pStyle w:val="a3"/>
        <w:rPr>
          <w:rtl/>
        </w:rPr>
      </w:pPr>
      <w:r>
        <w:rPr>
          <w:rFonts w:hint="cs"/>
          <w:rtl/>
        </w:rPr>
        <w:t>נ</w:t>
      </w:r>
      <w:r w:rsidR="00073418">
        <w:rPr>
          <w:rFonts w:hint="cs"/>
          <w:rtl/>
        </w:rPr>
        <w:t>יתן</w:t>
      </w:r>
      <w:r w:rsidR="0049369C">
        <w:rPr>
          <w:rFonts w:hint="cs"/>
          <w:rtl/>
        </w:rPr>
        <w:t xml:space="preserve"> לאחד את שתי התקנות שקובעות כעת שתי עבירות על אותה תקנה</w:t>
      </w:r>
      <w:r w:rsidR="00C879CF">
        <w:rPr>
          <w:rFonts w:hint="cs"/>
          <w:rtl/>
        </w:rPr>
        <w:t xml:space="preserve"> - </w:t>
      </w:r>
      <w:r w:rsidR="00A91BD1">
        <w:rPr>
          <w:rFonts w:hint="cs"/>
          <w:rtl/>
        </w:rPr>
        <w:t xml:space="preserve"> 2 - </w:t>
      </w:r>
      <w:r w:rsidR="000D4E90">
        <w:rPr>
          <w:rFonts w:hint="cs"/>
          <w:rtl/>
        </w:rPr>
        <w:t xml:space="preserve"> ללא הבחנה ברורה. </w:t>
      </w:r>
      <w:r w:rsidR="0049369C">
        <w:rPr>
          <w:rFonts w:hint="cs"/>
          <w:rtl/>
        </w:rPr>
        <w:t>מאחר ש</w:t>
      </w:r>
      <w:r w:rsidR="00A91BD1">
        <w:rPr>
          <w:rFonts w:hint="cs"/>
          <w:rtl/>
        </w:rPr>
        <w:t>תקנה</w:t>
      </w:r>
      <w:r w:rsidR="0049369C">
        <w:rPr>
          <w:rFonts w:hint="cs"/>
          <w:rtl/>
        </w:rPr>
        <w:t xml:space="preserve"> 2</w:t>
      </w:r>
      <w:r w:rsidR="00A91BD1">
        <w:rPr>
          <w:rFonts w:hint="cs"/>
          <w:rtl/>
        </w:rPr>
        <w:t xml:space="preserve"> אוחדה בנוסח העדכני</w:t>
      </w:r>
      <w:r w:rsidR="000D4E90">
        <w:rPr>
          <w:rFonts w:hint="cs"/>
          <w:rtl/>
        </w:rPr>
        <w:t>, יש מקום לעשות את ההתאמות הנדרשות גם ב</w:t>
      </w:r>
      <w:r>
        <w:rPr>
          <w:rFonts w:hint="cs"/>
          <w:rtl/>
        </w:rPr>
        <w:t>סעיף העונשין.</w:t>
      </w:r>
    </w:p>
    <w:p w:rsidR="00B91250" w:rsidRDefault="00B91250" w:rsidP="00B91250">
      <w:pPr>
        <w:pStyle w:val="a3"/>
        <w:rPr>
          <w:rtl/>
        </w:rPr>
      </w:pPr>
    </w:p>
    <w:p w:rsidR="00073418" w:rsidRDefault="00073418" w:rsidP="009C74F5">
      <w:pPr>
        <w:pStyle w:val="a3"/>
        <w:rPr>
          <w:rtl/>
        </w:rPr>
      </w:pPr>
      <w:r>
        <w:rPr>
          <w:rFonts w:hint="cs"/>
          <w:rtl/>
        </w:rPr>
        <w:t>בנוסף, באשר ל</w:t>
      </w:r>
      <w:r w:rsidR="0024342D">
        <w:rPr>
          <w:rFonts w:hint="cs"/>
          <w:rtl/>
        </w:rPr>
        <w:t>נוסח תקנה 2 החדש, חשוב</w:t>
      </w:r>
      <w:r>
        <w:rPr>
          <w:rFonts w:hint="cs"/>
          <w:rtl/>
        </w:rPr>
        <w:t xml:space="preserve"> להבהיר את </w:t>
      </w:r>
      <w:r w:rsidRPr="0024342D">
        <w:rPr>
          <w:rFonts w:hint="cs"/>
          <w:b/>
          <w:bCs/>
          <w:rtl/>
        </w:rPr>
        <w:t>חובותיו של המחזיק</w:t>
      </w:r>
      <w:r>
        <w:rPr>
          <w:rFonts w:hint="cs"/>
          <w:rtl/>
        </w:rPr>
        <w:t xml:space="preserve"> </w:t>
      </w:r>
      <w:r w:rsidR="0024342D">
        <w:rPr>
          <w:rFonts w:hint="cs"/>
          <w:rtl/>
        </w:rPr>
        <w:t xml:space="preserve">ולנסח את הסעיף באופן זה </w:t>
      </w:r>
      <w:r>
        <w:rPr>
          <w:rFonts w:hint="cs"/>
          <w:rtl/>
        </w:rPr>
        <w:t xml:space="preserve">כיוון שאלה ההתנהגויות המבססות </w:t>
      </w:r>
      <w:r w:rsidR="009C74F5">
        <w:rPr>
          <w:rFonts w:hint="cs"/>
          <w:rtl/>
        </w:rPr>
        <w:t>את ה</w:t>
      </w:r>
      <w:r>
        <w:rPr>
          <w:rFonts w:hint="cs"/>
          <w:rtl/>
        </w:rPr>
        <w:t xml:space="preserve">עבירה </w:t>
      </w:r>
      <w:r w:rsidR="009C74F5">
        <w:rPr>
          <w:rFonts w:hint="cs"/>
          <w:rtl/>
        </w:rPr>
        <w:t>ה</w:t>
      </w:r>
      <w:r>
        <w:rPr>
          <w:rFonts w:hint="cs"/>
          <w:rtl/>
        </w:rPr>
        <w:t xml:space="preserve">פלילית. "נרשם במרכז הרישום" אינה התנהגות שהמחזיק  אמון </w:t>
      </w:r>
      <w:r w:rsidR="0024342D">
        <w:rPr>
          <w:rFonts w:hint="cs"/>
          <w:rtl/>
        </w:rPr>
        <w:t xml:space="preserve">עליה או יכול לשלוט </w:t>
      </w:r>
      <w:r w:rsidR="009C74F5">
        <w:rPr>
          <w:rFonts w:hint="cs"/>
          <w:rtl/>
        </w:rPr>
        <w:t>בה</w:t>
      </w:r>
      <w:r w:rsidR="0024342D">
        <w:rPr>
          <w:rFonts w:hint="cs"/>
          <w:rtl/>
        </w:rPr>
        <w:t>.</w:t>
      </w:r>
      <w:r>
        <w:rPr>
          <w:rFonts w:hint="cs"/>
          <w:rtl/>
        </w:rPr>
        <w:t xml:space="preserve">. </w:t>
      </w:r>
      <w:r w:rsidR="0024342D">
        <w:rPr>
          <w:rFonts w:hint="cs"/>
          <w:rtl/>
        </w:rPr>
        <w:t xml:space="preserve">להבנתנו, </w:t>
      </w:r>
      <w:r>
        <w:rPr>
          <w:rFonts w:hint="cs"/>
          <w:rtl/>
        </w:rPr>
        <w:t>ניתן לייחס לו אחריות לפעולות של לדאוג לסימון ולהחזיק בתעודת רישום ונראה שדי שיעמוד בפעולות אלה כדי למלא את חובתו.</w:t>
      </w:r>
      <w:r w:rsidR="0024342D">
        <w:rPr>
          <w:rFonts w:hint="cs"/>
          <w:rtl/>
        </w:rPr>
        <w:t xml:space="preserve"> ראו בהמשך הצעה לנוסח מתוקן.</w:t>
      </w:r>
    </w:p>
    <w:p w:rsidR="00073418" w:rsidRDefault="00073418" w:rsidP="00073418">
      <w:pPr>
        <w:pStyle w:val="a3"/>
        <w:rPr>
          <w:rtl/>
        </w:rPr>
      </w:pPr>
    </w:p>
    <w:p w:rsidR="0049369C" w:rsidRDefault="0049369C" w:rsidP="009C74F5">
      <w:pPr>
        <w:pStyle w:val="a3"/>
        <w:rPr>
          <w:rtl/>
        </w:rPr>
      </w:pPr>
      <w:r>
        <w:rPr>
          <w:rFonts w:hint="cs"/>
          <w:rtl/>
        </w:rPr>
        <w:t xml:space="preserve">באשר ל"בעלות" </w:t>
      </w:r>
      <w:r w:rsidR="00B91250">
        <w:rPr>
          <w:rFonts w:hint="cs"/>
          <w:rtl/>
        </w:rPr>
        <w:t xml:space="preserve">מול "החזקה",  </w:t>
      </w:r>
      <w:r w:rsidR="00073418">
        <w:rPr>
          <w:rFonts w:hint="cs"/>
          <w:rtl/>
        </w:rPr>
        <w:t xml:space="preserve">לאחר מעבר נוסף </w:t>
      </w:r>
      <w:r w:rsidR="0019082C">
        <w:rPr>
          <w:rFonts w:hint="cs"/>
          <w:rtl/>
        </w:rPr>
        <w:t>ברורה לנו יותר כעת כוונתכם</w:t>
      </w:r>
      <w:r w:rsidR="00073418">
        <w:rPr>
          <w:rFonts w:hint="cs"/>
          <w:rtl/>
        </w:rPr>
        <w:t>, וממעבר על חוק הסדרת הפיקוח על כלבים עולה שגם שם נעשה שימוש במונח "מחזיק" בסעיף העונשין.</w:t>
      </w:r>
      <w:r w:rsidR="00B91250">
        <w:rPr>
          <w:rFonts w:hint="cs"/>
          <w:rtl/>
        </w:rPr>
        <w:t xml:space="preserve"> </w:t>
      </w:r>
      <w:r w:rsidR="00073418">
        <w:rPr>
          <w:rFonts w:hint="cs"/>
          <w:rtl/>
        </w:rPr>
        <w:t xml:space="preserve">לפיכך, </w:t>
      </w:r>
      <w:r w:rsidR="0024342D">
        <w:rPr>
          <w:rFonts w:hint="cs"/>
          <w:rtl/>
        </w:rPr>
        <w:t>נראה שה</w:t>
      </w:r>
      <w:r w:rsidR="00073418">
        <w:rPr>
          <w:rFonts w:hint="cs"/>
          <w:rtl/>
        </w:rPr>
        <w:t>מונח "מחזיק"</w:t>
      </w:r>
      <w:r w:rsidR="0024342D">
        <w:rPr>
          <w:rFonts w:hint="cs"/>
          <w:rtl/>
        </w:rPr>
        <w:t xml:space="preserve"> מתאים</w:t>
      </w:r>
      <w:r w:rsidR="00073418">
        <w:rPr>
          <w:rFonts w:hint="cs"/>
          <w:rtl/>
        </w:rPr>
        <w:t xml:space="preserve">, אך ראוי </w:t>
      </w:r>
      <w:r w:rsidR="009C74F5">
        <w:rPr>
          <w:rFonts w:hint="cs"/>
          <w:rtl/>
        </w:rPr>
        <w:t>שיהיה נוסח אחיד בנושא ב</w:t>
      </w:r>
      <w:r w:rsidR="00073418">
        <w:rPr>
          <w:rFonts w:hint="cs"/>
          <w:rtl/>
        </w:rPr>
        <w:t xml:space="preserve">תקנות </w:t>
      </w:r>
      <w:r w:rsidR="009C74F5">
        <w:rPr>
          <w:rFonts w:hint="cs"/>
          <w:rtl/>
        </w:rPr>
        <w:t xml:space="preserve">השונות </w:t>
      </w:r>
      <w:r w:rsidR="00073418">
        <w:rPr>
          <w:rFonts w:hint="cs"/>
          <w:rtl/>
        </w:rPr>
        <w:t xml:space="preserve">(למשל, תקנה 7 מתייחסת למונח "בעלים" וכך גם </w:t>
      </w:r>
      <w:r w:rsidR="0024342D">
        <w:rPr>
          <w:rFonts w:hint="cs"/>
          <w:rtl/>
        </w:rPr>
        <w:t xml:space="preserve">הוראות של </w:t>
      </w:r>
      <w:r w:rsidR="00073418">
        <w:rPr>
          <w:rFonts w:hint="cs"/>
          <w:rtl/>
        </w:rPr>
        <w:t>תקנות נוספות).</w:t>
      </w:r>
    </w:p>
    <w:p w:rsidR="00B91250" w:rsidRDefault="00B91250" w:rsidP="00B91250">
      <w:pPr>
        <w:pStyle w:val="a3"/>
        <w:rPr>
          <w:rtl/>
        </w:rPr>
      </w:pPr>
    </w:p>
    <w:p w:rsidR="00B91250" w:rsidRPr="0019082C" w:rsidRDefault="00031339" w:rsidP="009C74F5">
      <w:pPr>
        <w:pStyle w:val="a3"/>
        <w:rPr>
          <w:rFonts w:hint="cs"/>
          <w:u w:val="single"/>
          <w:rtl/>
        </w:rPr>
      </w:pPr>
      <w:r w:rsidRPr="0019082C">
        <w:rPr>
          <w:rFonts w:hint="cs"/>
          <w:u w:val="single"/>
          <w:rtl/>
        </w:rPr>
        <w:t>לסיכום,</w:t>
      </w:r>
      <w:r w:rsidR="00B91250" w:rsidRPr="0019082C">
        <w:rPr>
          <w:rFonts w:hint="cs"/>
          <w:u w:val="single"/>
          <w:rtl/>
        </w:rPr>
        <w:t xml:space="preserve"> </w:t>
      </w:r>
      <w:r w:rsidR="0024342D" w:rsidRPr="0019082C">
        <w:rPr>
          <w:rFonts w:hint="cs"/>
          <w:u w:val="single"/>
          <w:rtl/>
        </w:rPr>
        <w:t>נציע לנסח כך:</w:t>
      </w:r>
    </w:p>
    <w:p w:rsidR="0024342D" w:rsidRDefault="0024342D" w:rsidP="009C74F5">
      <w:pPr>
        <w:pStyle w:val="a3"/>
        <w:rPr>
          <w:rFonts w:hint="cs"/>
          <w:rtl/>
        </w:rPr>
      </w:pPr>
      <w:r w:rsidRPr="0024342D">
        <w:rPr>
          <w:rFonts w:hint="cs"/>
          <w:b/>
          <w:bCs/>
          <w:rtl/>
        </w:rPr>
        <w:t xml:space="preserve">תקנה 2: </w:t>
      </w:r>
      <w:r>
        <w:rPr>
          <w:rFonts w:hint="cs"/>
          <w:rtl/>
        </w:rPr>
        <w:t>"לא יחזיק אדם גמל שגילו עולה על 3 חודשים ולא יעביר את ההחזקה בו אלא אם כן הוא דאג לסימונו על ידי מסמן בתווית והוא מחזיק בתעודת רישום</w:t>
      </w:r>
      <w:r w:rsidR="009C74F5">
        <w:rPr>
          <w:rFonts w:hint="cs"/>
          <w:rtl/>
        </w:rPr>
        <w:t xml:space="preserve"> </w:t>
      </w:r>
      <w:r>
        <w:rPr>
          <w:rFonts w:hint="cs"/>
          <w:rtl/>
        </w:rPr>
        <w:t>בהתאם להוראות תקנות אלה".</w:t>
      </w:r>
    </w:p>
    <w:p w:rsidR="0024342D" w:rsidRDefault="0024342D" w:rsidP="0024342D">
      <w:pPr>
        <w:pStyle w:val="a3"/>
        <w:rPr>
          <w:rtl/>
        </w:rPr>
      </w:pPr>
      <w:r w:rsidRPr="00B35F84">
        <w:rPr>
          <w:rFonts w:hint="cs"/>
          <w:b/>
          <w:bCs/>
          <w:rtl/>
        </w:rPr>
        <w:t>תקנה 16א(א)(1)</w:t>
      </w:r>
      <w:r>
        <w:rPr>
          <w:rFonts w:hint="cs"/>
          <w:rtl/>
        </w:rPr>
        <w:t xml:space="preserve"> : "המחזיק גמל או מעביר החזקתו בו בלא שדאג לסימונו ובלא שהוא מחזיק בתעודת רישום, בניגוד לתקנה 2"</w:t>
      </w:r>
    </w:p>
    <w:p w:rsidR="00B91250" w:rsidRDefault="0024342D" w:rsidP="0024342D">
      <w:pPr>
        <w:pStyle w:val="a3"/>
        <w:rPr>
          <w:rtl/>
        </w:rPr>
      </w:pPr>
      <w:r w:rsidRPr="00B35F84">
        <w:rPr>
          <w:rFonts w:hint="cs"/>
          <w:b/>
          <w:bCs/>
          <w:rtl/>
        </w:rPr>
        <w:t>תקנה 16א(א)(</w:t>
      </w:r>
      <w:r>
        <w:rPr>
          <w:rFonts w:hint="cs"/>
          <w:b/>
          <w:bCs/>
          <w:rtl/>
        </w:rPr>
        <w:t>2</w:t>
      </w:r>
      <w:r w:rsidRPr="00B35F84">
        <w:rPr>
          <w:rFonts w:hint="cs"/>
          <w:b/>
          <w:bCs/>
          <w:rtl/>
        </w:rPr>
        <w:t>)</w:t>
      </w:r>
      <w:r>
        <w:rPr>
          <w:rFonts w:hint="cs"/>
          <w:b/>
          <w:bCs/>
          <w:rtl/>
        </w:rPr>
        <w:t xml:space="preserve">: </w:t>
      </w:r>
      <w:r w:rsidRPr="0024342D">
        <w:rPr>
          <w:rFonts w:hint="cs"/>
          <w:rtl/>
        </w:rPr>
        <w:t>תימחק</w:t>
      </w:r>
    </w:p>
    <w:p w:rsidR="00B91250" w:rsidRPr="008355FE" w:rsidRDefault="00B91250" w:rsidP="00B91250">
      <w:pPr>
        <w:pStyle w:val="a3"/>
      </w:pPr>
    </w:p>
    <w:p w:rsidR="00CC28BB" w:rsidRDefault="00CC28BB" w:rsidP="007E6DBD">
      <w:pPr>
        <w:pStyle w:val="a3"/>
        <w:numPr>
          <w:ilvl w:val="0"/>
          <w:numId w:val="1"/>
        </w:numPr>
        <w:rPr>
          <w:rFonts w:hint="cs"/>
          <w:b/>
          <w:bCs/>
        </w:rPr>
      </w:pPr>
      <w:r>
        <w:rPr>
          <w:rFonts w:hint="cs"/>
          <w:b/>
          <w:bCs/>
          <w:rtl/>
        </w:rPr>
        <w:t>תקנה 16א(א)(4) הקובעת עבירה על תקנה 9</w:t>
      </w:r>
    </w:p>
    <w:p w:rsidR="00CC28BB" w:rsidRDefault="00CC28BB" w:rsidP="00CC28BB">
      <w:pPr>
        <w:pStyle w:val="a3"/>
        <w:rPr>
          <w:rFonts w:hint="cs"/>
          <w:rtl/>
        </w:rPr>
      </w:pPr>
      <w:r>
        <w:rPr>
          <w:rFonts w:hint="cs"/>
          <w:rtl/>
        </w:rPr>
        <w:t>לא ברורים תנאי ההרשאה לפי תקנה 9, האם הרשאה להסרת סימון עשויים להינתן למישהו שאין לו מיומנות לכך, למשל אדם שאינו וטרינר? עדי ביקשה הבהרה בנושא בפעם הקודמת (על מנת לוודא שהבנו את כוונתכם</w:t>
      </w:r>
      <w:r w:rsidR="001C35A2">
        <w:rPr>
          <w:rFonts w:hint="cs"/>
          <w:rtl/>
        </w:rPr>
        <w:t xml:space="preserve"> ולהסב את תשומת לבכם לנושא</w:t>
      </w:r>
      <w:r>
        <w:rPr>
          <w:rFonts w:hint="cs"/>
          <w:rtl/>
        </w:rPr>
        <w:t>..).</w:t>
      </w:r>
    </w:p>
    <w:p w:rsidR="00CC28BB" w:rsidRDefault="00CC28BB" w:rsidP="00CC28BB">
      <w:pPr>
        <w:pStyle w:val="a3"/>
        <w:rPr>
          <w:rFonts w:hint="cs"/>
          <w:b/>
          <w:bCs/>
        </w:rPr>
      </w:pPr>
    </w:p>
    <w:p w:rsidR="00B91250" w:rsidRPr="00B31F88" w:rsidRDefault="00CC28BB" w:rsidP="007E6DBD">
      <w:pPr>
        <w:pStyle w:val="a3"/>
        <w:numPr>
          <w:ilvl w:val="0"/>
          <w:numId w:val="1"/>
        </w:numPr>
        <w:rPr>
          <w:b/>
          <w:bCs/>
        </w:rPr>
      </w:pPr>
      <w:r>
        <w:rPr>
          <w:rFonts w:hint="cs"/>
          <w:b/>
          <w:bCs/>
          <w:rtl/>
        </w:rPr>
        <w:t>תקנה</w:t>
      </w:r>
      <w:r w:rsidR="00B91250" w:rsidRPr="00B31F88">
        <w:rPr>
          <w:rFonts w:hint="cs"/>
          <w:b/>
          <w:bCs/>
          <w:rtl/>
        </w:rPr>
        <w:t xml:space="preserve"> 16א(א)(6) הקובע</w:t>
      </w:r>
      <w:r w:rsidR="007E6DBD">
        <w:rPr>
          <w:rFonts w:hint="cs"/>
          <w:b/>
          <w:bCs/>
          <w:rtl/>
        </w:rPr>
        <w:t>ת</w:t>
      </w:r>
      <w:r w:rsidR="00B91250" w:rsidRPr="00B31F88">
        <w:rPr>
          <w:rFonts w:hint="cs"/>
          <w:b/>
          <w:bCs/>
          <w:rtl/>
        </w:rPr>
        <w:t xml:space="preserve"> עבי</w:t>
      </w:r>
      <w:r w:rsidR="007E6DBD">
        <w:rPr>
          <w:rFonts w:hint="cs"/>
          <w:b/>
          <w:bCs/>
          <w:rtl/>
        </w:rPr>
        <w:t>רה</w:t>
      </w:r>
      <w:r w:rsidR="00B31F88" w:rsidRPr="00B31F88">
        <w:rPr>
          <w:rFonts w:hint="cs"/>
          <w:b/>
          <w:bCs/>
          <w:rtl/>
        </w:rPr>
        <w:t xml:space="preserve"> על תקנ</w:t>
      </w:r>
      <w:r w:rsidR="007E6DBD">
        <w:rPr>
          <w:rFonts w:hint="cs"/>
          <w:b/>
          <w:bCs/>
          <w:rtl/>
        </w:rPr>
        <w:t xml:space="preserve">ה </w:t>
      </w:r>
      <w:r w:rsidR="00B31F88" w:rsidRPr="00B31F88">
        <w:rPr>
          <w:rFonts w:hint="cs"/>
          <w:b/>
          <w:bCs/>
          <w:rtl/>
        </w:rPr>
        <w:t>11(ב)</w:t>
      </w:r>
    </w:p>
    <w:p w:rsidR="007E6DBD" w:rsidRDefault="0024342D" w:rsidP="0019082C">
      <w:pPr>
        <w:pStyle w:val="a3"/>
        <w:rPr>
          <w:rtl/>
        </w:rPr>
      </w:pPr>
      <w:r>
        <w:rPr>
          <w:rFonts w:hint="cs"/>
          <w:rtl/>
        </w:rPr>
        <w:t xml:space="preserve">במענה לשאלתכם, </w:t>
      </w:r>
      <w:r w:rsidRPr="0019082C">
        <w:rPr>
          <w:rFonts w:hint="cs"/>
          <w:u w:val="single"/>
          <w:rtl/>
        </w:rPr>
        <w:t>אכן לטעמנו מדובר בשגיאה להשאיר נוסח לעבירה זו,</w:t>
      </w:r>
      <w:r>
        <w:rPr>
          <w:rFonts w:hint="cs"/>
          <w:rtl/>
        </w:rPr>
        <w:t xml:space="preserve"> שיש בעניינה </w:t>
      </w:r>
      <w:r w:rsidR="0019082C">
        <w:rPr>
          <w:rFonts w:hint="cs"/>
          <w:rtl/>
        </w:rPr>
        <w:t xml:space="preserve">עבירה אחרת- </w:t>
      </w:r>
      <w:r>
        <w:rPr>
          <w:rFonts w:hint="cs"/>
          <w:rtl/>
        </w:rPr>
        <w:t>זיוף</w:t>
      </w:r>
      <w:r w:rsidR="0019082C">
        <w:rPr>
          <w:rFonts w:hint="cs"/>
          <w:rtl/>
        </w:rPr>
        <w:t>- בחוק העונשין.</w:t>
      </w:r>
    </w:p>
    <w:p w:rsidR="0024342D" w:rsidRDefault="0024342D" w:rsidP="007F33A4">
      <w:pPr>
        <w:pStyle w:val="a3"/>
        <w:rPr>
          <w:rFonts w:hint="cs"/>
          <w:rtl/>
        </w:rPr>
      </w:pPr>
      <w:r>
        <w:rPr>
          <w:rFonts w:hint="cs"/>
          <w:rtl/>
        </w:rPr>
        <w:t xml:space="preserve">לא מצאנו מקרים </w:t>
      </w:r>
      <w:r w:rsidR="0019082C">
        <w:rPr>
          <w:rFonts w:hint="cs"/>
          <w:rtl/>
        </w:rPr>
        <w:t xml:space="preserve">של שינוי </w:t>
      </w:r>
      <w:r>
        <w:rPr>
          <w:rFonts w:hint="cs"/>
          <w:rtl/>
        </w:rPr>
        <w:t>ש</w:t>
      </w:r>
      <w:r w:rsidR="0019082C">
        <w:rPr>
          <w:rFonts w:hint="cs"/>
          <w:rtl/>
        </w:rPr>
        <w:t>יש</w:t>
      </w:r>
      <w:r>
        <w:rPr>
          <w:rFonts w:hint="cs"/>
          <w:rtl/>
        </w:rPr>
        <w:t xml:space="preserve"> להפליל שלא מקבלים מענה בעבירת הזיוף,</w:t>
      </w:r>
      <w:r w:rsidR="0019082C">
        <w:rPr>
          <w:rFonts w:hint="cs"/>
          <w:rtl/>
        </w:rPr>
        <w:t xml:space="preserve"> או סוגיה </w:t>
      </w:r>
      <w:proofErr w:type="spellStart"/>
      <w:r w:rsidR="0019082C">
        <w:rPr>
          <w:rFonts w:hint="cs"/>
          <w:rtl/>
        </w:rPr>
        <w:t>יחודית</w:t>
      </w:r>
      <w:proofErr w:type="spellEnd"/>
      <w:r w:rsidR="0019082C">
        <w:rPr>
          <w:rFonts w:hint="cs"/>
          <w:rtl/>
        </w:rPr>
        <w:t xml:space="preserve"> אחרת</w:t>
      </w:r>
      <w:r w:rsidR="007F33A4">
        <w:rPr>
          <w:rFonts w:hint="cs"/>
          <w:rtl/>
        </w:rPr>
        <w:t xml:space="preserve">. </w:t>
      </w:r>
      <w:r>
        <w:rPr>
          <w:rFonts w:hint="cs"/>
          <w:rtl/>
        </w:rPr>
        <w:t xml:space="preserve">ככל שיש עניין כזה לדעתכם, נשמח להבין. </w:t>
      </w:r>
    </w:p>
    <w:p w:rsidR="007E6DBD" w:rsidRDefault="0024342D" w:rsidP="0024342D">
      <w:pPr>
        <w:pStyle w:val="a3"/>
        <w:rPr>
          <w:rtl/>
        </w:rPr>
      </w:pPr>
      <w:r>
        <w:rPr>
          <w:rFonts w:hint="cs"/>
          <w:rtl/>
        </w:rPr>
        <w:t xml:space="preserve">באשר לענישה, נכון </w:t>
      </w:r>
      <w:r w:rsidR="00EB007A">
        <w:rPr>
          <w:rFonts w:hint="cs"/>
          <w:rtl/>
        </w:rPr>
        <w:t xml:space="preserve">אמנם, </w:t>
      </w:r>
      <w:r>
        <w:rPr>
          <w:rFonts w:hint="cs"/>
          <w:rtl/>
        </w:rPr>
        <w:t>ש</w:t>
      </w:r>
      <w:r w:rsidR="00EB007A">
        <w:rPr>
          <w:rFonts w:hint="cs"/>
          <w:rtl/>
        </w:rPr>
        <w:t xml:space="preserve">העבירה בחוק העונשין חמורה יותר, אך </w:t>
      </w:r>
      <w:r>
        <w:rPr>
          <w:rFonts w:hint="cs"/>
          <w:rtl/>
        </w:rPr>
        <w:t xml:space="preserve">כמובן </w:t>
      </w:r>
      <w:r w:rsidR="00EB007A">
        <w:rPr>
          <w:rFonts w:hint="cs"/>
          <w:rtl/>
        </w:rPr>
        <w:t>מדובר בענישה</w:t>
      </w:r>
      <w:r w:rsidR="0049369C">
        <w:rPr>
          <w:rFonts w:hint="cs"/>
          <w:rtl/>
        </w:rPr>
        <w:t xml:space="preserve"> מקסימלית ואין חובה</w:t>
      </w:r>
      <w:r w:rsidR="00EB007A">
        <w:rPr>
          <w:rFonts w:hint="cs"/>
          <w:rtl/>
        </w:rPr>
        <w:t xml:space="preserve"> לפסוק ברף זה </w:t>
      </w:r>
      <w:r w:rsidR="0049369C">
        <w:rPr>
          <w:rFonts w:hint="cs"/>
          <w:rtl/>
        </w:rPr>
        <w:t>.</w:t>
      </w:r>
    </w:p>
    <w:p w:rsidR="00B31F88" w:rsidRDefault="00B31F88" w:rsidP="00B31F88">
      <w:pPr>
        <w:pStyle w:val="a3"/>
        <w:rPr>
          <w:rtl/>
        </w:rPr>
      </w:pPr>
    </w:p>
    <w:p w:rsidR="00B31F88" w:rsidRPr="008017DB" w:rsidRDefault="008017DB" w:rsidP="00B91250">
      <w:pPr>
        <w:pStyle w:val="a3"/>
        <w:numPr>
          <w:ilvl w:val="0"/>
          <w:numId w:val="1"/>
        </w:numPr>
        <w:rPr>
          <w:b/>
          <w:bCs/>
        </w:rPr>
      </w:pPr>
      <w:r w:rsidRPr="008017DB">
        <w:rPr>
          <w:rFonts w:hint="cs"/>
          <w:b/>
          <w:bCs/>
          <w:rtl/>
        </w:rPr>
        <w:t>תקנה 16א(א)(7) הקובעת עבירה על תקנה 12</w:t>
      </w:r>
    </w:p>
    <w:p w:rsidR="0049369C" w:rsidRDefault="00226259" w:rsidP="0019082C">
      <w:pPr>
        <w:pStyle w:val="a3"/>
        <w:rPr>
          <w:rtl/>
        </w:rPr>
      </w:pPr>
      <w:r>
        <w:rPr>
          <w:rFonts w:hint="cs"/>
          <w:rtl/>
        </w:rPr>
        <w:t xml:space="preserve">חוזרת על הערתה של </w:t>
      </w:r>
      <w:r w:rsidR="0019082C">
        <w:rPr>
          <w:rFonts w:hint="cs"/>
          <w:rtl/>
        </w:rPr>
        <w:t xml:space="preserve">עדי, </w:t>
      </w:r>
      <w:r w:rsidR="0019082C" w:rsidRPr="0019082C">
        <w:rPr>
          <w:rFonts w:hint="cs"/>
          <w:u w:val="single"/>
          <w:rtl/>
        </w:rPr>
        <w:t xml:space="preserve">לדעתנו  אין צורך בתקנה הזו. </w:t>
      </w:r>
    </w:p>
    <w:p w:rsidR="00226259" w:rsidRDefault="008017DB" w:rsidP="0019082C">
      <w:pPr>
        <w:pStyle w:val="a3"/>
        <w:rPr>
          <w:rtl/>
        </w:rPr>
      </w:pPr>
      <w:r>
        <w:rPr>
          <w:rFonts w:hint="cs"/>
          <w:rtl/>
        </w:rPr>
        <w:t>במרבית המצבים, העבירות ה</w:t>
      </w:r>
      <w:r w:rsidR="0019082C">
        <w:rPr>
          <w:rFonts w:hint="cs"/>
          <w:rtl/>
        </w:rPr>
        <w:t>אחרות</w:t>
      </w:r>
      <w:r>
        <w:rPr>
          <w:rFonts w:hint="cs"/>
          <w:rtl/>
        </w:rPr>
        <w:t xml:space="preserve"> נותנות מענה. </w:t>
      </w:r>
      <w:r w:rsidR="00226259">
        <w:rPr>
          <w:rFonts w:hint="cs"/>
          <w:rtl/>
        </w:rPr>
        <w:t>כאשר אדם מחזיק בפועל תעודה/תווית מושחתת, יש בכך:</w:t>
      </w:r>
    </w:p>
    <w:p w:rsidR="00226259" w:rsidRDefault="00226259" w:rsidP="00226259">
      <w:pPr>
        <w:pStyle w:val="a3"/>
        <w:numPr>
          <w:ilvl w:val="0"/>
          <w:numId w:val="4"/>
        </w:numPr>
      </w:pPr>
      <w:r>
        <w:rPr>
          <w:rFonts w:hint="cs"/>
          <w:rtl/>
        </w:rPr>
        <w:t>אי החזקה ש</w:t>
      </w:r>
      <w:r w:rsidR="000D4E90">
        <w:rPr>
          <w:rFonts w:hint="cs"/>
          <w:rtl/>
        </w:rPr>
        <w:t>ל תעודת רישום/תווית לפי תקנה 2 .</w:t>
      </w:r>
    </w:p>
    <w:p w:rsidR="00226259" w:rsidRDefault="00226259" w:rsidP="0019082C">
      <w:pPr>
        <w:pStyle w:val="a3"/>
        <w:numPr>
          <w:ilvl w:val="0"/>
          <w:numId w:val="4"/>
        </w:numPr>
        <w:rPr>
          <w:rtl/>
        </w:rPr>
      </w:pPr>
      <w:r>
        <w:rPr>
          <w:rFonts w:hint="cs"/>
          <w:rtl/>
        </w:rPr>
        <w:t>ראיה לכאורה אף לביצוע השחתה על ידו</w:t>
      </w:r>
      <w:r w:rsidR="0019082C">
        <w:rPr>
          <w:rFonts w:hint="cs"/>
          <w:rtl/>
        </w:rPr>
        <w:t xml:space="preserve"> (</w:t>
      </w:r>
      <w:r>
        <w:rPr>
          <w:rFonts w:hint="cs"/>
          <w:rtl/>
        </w:rPr>
        <w:t xml:space="preserve">הוא יוכל אמנם להראות כי לא הוא ביצע את ההשחתה, </w:t>
      </w:r>
      <w:r w:rsidR="0019082C">
        <w:rPr>
          <w:rFonts w:hint="cs"/>
          <w:rtl/>
        </w:rPr>
        <w:t>אך נראה שיש בכך טעם</w:t>
      </w:r>
      <w:r w:rsidR="007F33A4">
        <w:rPr>
          <w:rFonts w:hint="cs"/>
          <w:rtl/>
        </w:rPr>
        <w:t xml:space="preserve"> במקרים מסוימים</w:t>
      </w:r>
      <w:r w:rsidR="0019082C">
        <w:rPr>
          <w:rFonts w:hint="cs"/>
          <w:rtl/>
        </w:rPr>
        <w:t>).</w:t>
      </w:r>
    </w:p>
    <w:p w:rsidR="00226259" w:rsidRDefault="00226259" w:rsidP="00AF5890">
      <w:pPr>
        <w:pStyle w:val="a3"/>
        <w:rPr>
          <w:rtl/>
        </w:rPr>
      </w:pPr>
    </w:p>
    <w:p w:rsidR="008017DB" w:rsidRDefault="00226259" w:rsidP="007F33A4">
      <w:pPr>
        <w:pStyle w:val="a3"/>
        <w:rPr>
          <w:rtl/>
        </w:rPr>
      </w:pPr>
      <w:r>
        <w:rPr>
          <w:rFonts w:hint="cs"/>
          <w:rtl/>
        </w:rPr>
        <w:t xml:space="preserve">מעבר לכך שעבירות אחרות נותנות מענה, </w:t>
      </w:r>
      <w:r w:rsidR="008017DB">
        <w:rPr>
          <w:rFonts w:hint="cs"/>
          <w:rtl/>
        </w:rPr>
        <w:t xml:space="preserve">הנוסח של העבירה כאן הוא רחב מאוד ועשוי לכלול מצבים בהם לא בטוח שיש רצון להפליל אדם: למשל, בעלים </w:t>
      </w:r>
      <w:r w:rsidR="007F33A4">
        <w:rPr>
          <w:rFonts w:hint="cs"/>
          <w:rtl/>
        </w:rPr>
        <w:t>ש</w:t>
      </w:r>
      <w:r w:rsidR="008017DB">
        <w:rPr>
          <w:rFonts w:hint="cs"/>
          <w:rtl/>
        </w:rPr>
        <w:t>החזיק תעודה</w:t>
      </w:r>
      <w:r w:rsidR="007F33A4">
        <w:rPr>
          <w:rFonts w:hint="cs"/>
          <w:rtl/>
        </w:rPr>
        <w:t xml:space="preserve"> ששונתה</w:t>
      </w:r>
      <w:r w:rsidR="008017DB">
        <w:rPr>
          <w:rFonts w:hint="cs"/>
          <w:rtl/>
        </w:rPr>
        <w:t xml:space="preserve"> </w:t>
      </w:r>
      <w:r w:rsidR="0019082C">
        <w:rPr>
          <w:rFonts w:hint="cs"/>
          <w:rtl/>
        </w:rPr>
        <w:lastRenderedPageBreak/>
        <w:t xml:space="preserve">מבלי שידע </w:t>
      </w:r>
      <w:r w:rsidR="007F33A4">
        <w:rPr>
          <w:rFonts w:hint="cs"/>
          <w:rtl/>
        </w:rPr>
        <w:t>,</w:t>
      </w:r>
      <w:r w:rsidR="008017DB">
        <w:rPr>
          <w:rFonts w:hint="cs"/>
          <w:rtl/>
        </w:rPr>
        <w:t>בתום לב. לא נראה שבמצב כזה יהיה רצון להפליל את הבעלים</w:t>
      </w:r>
      <w:r w:rsidR="007F50F1">
        <w:rPr>
          <w:rFonts w:hint="cs"/>
          <w:rtl/>
        </w:rPr>
        <w:t xml:space="preserve"> שהחזיק את התעודה</w:t>
      </w:r>
      <w:r w:rsidR="008017DB">
        <w:rPr>
          <w:rFonts w:hint="cs"/>
          <w:rtl/>
        </w:rPr>
        <w:t>, פעל בתום לב</w:t>
      </w:r>
      <w:r w:rsidR="007F50F1">
        <w:rPr>
          <w:rFonts w:hint="cs"/>
          <w:rtl/>
        </w:rPr>
        <w:t xml:space="preserve"> ועשה את המוטל עליו</w:t>
      </w:r>
      <w:r w:rsidR="008017DB">
        <w:rPr>
          <w:rFonts w:hint="cs"/>
          <w:rtl/>
        </w:rPr>
        <w:t xml:space="preserve">, אלא את </w:t>
      </w:r>
      <w:r w:rsidR="007F33A4">
        <w:rPr>
          <w:rFonts w:hint="cs"/>
          <w:rtl/>
        </w:rPr>
        <w:t xml:space="preserve">הגורמים האחרים. </w:t>
      </w:r>
    </w:p>
    <w:p w:rsidR="007F50F1" w:rsidRDefault="00226259" w:rsidP="008017DB">
      <w:pPr>
        <w:pStyle w:val="a3"/>
        <w:rPr>
          <w:rFonts w:hint="cs"/>
          <w:rtl/>
        </w:rPr>
      </w:pPr>
      <w:r>
        <w:rPr>
          <w:rFonts w:hint="cs"/>
          <w:rtl/>
        </w:rPr>
        <w:t>לכן, מוצע למחוק תקנה זו.</w:t>
      </w:r>
    </w:p>
    <w:p w:rsidR="007F33A4" w:rsidRDefault="007F33A4" w:rsidP="008017DB">
      <w:pPr>
        <w:pStyle w:val="a3"/>
        <w:rPr>
          <w:rtl/>
        </w:rPr>
      </w:pPr>
    </w:p>
    <w:p w:rsidR="00226259" w:rsidRDefault="00226259" w:rsidP="008017DB">
      <w:pPr>
        <w:pStyle w:val="a3"/>
      </w:pPr>
    </w:p>
    <w:p w:rsidR="008017DB" w:rsidRDefault="007F50F1" w:rsidP="00B91250">
      <w:pPr>
        <w:pStyle w:val="a3"/>
        <w:numPr>
          <w:ilvl w:val="0"/>
          <w:numId w:val="1"/>
        </w:numPr>
        <w:rPr>
          <w:b/>
          <w:bCs/>
        </w:rPr>
      </w:pPr>
      <w:r w:rsidRPr="00AF5890">
        <w:rPr>
          <w:rFonts w:hint="cs"/>
          <w:b/>
          <w:bCs/>
          <w:rtl/>
        </w:rPr>
        <w:t>תקנה 16א(ב)(1)</w:t>
      </w:r>
      <w:r w:rsidR="00AF5890" w:rsidRPr="00AF5890">
        <w:rPr>
          <w:rFonts w:hint="cs"/>
          <w:b/>
          <w:bCs/>
          <w:rtl/>
        </w:rPr>
        <w:t xml:space="preserve"> הקובעת עבירה על תקנה 5(ב)</w:t>
      </w:r>
    </w:p>
    <w:p w:rsidR="00AF5890" w:rsidRDefault="00B70CF3" w:rsidP="0019082C">
      <w:pPr>
        <w:pStyle w:val="a3"/>
        <w:rPr>
          <w:rFonts w:hint="cs"/>
          <w:rtl/>
        </w:rPr>
      </w:pPr>
      <w:r>
        <w:rPr>
          <w:rFonts w:hint="cs"/>
          <w:rtl/>
        </w:rPr>
        <w:t>מבינה שהנושא עדיין בבדיקה. מדוע יש צורך בעבירה הזו? לגבי מי שמוסמך, נראה שדי ב</w:t>
      </w:r>
      <w:r w:rsidR="0019082C">
        <w:rPr>
          <w:rFonts w:hint="cs"/>
          <w:rtl/>
        </w:rPr>
        <w:t>אפשרות</w:t>
      </w:r>
      <w:r>
        <w:rPr>
          <w:rFonts w:hint="cs"/>
          <w:rtl/>
        </w:rPr>
        <w:t xml:space="preserve"> לבטל את ההסמכה, ולגבי מי שאינו מוסמך, ישנה עבירה נוספת , חמורה יותר, למבצע סימון בגמל, מבלי שהוא מסמן. </w:t>
      </w:r>
    </w:p>
    <w:p w:rsidR="0019082C" w:rsidRPr="0019082C" w:rsidRDefault="0019082C" w:rsidP="00186F5F">
      <w:pPr>
        <w:pStyle w:val="a3"/>
        <w:rPr>
          <w:u w:val="single"/>
          <w:rtl/>
        </w:rPr>
      </w:pPr>
      <w:r w:rsidRPr="0019082C">
        <w:rPr>
          <w:rFonts w:hint="cs"/>
          <w:u w:val="single"/>
          <w:rtl/>
        </w:rPr>
        <w:t>דעתנו היא ש</w:t>
      </w:r>
      <w:r w:rsidR="00186F5F">
        <w:rPr>
          <w:rFonts w:hint="cs"/>
          <w:u w:val="single"/>
          <w:rtl/>
        </w:rPr>
        <w:t>אין</w:t>
      </w:r>
      <w:r w:rsidRPr="0019082C">
        <w:rPr>
          <w:rFonts w:hint="cs"/>
          <w:u w:val="single"/>
          <w:rtl/>
        </w:rPr>
        <w:t xml:space="preserve"> </w:t>
      </w:r>
      <w:r w:rsidR="00186F5F">
        <w:rPr>
          <w:rFonts w:hint="cs"/>
          <w:u w:val="single"/>
          <w:rtl/>
        </w:rPr>
        <w:t>צורך ב</w:t>
      </w:r>
      <w:r w:rsidRPr="0019082C">
        <w:rPr>
          <w:rFonts w:hint="cs"/>
          <w:u w:val="single"/>
          <w:rtl/>
        </w:rPr>
        <w:t>עבירה נוספת, לשיקולכם.</w:t>
      </w:r>
    </w:p>
    <w:p w:rsidR="000829AA" w:rsidRPr="00AF5890" w:rsidRDefault="000829AA" w:rsidP="00B70CF3">
      <w:pPr>
        <w:pStyle w:val="a3"/>
      </w:pPr>
    </w:p>
    <w:p w:rsidR="000829AA" w:rsidRDefault="000829AA" w:rsidP="000829AA">
      <w:pPr>
        <w:pStyle w:val="a3"/>
        <w:numPr>
          <w:ilvl w:val="0"/>
          <w:numId w:val="1"/>
        </w:numPr>
        <w:rPr>
          <w:b/>
          <w:bCs/>
        </w:rPr>
      </w:pPr>
      <w:r w:rsidRPr="00AF5890">
        <w:rPr>
          <w:rFonts w:hint="cs"/>
          <w:b/>
          <w:bCs/>
          <w:rtl/>
        </w:rPr>
        <w:t>תקנה 16א(ב)(</w:t>
      </w:r>
      <w:r>
        <w:rPr>
          <w:rFonts w:hint="cs"/>
          <w:b/>
          <w:bCs/>
          <w:rtl/>
        </w:rPr>
        <w:t>3</w:t>
      </w:r>
      <w:r w:rsidRPr="00AF5890">
        <w:rPr>
          <w:rFonts w:hint="cs"/>
          <w:b/>
          <w:bCs/>
          <w:rtl/>
        </w:rPr>
        <w:t xml:space="preserve">) הקובעת עבירה על תקנה </w:t>
      </w:r>
      <w:r>
        <w:rPr>
          <w:rFonts w:hint="cs"/>
          <w:b/>
          <w:bCs/>
          <w:rtl/>
        </w:rPr>
        <w:t>7ב(א)</w:t>
      </w:r>
    </w:p>
    <w:p w:rsidR="000C679E" w:rsidRDefault="000C679E" w:rsidP="000C679E">
      <w:pPr>
        <w:pStyle w:val="a3"/>
        <w:rPr>
          <w:rtl/>
        </w:rPr>
      </w:pPr>
      <w:r>
        <w:rPr>
          <w:rFonts w:hint="cs"/>
          <w:rtl/>
        </w:rPr>
        <w:t xml:space="preserve">גם כאן נראה ששונה הנוסח של תקנה 7ב(א) ולא בוצעה התאמה בסעיף העונשין: </w:t>
      </w:r>
    </w:p>
    <w:p w:rsidR="000C679E" w:rsidRDefault="004B09A8" w:rsidP="000C679E">
      <w:pPr>
        <w:pStyle w:val="a3"/>
        <w:rPr>
          <w:rtl/>
        </w:rPr>
      </w:pPr>
      <w:r>
        <w:rPr>
          <w:rFonts w:hint="cs"/>
          <w:rtl/>
        </w:rPr>
        <w:t>העבירה מקימה חובה</w:t>
      </w:r>
      <w:r w:rsidR="007D2A91">
        <w:rPr>
          <w:rFonts w:hint="cs"/>
          <w:rtl/>
        </w:rPr>
        <w:t xml:space="preserve"> לכאורה</w:t>
      </w:r>
      <w:r>
        <w:rPr>
          <w:rFonts w:hint="cs"/>
          <w:rtl/>
        </w:rPr>
        <w:t xml:space="preserve"> להחזיר</w:t>
      </w:r>
      <w:r w:rsidR="007D2A91">
        <w:rPr>
          <w:rFonts w:hint="cs"/>
          <w:rtl/>
        </w:rPr>
        <w:t xml:space="preserve"> את תעודת הרישום ללשכה, </w:t>
      </w:r>
      <w:r w:rsidR="000C679E">
        <w:rPr>
          <w:rFonts w:hint="cs"/>
          <w:rtl/>
        </w:rPr>
        <w:t>אך כעת ה</w:t>
      </w:r>
      <w:r w:rsidR="007D2A91">
        <w:rPr>
          <w:rFonts w:hint="cs"/>
          <w:rtl/>
        </w:rPr>
        <w:t>חובה לא מעוגנת בתקנה 7ב(א)</w:t>
      </w:r>
      <w:r w:rsidR="000C679E">
        <w:rPr>
          <w:rFonts w:hint="cs"/>
          <w:rtl/>
        </w:rPr>
        <w:t xml:space="preserve"> </w:t>
      </w:r>
      <w:r w:rsidR="000C679E">
        <w:rPr>
          <w:rtl/>
        </w:rPr>
        <w:t>–</w:t>
      </w:r>
      <w:r w:rsidR="000C679E">
        <w:rPr>
          <w:rFonts w:hint="cs"/>
          <w:rtl/>
        </w:rPr>
        <w:t xml:space="preserve"> כנראה נמחקה.</w:t>
      </w:r>
    </w:p>
    <w:p w:rsidR="000829AA" w:rsidRDefault="007D2A91" w:rsidP="000C679E">
      <w:pPr>
        <w:pStyle w:val="a3"/>
        <w:rPr>
          <w:rtl/>
        </w:rPr>
      </w:pPr>
      <w:r>
        <w:rPr>
          <w:rFonts w:hint="cs"/>
          <w:rtl/>
        </w:rPr>
        <w:t>לפי התקנה</w:t>
      </w:r>
      <w:r w:rsidR="000C679E">
        <w:rPr>
          <w:rFonts w:hint="cs"/>
          <w:rtl/>
        </w:rPr>
        <w:t xml:space="preserve"> בנוסח העדכני</w:t>
      </w:r>
      <w:r>
        <w:rPr>
          <w:rFonts w:hint="cs"/>
          <w:rtl/>
        </w:rPr>
        <w:t xml:space="preserve"> כל החובה </w:t>
      </w:r>
      <w:r w:rsidR="00515B93">
        <w:rPr>
          <w:rFonts w:hint="cs"/>
          <w:rtl/>
        </w:rPr>
        <w:t xml:space="preserve">לעדכן את הרישום </w:t>
      </w:r>
      <w:r>
        <w:rPr>
          <w:rFonts w:hint="cs"/>
          <w:rtl/>
        </w:rPr>
        <w:t xml:space="preserve">היא על </w:t>
      </w:r>
      <w:r w:rsidRPr="000C679E">
        <w:rPr>
          <w:rFonts w:hint="cs"/>
          <w:b/>
          <w:bCs/>
          <w:rtl/>
        </w:rPr>
        <w:t>המקבל</w:t>
      </w:r>
      <w:r>
        <w:rPr>
          <w:rFonts w:hint="cs"/>
          <w:rtl/>
        </w:rPr>
        <w:t xml:space="preserve"> את הבעלות.</w:t>
      </w:r>
    </w:p>
    <w:p w:rsidR="007D2A91" w:rsidRPr="0019082C" w:rsidRDefault="007D2A91" w:rsidP="0019082C">
      <w:pPr>
        <w:pStyle w:val="a3"/>
        <w:rPr>
          <w:u w:val="single"/>
          <w:rtl/>
        </w:rPr>
      </w:pPr>
      <w:r>
        <w:rPr>
          <w:rFonts w:hint="cs"/>
          <w:rtl/>
        </w:rPr>
        <w:t xml:space="preserve">אם רוצים לקבוע הסדר אחר </w:t>
      </w:r>
      <w:r w:rsidR="00515B93">
        <w:rPr>
          <w:rFonts w:hint="cs"/>
          <w:rtl/>
        </w:rPr>
        <w:t xml:space="preserve"> שמחייב גם את הבעלים </w:t>
      </w:r>
      <w:r w:rsidR="00515B93" w:rsidRPr="000C679E">
        <w:rPr>
          <w:rFonts w:hint="cs"/>
          <w:b/>
          <w:bCs/>
          <w:rtl/>
        </w:rPr>
        <w:t>המוסר</w:t>
      </w:r>
      <w:r w:rsidR="00515B93">
        <w:rPr>
          <w:rFonts w:hint="cs"/>
          <w:rtl/>
        </w:rPr>
        <w:t xml:space="preserve"> </w:t>
      </w:r>
      <w:r>
        <w:rPr>
          <w:rFonts w:hint="cs"/>
          <w:rtl/>
        </w:rPr>
        <w:t xml:space="preserve">צריך להבהיר מהו, </w:t>
      </w:r>
      <w:r w:rsidR="000C679E" w:rsidRPr="0019082C">
        <w:rPr>
          <w:rFonts w:hint="cs"/>
          <w:u w:val="single"/>
          <w:rtl/>
        </w:rPr>
        <w:t xml:space="preserve">לא ניתן לקבוע עבירה מקום שלא ברורה ההתנהגות </w:t>
      </w:r>
      <w:r w:rsidR="0019082C" w:rsidRPr="0019082C">
        <w:rPr>
          <w:rFonts w:hint="cs"/>
          <w:u w:val="single"/>
          <w:rtl/>
        </w:rPr>
        <w:t>הנדרשת.</w:t>
      </w:r>
      <w:r w:rsidRPr="0019082C">
        <w:rPr>
          <w:rFonts w:hint="cs"/>
          <w:u w:val="single"/>
          <w:rtl/>
        </w:rPr>
        <w:t xml:space="preserve"> </w:t>
      </w:r>
    </w:p>
    <w:p w:rsidR="000829AA" w:rsidRDefault="000829AA" w:rsidP="000829AA">
      <w:pPr>
        <w:pStyle w:val="a3"/>
        <w:rPr>
          <w:b/>
          <w:bCs/>
        </w:rPr>
      </w:pPr>
    </w:p>
    <w:p w:rsidR="00AF5890" w:rsidRDefault="000829AA" w:rsidP="00B91250">
      <w:pPr>
        <w:pStyle w:val="a3"/>
        <w:numPr>
          <w:ilvl w:val="0"/>
          <w:numId w:val="1"/>
        </w:numPr>
        <w:rPr>
          <w:b/>
          <w:bCs/>
        </w:rPr>
      </w:pPr>
      <w:r w:rsidRPr="000829AA">
        <w:rPr>
          <w:rFonts w:hint="cs"/>
          <w:b/>
          <w:bCs/>
          <w:rtl/>
        </w:rPr>
        <w:t>תקנה 16א(ב)(4) הקובעת עבירה על תקנה 8</w:t>
      </w:r>
    </w:p>
    <w:p w:rsidR="000829AA" w:rsidRDefault="000829AA" w:rsidP="00A91BD1">
      <w:pPr>
        <w:pStyle w:val="a3"/>
        <w:rPr>
          <w:rtl/>
        </w:rPr>
      </w:pPr>
      <w:r>
        <w:rPr>
          <w:rFonts w:hint="cs"/>
          <w:rtl/>
        </w:rPr>
        <w:t xml:space="preserve">מההסבר </w:t>
      </w:r>
      <w:r w:rsidR="007D2A91">
        <w:rPr>
          <w:rFonts w:hint="cs"/>
          <w:rtl/>
        </w:rPr>
        <w:t>עולה</w:t>
      </w:r>
      <w:r>
        <w:rPr>
          <w:rFonts w:hint="cs"/>
          <w:rtl/>
        </w:rPr>
        <w:t xml:space="preserve"> שהכוונה לקבו</w:t>
      </w:r>
      <w:r w:rsidR="007D2A91">
        <w:rPr>
          <w:rFonts w:hint="cs"/>
          <w:rtl/>
        </w:rPr>
        <w:t>ע זאת כעבירה היא על מנת שווטרינרים</w:t>
      </w:r>
      <w:r>
        <w:rPr>
          <w:rFonts w:hint="cs"/>
          <w:rtl/>
        </w:rPr>
        <w:t xml:space="preserve"> פרטיים לא יסמנו שלא לפי התקנ</w:t>
      </w:r>
      <w:r w:rsidR="00A91BD1">
        <w:rPr>
          <w:rFonts w:hint="cs"/>
          <w:rtl/>
        </w:rPr>
        <w:t>ות, אך נראה שעבירה אחרת נותנת לכך</w:t>
      </w:r>
      <w:r>
        <w:rPr>
          <w:rFonts w:hint="cs"/>
          <w:rtl/>
        </w:rPr>
        <w:t xml:space="preserve"> מענה- מבצע סימון בגמל, מבלי שהוא מסמן, תקנה 16א(א)(3). </w:t>
      </w:r>
    </w:p>
    <w:p w:rsidR="007D2A91" w:rsidRDefault="000829AA" w:rsidP="00186F5F">
      <w:pPr>
        <w:pStyle w:val="a3"/>
        <w:rPr>
          <w:rFonts w:hint="cs"/>
          <w:rtl/>
        </w:rPr>
      </w:pPr>
      <w:r>
        <w:rPr>
          <w:rFonts w:hint="cs"/>
          <w:rtl/>
        </w:rPr>
        <w:t xml:space="preserve">לגבי מצב בו יש רק החזקה של התוויות, </w:t>
      </w:r>
      <w:r w:rsidR="007D2A91">
        <w:rPr>
          <w:rFonts w:hint="cs"/>
          <w:rtl/>
        </w:rPr>
        <w:t xml:space="preserve">ככל שיש גניבה של תוויות או משהו </w:t>
      </w:r>
      <w:r w:rsidR="000C679E">
        <w:rPr>
          <w:rFonts w:hint="cs"/>
          <w:rtl/>
        </w:rPr>
        <w:t>דומה</w:t>
      </w:r>
      <w:r w:rsidR="007D2A91">
        <w:rPr>
          <w:rFonts w:hint="cs"/>
          <w:rtl/>
        </w:rPr>
        <w:t>, ישנן עבירות</w:t>
      </w:r>
      <w:r w:rsidR="00226259">
        <w:rPr>
          <w:rFonts w:hint="cs"/>
          <w:rtl/>
        </w:rPr>
        <w:t xml:space="preserve"> נוספות</w:t>
      </w:r>
      <w:r w:rsidR="007D2A91">
        <w:rPr>
          <w:rFonts w:hint="cs"/>
          <w:rtl/>
        </w:rPr>
        <w:t xml:space="preserve"> בחוק העונשין. </w:t>
      </w:r>
    </w:p>
    <w:p w:rsidR="00186F5F" w:rsidRPr="0019082C" w:rsidRDefault="00186F5F" w:rsidP="00186F5F">
      <w:pPr>
        <w:pStyle w:val="a3"/>
        <w:rPr>
          <w:u w:val="single"/>
          <w:rtl/>
        </w:rPr>
      </w:pPr>
      <w:r>
        <w:rPr>
          <w:rFonts w:hint="cs"/>
          <w:u w:val="single"/>
          <w:rtl/>
        </w:rPr>
        <w:t xml:space="preserve">מסיבות אלו </w:t>
      </w:r>
      <w:r w:rsidRPr="0019082C">
        <w:rPr>
          <w:rFonts w:hint="cs"/>
          <w:u w:val="single"/>
          <w:rtl/>
        </w:rPr>
        <w:t>דעתנו היא ש</w:t>
      </w:r>
      <w:r>
        <w:rPr>
          <w:rFonts w:hint="cs"/>
          <w:u w:val="single"/>
          <w:rtl/>
        </w:rPr>
        <w:t>אין</w:t>
      </w:r>
      <w:r w:rsidRPr="0019082C">
        <w:rPr>
          <w:rFonts w:hint="cs"/>
          <w:u w:val="single"/>
          <w:rtl/>
        </w:rPr>
        <w:t xml:space="preserve"> </w:t>
      </w:r>
      <w:r>
        <w:rPr>
          <w:rFonts w:hint="cs"/>
          <w:u w:val="single"/>
          <w:rtl/>
        </w:rPr>
        <w:t>צורך ב</w:t>
      </w:r>
      <w:r w:rsidRPr="0019082C">
        <w:rPr>
          <w:rFonts w:hint="cs"/>
          <w:u w:val="single"/>
          <w:rtl/>
        </w:rPr>
        <w:t>עבירה נוספת, לשיקולכם.</w:t>
      </w:r>
    </w:p>
    <w:p w:rsidR="007D2A91" w:rsidRPr="007D2A91" w:rsidRDefault="007D2A91" w:rsidP="008A63B9">
      <w:pPr>
        <w:pStyle w:val="a3"/>
      </w:pPr>
    </w:p>
    <w:p w:rsidR="004B09A8" w:rsidRDefault="004B09A8" w:rsidP="00515B93">
      <w:pPr>
        <w:pStyle w:val="a3"/>
        <w:numPr>
          <w:ilvl w:val="0"/>
          <w:numId w:val="1"/>
        </w:numPr>
        <w:rPr>
          <w:b/>
          <w:bCs/>
        </w:rPr>
      </w:pPr>
      <w:r>
        <w:rPr>
          <w:rFonts w:hint="cs"/>
          <w:b/>
          <w:bCs/>
          <w:rtl/>
        </w:rPr>
        <w:t>תקנה 16א(ב)(6) הקובעת עבירה על תקנה 10(</w:t>
      </w:r>
      <w:r w:rsidR="00515B93">
        <w:rPr>
          <w:rFonts w:hint="cs"/>
          <w:b/>
          <w:bCs/>
          <w:rtl/>
        </w:rPr>
        <w:t>ב)</w:t>
      </w:r>
    </w:p>
    <w:p w:rsidR="004B09A8" w:rsidRDefault="00515B93" w:rsidP="004B09A8">
      <w:pPr>
        <w:pStyle w:val="a3"/>
        <w:rPr>
          <w:rtl/>
        </w:rPr>
      </w:pPr>
      <w:r>
        <w:rPr>
          <w:rFonts w:hint="cs"/>
          <w:rtl/>
        </w:rPr>
        <w:t>האם לא די באפשרות לבטל את ההסמכה? האם יש צורך בעבירה?</w:t>
      </w:r>
    </w:p>
    <w:p w:rsidR="00515B93" w:rsidRPr="00515B93" w:rsidRDefault="00515B93" w:rsidP="004B09A8">
      <w:pPr>
        <w:pStyle w:val="a3"/>
        <w:rPr>
          <w:rtl/>
        </w:rPr>
      </w:pPr>
      <w:r>
        <w:rPr>
          <w:rFonts w:hint="cs"/>
          <w:rtl/>
        </w:rPr>
        <w:t>יש לשים לב ש"המסמן" הוא גם רופא וטרינר ממשלתי או מפקח.</w:t>
      </w:r>
    </w:p>
    <w:p w:rsidR="004B09A8" w:rsidRDefault="004B09A8" w:rsidP="004B09A8">
      <w:pPr>
        <w:pStyle w:val="a3"/>
        <w:rPr>
          <w:b/>
          <w:bCs/>
        </w:rPr>
      </w:pPr>
    </w:p>
    <w:p w:rsidR="004B09A8" w:rsidRDefault="004B09A8" w:rsidP="00515B93">
      <w:pPr>
        <w:pStyle w:val="a3"/>
        <w:numPr>
          <w:ilvl w:val="0"/>
          <w:numId w:val="1"/>
        </w:numPr>
        <w:rPr>
          <w:b/>
          <w:bCs/>
        </w:rPr>
      </w:pPr>
      <w:r>
        <w:rPr>
          <w:rFonts w:hint="cs"/>
          <w:b/>
          <w:bCs/>
          <w:rtl/>
        </w:rPr>
        <w:t>תקנה 16א(ב)(</w:t>
      </w:r>
      <w:r w:rsidR="00515B93">
        <w:rPr>
          <w:rFonts w:hint="cs"/>
          <w:b/>
          <w:bCs/>
          <w:rtl/>
        </w:rPr>
        <w:t>8</w:t>
      </w:r>
      <w:r>
        <w:rPr>
          <w:rFonts w:hint="cs"/>
          <w:b/>
          <w:bCs/>
          <w:rtl/>
        </w:rPr>
        <w:t xml:space="preserve">) הקובעת עבירה על תקנה </w:t>
      </w:r>
      <w:r w:rsidR="00515B93">
        <w:rPr>
          <w:rFonts w:hint="cs"/>
          <w:b/>
          <w:bCs/>
          <w:rtl/>
        </w:rPr>
        <w:t>14א(א)</w:t>
      </w:r>
    </w:p>
    <w:p w:rsidR="00186F5F" w:rsidRDefault="00186F5F" w:rsidP="00186F5F">
      <w:pPr>
        <w:pStyle w:val="a3"/>
        <w:rPr>
          <w:rFonts w:hint="cs"/>
          <w:rtl/>
        </w:rPr>
      </w:pPr>
      <w:r>
        <w:rPr>
          <w:rFonts w:hint="cs"/>
          <w:rtl/>
        </w:rPr>
        <w:t>האם החובה המוטלת על המחזיק אינה רחבה מדי?</w:t>
      </w:r>
    </w:p>
    <w:p w:rsidR="00186F5F" w:rsidRDefault="00186F5F" w:rsidP="00515B93">
      <w:pPr>
        <w:pStyle w:val="a3"/>
        <w:rPr>
          <w:rFonts w:hint="cs"/>
          <w:rtl/>
        </w:rPr>
      </w:pPr>
      <w:r>
        <w:rPr>
          <w:rFonts w:hint="cs"/>
          <w:rtl/>
        </w:rPr>
        <w:t>האם זה ריאלי לדרוש מהמחזיק עצמו להסיר את התווית מהגמל (המת) כדי למסור אותה?</w:t>
      </w:r>
    </w:p>
    <w:p w:rsidR="00186F5F" w:rsidRDefault="00186F5F" w:rsidP="00515B93">
      <w:pPr>
        <w:pStyle w:val="a3"/>
        <w:rPr>
          <w:rFonts w:hint="cs"/>
          <w:rtl/>
        </w:rPr>
      </w:pPr>
      <w:r>
        <w:rPr>
          <w:rFonts w:hint="cs"/>
          <w:rtl/>
        </w:rPr>
        <w:t xml:space="preserve">האם לא די במסירת תעודת הרישום והודעה? </w:t>
      </w:r>
    </w:p>
    <w:p w:rsidR="00515B93" w:rsidRDefault="00515B93" w:rsidP="00186F5F">
      <w:pPr>
        <w:pStyle w:val="a3"/>
        <w:rPr>
          <w:rFonts w:hint="cs"/>
          <w:rtl/>
        </w:rPr>
      </w:pPr>
      <w:r>
        <w:rPr>
          <w:rFonts w:hint="cs"/>
          <w:rtl/>
        </w:rPr>
        <w:t xml:space="preserve">האם יכול להיות מצב בו </w:t>
      </w:r>
      <w:r w:rsidR="00186F5F">
        <w:rPr>
          <w:rFonts w:hint="cs"/>
          <w:rtl/>
        </w:rPr>
        <w:t>אדם לא יוכל או לא יצליח להסיר</w:t>
      </w:r>
      <w:r>
        <w:rPr>
          <w:rFonts w:hint="cs"/>
          <w:rtl/>
        </w:rPr>
        <w:t xml:space="preserve"> את התווית?</w:t>
      </w:r>
      <w:r w:rsidR="00186F5F">
        <w:rPr>
          <w:rFonts w:hint="cs"/>
          <w:rtl/>
        </w:rPr>
        <w:t xml:space="preserve"> לא מדובר בפעולה שדורשת מיומנות?</w:t>
      </w:r>
    </w:p>
    <w:p w:rsidR="00186F5F" w:rsidRDefault="00186F5F" w:rsidP="00186F5F">
      <w:pPr>
        <w:pStyle w:val="a3"/>
        <w:rPr>
          <w:rFonts w:hint="cs"/>
          <w:u w:val="single"/>
          <w:rtl/>
        </w:rPr>
      </w:pPr>
      <w:r w:rsidRPr="00186F5F">
        <w:rPr>
          <w:rFonts w:hint="cs"/>
          <w:u w:val="single"/>
          <w:rtl/>
        </w:rPr>
        <w:t>נציע לשקול את החובות המוטלות על המחזיק בהקשר זה.</w:t>
      </w:r>
    </w:p>
    <w:p w:rsidR="009C74F5" w:rsidRDefault="009C74F5" w:rsidP="00186F5F">
      <w:pPr>
        <w:pStyle w:val="a3"/>
        <w:rPr>
          <w:rFonts w:hint="cs"/>
          <w:u w:val="single"/>
          <w:rtl/>
        </w:rPr>
      </w:pPr>
    </w:p>
    <w:p w:rsidR="00515B93" w:rsidRPr="009C74F5" w:rsidRDefault="009C74F5" w:rsidP="009C74F5">
      <w:pPr>
        <w:pStyle w:val="a3"/>
        <w:numPr>
          <w:ilvl w:val="0"/>
          <w:numId w:val="1"/>
        </w:numPr>
        <w:rPr>
          <w:rFonts w:hint="cs"/>
        </w:rPr>
      </w:pPr>
      <w:bookmarkStart w:id="0" w:name="_GoBack"/>
      <w:bookmarkEnd w:id="0"/>
      <w:r>
        <w:rPr>
          <w:rFonts w:hint="cs"/>
          <w:b/>
          <w:bCs/>
          <w:rtl/>
        </w:rPr>
        <w:t xml:space="preserve">הוראת מעבר סעיף 17א(ב), </w:t>
      </w:r>
      <w:r w:rsidRPr="009C74F5">
        <w:rPr>
          <w:rFonts w:hint="cs"/>
          <w:rtl/>
        </w:rPr>
        <w:t xml:space="preserve">נראה שהכוונה לתחילתה של תקנה 16א. </w:t>
      </w:r>
    </w:p>
    <w:p w:rsidR="00B91250" w:rsidRDefault="00B91250" w:rsidP="00B91250">
      <w:pPr>
        <w:rPr>
          <w:rtl/>
        </w:rPr>
      </w:pPr>
    </w:p>
    <w:p w:rsidR="009F55B4" w:rsidRPr="00B91250" w:rsidRDefault="009F55B4"/>
    <w:sectPr w:rsidR="009F55B4" w:rsidRPr="00B91250" w:rsidSect="00B14EA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927"/>
    <w:multiLevelType w:val="hybridMultilevel"/>
    <w:tmpl w:val="74766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BE34DB"/>
    <w:multiLevelType w:val="hybridMultilevel"/>
    <w:tmpl w:val="7974E74C"/>
    <w:lvl w:ilvl="0" w:tplc="3BE4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C0403"/>
    <w:multiLevelType w:val="hybridMultilevel"/>
    <w:tmpl w:val="7974E74C"/>
    <w:lvl w:ilvl="0" w:tplc="3BE4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465119"/>
    <w:multiLevelType w:val="hybridMultilevel"/>
    <w:tmpl w:val="AC7A2FD8"/>
    <w:lvl w:ilvl="0" w:tplc="B71C4DF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50"/>
    <w:rsid w:val="00031339"/>
    <w:rsid w:val="00073418"/>
    <w:rsid w:val="000829AA"/>
    <w:rsid w:val="000C679E"/>
    <w:rsid w:val="000D4E90"/>
    <w:rsid w:val="00186F5F"/>
    <w:rsid w:val="0019082C"/>
    <w:rsid w:val="001C35A2"/>
    <w:rsid w:val="00226259"/>
    <w:rsid w:val="0024342D"/>
    <w:rsid w:val="00313FF6"/>
    <w:rsid w:val="0049369C"/>
    <w:rsid w:val="00495368"/>
    <w:rsid w:val="004B09A8"/>
    <w:rsid w:val="00515B93"/>
    <w:rsid w:val="006B514C"/>
    <w:rsid w:val="006C0935"/>
    <w:rsid w:val="00740EE1"/>
    <w:rsid w:val="007D2A91"/>
    <w:rsid w:val="007E6DBD"/>
    <w:rsid w:val="007F33A4"/>
    <w:rsid w:val="007F50F1"/>
    <w:rsid w:val="008017DB"/>
    <w:rsid w:val="008A63B9"/>
    <w:rsid w:val="009A5061"/>
    <w:rsid w:val="009C74F5"/>
    <w:rsid w:val="009F55B4"/>
    <w:rsid w:val="00A91BD1"/>
    <w:rsid w:val="00AF5890"/>
    <w:rsid w:val="00B31F88"/>
    <w:rsid w:val="00B70CF3"/>
    <w:rsid w:val="00B91250"/>
    <w:rsid w:val="00C879CF"/>
    <w:rsid w:val="00CC28BB"/>
    <w:rsid w:val="00D76740"/>
    <w:rsid w:val="00EB00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50"/>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250"/>
    <w:pPr>
      <w:ind w:left="720"/>
      <w:contextualSpacing/>
    </w:pPr>
  </w:style>
  <w:style w:type="paragraph" w:customStyle="1" w:styleId="P00">
    <w:name w:val="P00"/>
    <w:link w:val="P000"/>
    <w:rsid w:val="00B9125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rsid w:val="00B91250"/>
    <w:rPr>
      <w:rFonts w:ascii="Times New Roman" w:hAnsi="Times New Roman" w:cs="Times New Roman"/>
      <w:sz w:val="20"/>
      <w:szCs w:val="26"/>
    </w:rPr>
  </w:style>
  <w:style w:type="character" w:customStyle="1" w:styleId="big-number">
    <w:name w:val="big-number"/>
    <w:rsid w:val="00B91250"/>
    <w:rPr>
      <w:rFonts w:ascii="Times New Roman" w:hAnsi="Times New Roman" w:cs="Miriam"/>
      <w:sz w:val="20"/>
      <w:szCs w:val="32"/>
    </w:rPr>
  </w:style>
  <w:style w:type="character" w:customStyle="1" w:styleId="P000">
    <w:name w:val="P00 תו"/>
    <w:link w:val="P00"/>
    <w:rsid w:val="00B91250"/>
    <w:rPr>
      <w:rFonts w:ascii="Times New Roman" w:eastAsia="Times New Roman" w:hAnsi="Times New Roman" w:cs="FrankRuehl"/>
      <w:noProof/>
      <w:sz w:val="20"/>
      <w:szCs w:val="26"/>
      <w:lang w:eastAsia="he-IL"/>
    </w:rPr>
  </w:style>
  <w:style w:type="character" w:styleId="a4">
    <w:name w:val="annotation reference"/>
    <w:rsid w:val="00B91250"/>
    <w:rPr>
      <w:sz w:val="16"/>
      <w:szCs w:val="16"/>
    </w:rPr>
  </w:style>
  <w:style w:type="paragraph" w:styleId="a5">
    <w:name w:val="annotation text"/>
    <w:basedOn w:val="a"/>
    <w:link w:val="a6"/>
    <w:rsid w:val="00B91250"/>
    <w:pPr>
      <w:autoSpaceDE w:val="0"/>
      <w:autoSpaceDN w:val="0"/>
      <w:spacing w:after="0" w:line="360" w:lineRule="auto"/>
      <w:jc w:val="both"/>
    </w:pPr>
    <w:rPr>
      <w:rFonts w:ascii="Times New Roman" w:eastAsia="Times New Roman" w:hAnsi="Times New Roman" w:cs="David"/>
      <w:sz w:val="20"/>
      <w:szCs w:val="20"/>
      <w:lang w:eastAsia="he-IL"/>
    </w:rPr>
  </w:style>
  <w:style w:type="character" w:customStyle="1" w:styleId="a6">
    <w:name w:val="טקסט הערה תו"/>
    <w:basedOn w:val="a0"/>
    <w:link w:val="a5"/>
    <w:rsid w:val="00B91250"/>
    <w:rPr>
      <w:rFonts w:ascii="Times New Roman" w:eastAsia="Times New Roman" w:hAnsi="Times New Roman" w:cs="David"/>
      <w:sz w:val="20"/>
      <w:szCs w:val="20"/>
      <w:lang w:eastAsia="he-IL"/>
    </w:rPr>
  </w:style>
  <w:style w:type="paragraph" w:styleId="a7">
    <w:name w:val="Balloon Text"/>
    <w:basedOn w:val="a"/>
    <w:link w:val="a8"/>
    <w:uiPriority w:val="99"/>
    <w:semiHidden/>
    <w:unhideWhenUsed/>
    <w:rsid w:val="00B9125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91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250"/>
    <w:pPr>
      <w:bidi/>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250"/>
    <w:pPr>
      <w:ind w:left="720"/>
      <w:contextualSpacing/>
    </w:pPr>
  </w:style>
  <w:style w:type="paragraph" w:customStyle="1" w:styleId="P00">
    <w:name w:val="P00"/>
    <w:link w:val="P000"/>
    <w:rsid w:val="00B9125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character" w:customStyle="1" w:styleId="default">
    <w:name w:val="default"/>
    <w:rsid w:val="00B91250"/>
    <w:rPr>
      <w:rFonts w:ascii="Times New Roman" w:hAnsi="Times New Roman" w:cs="Times New Roman"/>
      <w:sz w:val="20"/>
      <w:szCs w:val="26"/>
    </w:rPr>
  </w:style>
  <w:style w:type="character" w:customStyle="1" w:styleId="big-number">
    <w:name w:val="big-number"/>
    <w:rsid w:val="00B91250"/>
    <w:rPr>
      <w:rFonts w:ascii="Times New Roman" w:hAnsi="Times New Roman" w:cs="Miriam"/>
      <w:sz w:val="20"/>
      <w:szCs w:val="32"/>
    </w:rPr>
  </w:style>
  <w:style w:type="character" w:customStyle="1" w:styleId="P000">
    <w:name w:val="P00 תו"/>
    <w:link w:val="P00"/>
    <w:rsid w:val="00B91250"/>
    <w:rPr>
      <w:rFonts w:ascii="Times New Roman" w:eastAsia="Times New Roman" w:hAnsi="Times New Roman" w:cs="FrankRuehl"/>
      <w:noProof/>
      <w:sz w:val="20"/>
      <w:szCs w:val="26"/>
      <w:lang w:eastAsia="he-IL"/>
    </w:rPr>
  </w:style>
  <w:style w:type="character" w:styleId="a4">
    <w:name w:val="annotation reference"/>
    <w:rsid w:val="00B91250"/>
    <w:rPr>
      <w:sz w:val="16"/>
      <w:szCs w:val="16"/>
    </w:rPr>
  </w:style>
  <w:style w:type="paragraph" w:styleId="a5">
    <w:name w:val="annotation text"/>
    <w:basedOn w:val="a"/>
    <w:link w:val="a6"/>
    <w:rsid w:val="00B91250"/>
    <w:pPr>
      <w:autoSpaceDE w:val="0"/>
      <w:autoSpaceDN w:val="0"/>
      <w:spacing w:after="0" w:line="360" w:lineRule="auto"/>
      <w:jc w:val="both"/>
    </w:pPr>
    <w:rPr>
      <w:rFonts w:ascii="Times New Roman" w:eastAsia="Times New Roman" w:hAnsi="Times New Roman" w:cs="David"/>
      <w:sz w:val="20"/>
      <w:szCs w:val="20"/>
      <w:lang w:eastAsia="he-IL"/>
    </w:rPr>
  </w:style>
  <w:style w:type="character" w:customStyle="1" w:styleId="a6">
    <w:name w:val="טקסט הערה תו"/>
    <w:basedOn w:val="a0"/>
    <w:link w:val="a5"/>
    <w:rsid w:val="00B91250"/>
    <w:rPr>
      <w:rFonts w:ascii="Times New Roman" w:eastAsia="Times New Roman" w:hAnsi="Times New Roman" w:cs="David"/>
      <w:sz w:val="20"/>
      <w:szCs w:val="20"/>
      <w:lang w:eastAsia="he-IL"/>
    </w:rPr>
  </w:style>
  <w:style w:type="paragraph" w:styleId="a7">
    <w:name w:val="Balloon Text"/>
    <w:basedOn w:val="a"/>
    <w:link w:val="a8"/>
    <w:uiPriority w:val="99"/>
    <w:semiHidden/>
    <w:unhideWhenUsed/>
    <w:rsid w:val="00B9125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B91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143D8442</Template>
  <TotalTime>367</TotalTime>
  <Pages>2</Pages>
  <Words>697</Words>
  <Characters>3490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Rothschild</dc:creator>
  <cp:lastModifiedBy>Dana Rothschild</cp:lastModifiedBy>
  <cp:revision>20</cp:revision>
  <cp:lastPrinted>2018-01-31T13:57:00Z</cp:lastPrinted>
  <dcterms:created xsi:type="dcterms:W3CDTF">2018-01-31T07:20:00Z</dcterms:created>
  <dcterms:modified xsi:type="dcterms:W3CDTF">2018-01-31T17:15:00Z</dcterms:modified>
</cp:coreProperties>
</file>