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8.0 -->
  <w:body>
    <w:p w:rsidR="003F3145" w:rsidP="00D13CCC">
      <w:pPr>
        <w:spacing w:before="0" w:after="0" w:line="276" w:lineRule="auto"/>
        <w:ind w:left="5795" w:hanging="902"/>
        <w:jc w:val="left"/>
        <w:rPr>
          <w:rtl/>
        </w:rPr>
      </w:pPr>
      <w:bookmarkStart w:id="0" w:name="_GoBack"/>
      <w:bookmarkEnd w:id="0"/>
      <w:r w:rsidRPr="00963945">
        <w:rPr>
          <w:rFonts w:hint="cs"/>
          <w:rtl/>
        </w:rPr>
        <w:t>ירושלים,</w:t>
      </w:r>
      <w:r w:rsidRPr="00963945">
        <w:rPr>
          <w:rFonts w:hint="cs"/>
          <w:rtl/>
        </w:rPr>
        <w:tab/>
      </w:r>
      <w:bookmarkStart w:id="1" w:name="Adding02"/>
      <w:bookmarkEnd w:id="1"/>
      <w:r>
        <w:rPr>
          <w:rFonts w:hint="eastAsia"/>
          <w:rtl/>
        </w:rPr>
        <w:t>כ</w:t>
      </w:r>
      <w:r>
        <w:rPr>
          <w:rtl/>
        </w:rPr>
        <w:t xml:space="preserve">"ז באדר </w:t>
      </w:r>
      <w:r>
        <w:rPr>
          <w:rtl/>
        </w:rPr>
        <w:t>התשפ"ג</w:t>
      </w:r>
      <w:r>
        <w:rPr>
          <w:rtl/>
        </w:rPr>
        <w:br/>
        <w:t>20 במרץ 2023</w:t>
      </w:r>
    </w:p>
    <w:p w:rsidR="003F3145" w:rsidP="00D13CCC">
      <w:pPr>
        <w:spacing w:before="0" w:after="0" w:line="276" w:lineRule="auto"/>
        <w:ind w:left="5795"/>
        <w:jc w:val="left"/>
        <w:rPr>
          <w:rtl/>
        </w:rPr>
      </w:pPr>
      <w:bookmarkStart w:id="2" w:name="Adding01"/>
      <w:bookmarkEnd w:id="2"/>
      <w:r>
        <w:rPr>
          <w:rFonts w:hint="eastAsia"/>
          <w:rtl/>
        </w:rPr>
        <w:t>חוזר</w:t>
      </w:r>
      <w:r>
        <w:rPr>
          <w:rtl/>
        </w:rPr>
        <w:t xml:space="preserve"> </w:t>
      </w:r>
      <w:r>
        <w:rPr>
          <w:rtl/>
        </w:rPr>
        <w:t>הע</w:t>
      </w:r>
      <w:r>
        <w:rPr>
          <w:rtl/>
        </w:rPr>
        <w:t xml:space="preserve"> - כללי הסכם</w:t>
      </w:r>
      <w:r>
        <w:rPr>
          <w:rtl/>
        </w:rPr>
        <w:br/>
        <w:t>2023-1-12</w:t>
      </w:r>
    </w:p>
    <w:p w:rsidR="00851D4A" w:rsidP="00851D4A">
      <w:pPr>
        <w:rPr>
          <w:rtl/>
        </w:rPr>
      </w:pPr>
    </w:p>
    <w:p w:rsidR="006F077B" w:rsidP="006F077B">
      <w:pPr>
        <w:rPr>
          <w:rtl/>
        </w:rPr>
      </w:pPr>
      <w:r w:rsidRPr="00963945">
        <w:rPr>
          <w:rtl/>
        </w:rPr>
        <w:t>אל:</w:t>
      </w:r>
      <w:r w:rsidRPr="00963945">
        <w:rPr>
          <w:rFonts w:hint="cs"/>
          <w:rtl/>
        </w:rPr>
        <w:t xml:space="preserve"> </w:t>
      </w:r>
      <w:r>
        <w:rPr>
          <w:rFonts w:hint="cs"/>
          <w:rtl/>
        </w:rPr>
        <w:t>מר אלי ביתן - סגן החשב הכללי, משרד האוצר</w:t>
      </w:r>
    </w:p>
    <w:p w:rsidR="00851D4A" w:rsidRPr="00963945" w:rsidP="003F3145">
      <w:pPr>
        <w:tabs>
          <w:tab w:val="left" w:pos="753"/>
        </w:tabs>
        <w:ind w:left="651" w:hanging="651"/>
        <w:jc w:val="center"/>
        <w:rPr>
          <w:b/>
          <w:bCs/>
          <w:u w:val="single"/>
          <w:rtl/>
        </w:rPr>
      </w:pPr>
      <w:r w:rsidRPr="00963945">
        <w:rPr>
          <w:rFonts w:hint="cs"/>
          <w:rtl/>
        </w:rPr>
        <w:t>הנדון :</w:t>
      </w:r>
      <w:r w:rsidRPr="00963945">
        <w:rPr>
          <w:rtl/>
        </w:rPr>
        <w:tab/>
      </w:r>
      <w:bookmarkStart w:id="3" w:name="About"/>
      <w:bookmarkEnd w:id="3"/>
      <w:r w:rsidR="003F3145">
        <w:rPr>
          <w:b/>
          <w:bCs/>
          <w:u w:val="single"/>
          <w:rtl/>
        </w:rPr>
        <w:t>תשלום מקדמה לעובדים במגזר הציבורי בשל ההבנות על הסכם המסגרת</w:t>
      </w:r>
    </w:p>
    <w:p w:rsidR="006F077B" w:rsidP="006F077B">
      <w:pPr>
        <w:spacing w:before="0" w:after="0" w:line="276" w:lineRule="auto"/>
        <w:ind w:left="213"/>
        <w:rPr>
          <w:rtl/>
        </w:rPr>
      </w:pPr>
      <w:bookmarkStart w:id="4" w:name="reference"/>
      <w:bookmarkEnd w:id="4"/>
      <w:r>
        <w:rPr>
          <w:rtl/>
        </w:rPr>
        <w:t xml:space="preserve"> </w:t>
      </w:r>
    </w:p>
    <w:p w:rsidR="006F077B" w:rsidP="006F077B">
      <w:pPr>
        <w:spacing w:before="0" w:after="0" w:line="276" w:lineRule="auto"/>
        <w:ind w:left="213"/>
        <w:rPr>
          <w:rtl/>
        </w:rPr>
      </w:pPr>
      <w:r>
        <w:rPr>
          <w:rFonts w:hint="cs"/>
          <w:rtl/>
        </w:rPr>
        <w:t>ביום 27.2.2023 גובשו הבנות בין המדינה לבין הסתדרות העובדים הכללית החדשה (להלן - ההסתדרות הכללית), באשר לעקרונות הסכם קיבוצי (מסגרת), העתיד להיחתם בין המדינה ומעסיקים נוספים מהשירות הציבורי, לבין ההסתדרות הכללית.</w:t>
      </w:r>
    </w:p>
    <w:p w:rsidR="006F077B" w:rsidP="006F077B">
      <w:pPr>
        <w:spacing w:before="0" w:after="0" w:line="276" w:lineRule="auto"/>
        <w:ind w:left="213"/>
        <w:rPr>
          <w:rtl/>
        </w:rPr>
      </w:pPr>
    </w:p>
    <w:p w:rsidR="006F077B" w:rsidP="006F077B">
      <w:pPr>
        <w:spacing w:before="0" w:after="0" w:line="276" w:lineRule="auto"/>
        <w:ind w:left="213"/>
        <w:rPr>
          <w:rtl/>
        </w:rPr>
      </w:pPr>
      <w:r>
        <w:rPr>
          <w:rFonts w:hint="cs"/>
          <w:rtl/>
        </w:rPr>
        <w:t xml:space="preserve">במסגרת ההסכם שעתיד להיחתם צפוי להשתלם מענק חד פעמי. בשל העובדה כי ההסכם הקיבוצי האמור טרם נחתם, להלן הנחיות לביצוע תשלום מקדמה אשר הכללים שיחולו לגביה תואמת את ההבנות שגובשו לגבי המענק החד פעמי: </w:t>
      </w:r>
    </w:p>
    <w:p w:rsidR="006F077B" w:rsidP="006F077B">
      <w:pPr>
        <w:spacing w:before="0" w:after="0" w:line="276" w:lineRule="auto"/>
        <w:ind w:left="213"/>
        <w:rPr>
          <w:rtl/>
        </w:rPr>
      </w:pPr>
    </w:p>
    <w:p w:rsidR="006F077B" w:rsidRPr="00714C4E" w:rsidP="006F077B">
      <w:pPr>
        <w:numPr>
          <w:ilvl w:val="0"/>
          <w:numId w:val="8"/>
        </w:numPr>
        <w:spacing w:before="0" w:after="0" w:line="276" w:lineRule="auto"/>
      </w:pPr>
      <w:r>
        <w:rPr>
          <w:rFonts w:hint="cs"/>
          <w:rtl/>
        </w:rPr>
        <w:t xml:space="preserve">במשכורת חודש מרץ 2023 (המשולמת בחודש אפריל 2023), תשולם </w:t>
      </w:r>
      <w:r w:rsidRPr="000826E4">
        <w:rPr>
          <w:rFonts w:hint="cs"/>
          <w:rtl/>
        </w:rPr>
        <w:t>מקדמה</w:t>
      </w:r>
      <w:r w:rsidRPr="00714C4E">
        <w:rPr>
          <w:rFonts w:hint="cs"/>
          <w:rtl/>
        </w:rPr>
        <w:t xml:space="preserve"> (להלן - </w:t>
      </w:r>
      <w:r w:rsidRPr="00714C4E">
        <w:rPr>
          <w:rFonts w:hint="cs"/>
          <w:b/>
          <w:bCs/>
          <w:rtl/>
        </w:rPr>
        <w:t>המקדמה</w:t>
      </w:r>
      <w:r w:rsidRPr="00714C4E">
        <w:rPr>
          <w:rFonts w:hint="cs"/>
          <w:rtl/>
        </w:rPr>
        <w:t xml:space="preserve">), כמפורט להלן: </w:t>
      </w:r>
    </w:p>
    <w:p w:rsidR="006F077B" w:rsidP="006F077B">
      <w:pPr>
        <w:numPr>
          <w:ilvl w:val="1"/>
          <w:numId w:val="8"/>
        </w:numPr>
        <w:spacing w:before="0" w:after="0" w:line="276" w:lineRule="auto"/>
      </w:pPr>
      <w:r>
        <w:rPr>
          <w:rFonts w:hint="cs"/>
          <w:rtl/>
        </w:rPr>
        <w:t xml:space="preserve">בחוזר זה </w:t>
      </w:r>
      <w:r>
        <w:rPr>
          <w:rtl/>
        </w:rPr>
        <w:t>–</w:t>
      </w:r>
      <w:r>
        <w:rPr>
          <w:rFonts w:hint="cs"/>
          <w:rtl/>
        </w:rPr>
        <w:t xml:space="preserve"> "</w:t>
      </w:r>
      <w:r w:rsidRPr="00EC4D85">
        <w:rPr>
          <w:rFonts w:hint="cs"/>
          <w:b/>
          <w:bCs/>
          <w:rtl/>
        </w:rPr>
        <w:t>עובד</w:t>
      </w:r>
      <w:r>
        <w:rPr>
          <w:rFonts w:hint="cs"/>
          <w:rtl/>
        </w:rPr>
        <w:t>" - עובד בשירות המדינה, אשר מתקיימים לגביו כל אלה במצטבר:</w:t>
      </w:r>
    </w:p>
    <w:p w:rsidR="006F077B" w:rsidRPr="002E67A9" w:rsidP="006F077B">
      <w:pPr>
        <w:pStyle w:val="ListParagraph"/>
        <w:numPr>
          <w:ilvl w:val="0"/>
          <w:numId w:val="10"/>
        </w:numPr>
        <w:pBdr>
          <w:top w:val="nil"/>
          <w:left w:val="nil"/>
          <w:bottom w:val="nil"/>
          <w:right w:val="nil"/>
          <w:between w:val="nil"/>
          <w:bar w:val="nil"/>
        </w:pBdr>
        <w:spacing w:before="0" w:after="0" w:line="276" w:lineRule="auto"/>
        <w:ind w:left="1070"/>
        <w:contextualSpacing w:val="0"/>
        <w:rPr>
          <w:rFonts w:ascii="FrankRuehl" w:eastAsia="FrankRuehl" w:hAnsi="FrankRuehl"/>
          <w:szCs w:val="24"/>
          <w:rtl/>
          <w:lang w:val="he-IL"/>
        </w:rPr>
      </w:pPr>
      <w:r>
        <w:rPr>
          <w:rFonts w:ascii="FrankRuehl" w:eastAsia="FrankRuehl" w:hAnsi="FrankRuehl" w:hint="cs"/>
          <w:rtl/>
          <w:lang w:val="he-IL"/>
        </w:rPr>
        <w:t>ה</w:t>
      </w:r>
      <w:r w:rsidRPr="002E67A9">
        <w:rPr>
          <w:rFonts w:ascii="FrankRuehl" w:eastAsia="FrankRuehl" w:hAnsi="FrankRuehl" w:hint="cs"/>
          <w:rtl/>
          <w:lang w:val="he-IL"/>
        </w:rPr>
        <w:t>ועסק בשירות המדינה ביום 1.3.2023, ו</w:t>
      </w:r>
      <w:r>
        <w:rPr>
          <w:rFonts w:hint="cs"/>
          <w:rtl/>
        </w:rPr>
        <w:t xml:space="preserve">משכורתו מחושבת לפי ההסכמים הקיבוציים החלים על הדירוגים המיוצגים על-ידי </w:t>
      </w:r>
      <w:r w:rsidRPr="006144B9">
        <w:rPr>
          <w:rFonts w:hint="cs"/>
          <w:rtl/>
        </w:rPr>
        <w:t xml:space="preserve">ההסתדרות הכללית ואשר מפורטים </w:t>
      </w:r>
      <w:r w:rsidRPr="002E67A9">
        <w:rPr>
          <w:rFonts w:hint="cs"/>
          <w:u w:val="single"/>
          <w:rtl/>
        </w:rPr>
        <w:t>בנספח א'</w:t>
      </w:r>
      <w:r>
        <w:rPr>
          <w:rFonts w:hint="cs"/>
          <w:u w:val="single"/>
          <w:rtl/>
        </w:rPr>
        <w:t xml:space="preserve"> </w:t>
      </w:r>
      <w:r>
        <w:rPr>
          <w:rFonts w:ascii="FrankRuehl" w:eastAsia="FrankRuehl" w:hAnsi="FrankRuehl" w:hint="cs"/>
          <w:rtl/>
          <w:lang w:val="he-IL"/>
        </w:rPr>
        <w:t xml:space="preserve">(להלן: </w:t>
      </w:r>
      <w:r w:rsidRPr="003F3D84">
        <w:rPr>
          <w:rFonts w:ascii="FrankRuehl" w:eastAsia="FrankRuehl" w:hAnsi="FrankRuehl" w:hint="cs"/>
          <w:b/>
          <w:bCs/>
          <w:rtl/>
          <w:lang w:val="he-IL"/>
        </w:rPr>
        <w:t>"הדירוגים המזכים"</w:t>
      </w:r>
      <w:r>
        <w:rPr>
          <w:rFonts w:ascii="FrankRuehl" w:eastAsia="FrankRuehl" w:hAnsi="FrankRuehl" w:hint="cs"/>
          <w:rtl/>
          <w:lang w:val="he-IL"/>
        </w:rPr>
        <w:t>)</w:t>
      </w:r>
      <w:r w:rsidRPr="002E67A9">
        <w:rPr>
          <w:rFonts w:ascii="FrankRuehl" w:eastAsia="FrankRuehl" w:hAnsi="FrankRuehl" w:hint="cs"/>
          <w:rtl/>
          <w:lang w:val="he-IL"/>
        </w:rPr>
        <w:t>.</w:t>
      </w:r>
    </w:p>
    <w:p w:rsidR="006F077B" w:rsidRPr="006144B9" w:rsidP="006F077B">
      <w:pPr>
        <w:pStyle w:val="ListParagraph"/>
        <w:numPr>
          <w:ilvl w:val="0"/>
          <w:numId w:val="10"/>
        </w:numPr>
        <w:pBdr>
          <w:top w:val="nil"/>
          <w:left w:val="nil"/>
          <w:bottom w:val="nil"/>
          <w:right w:val="nil"/>
          <w:between w:val="nil"/>
          <w:bar w:val="nil"/>
        </w:pBdr>
        <w:spacing w:before="0" w:after="0" w:line="276" w:lineRule="auto"/>
        <w:contextualSpacing w:val="0"/>
        <w:rPr>
          <w:rFonts w:eastAsia="FrankRuehl" w:cs="Times New Roman"/>
          <w:szCs w:val="24"/>
          <w:rtl/>
          <w:lang w:val="he-IL"/>
        </w:rPr>
      </w:pPr>
      <w:r>
        <w:rPr>
          <w:rFonts w:ascii="FrankRuehl" w:eastAsia="FrankRuehl" w:hAnsi="FrankRuehl" w:hint="cs"/>
          <w:rtl/>
          <w:lang w:val="he-IL"/>
        </w:rPr>
        <w:t>היה מועסק בשירות המדינה ביום 1.6.2022 והועסק ברצף עד ליום 28.2.2023, כאשר לאורך כל התקופה האמורה הוא דורג באחד או יותר מ</w:t>
      </w:r>
      <w:r w:rsidRPr="006144B9">
        <w:rPr>
          <w:rFonts w:ascii="FrankRuehl" w:eastAsia="FrankRuehl" w:hAnsi="FrankRuehl" w:hint="cs"/>
          <w:rtl/>
          <w:lang w:val="he-IL"/>
        </w:rPr>
        <w:t xml:space="preserve">הדירוגים </w:t>
      </w:r>
      <w:r>
        <w:rPr>
          <w:rFonts w:ascii="FrankRuehl" w:eastAsia="FrankRuehl" w:hAnsi="FrankRuehl" w:hint="cs"/>
          <w:rtl/>
          <w:lang w:val="he-IL"/>
        </w:rPr>
        <w:t>המזכים</w:t>
      </w:r>
      <w:r w:rsidRPr="006144B9">
        <w:rPr>
          <w:rFonts w:ascii="FrankRuehl" w:eastAsia="FrankRuehl" w:hAnsi="FrankRuehl" w:hint="cs"/>
          <w:rtl/>
          <w:lang w:val="he-IL"/>
        </w:rPr>
        <w:t xml:space="preserve"> (להלן: "</w:t>
      </w:r>
      <w:r w:rsidRPr="006144B9">
        <w:rPr>
          <w:rFonts w:ascii="FrankRuehl" w:eastAsia="FrankRuehl" w:hAnsi="FrankRuehl" w:hint="eastAsia"/>
          <w:b/>
          <w:bCs/>
          <w:rtl/>
          <w:lang w:val="he-IL"/>
        </w:rPr>
        <w:t>תקופת</w:t>
      </w:r>
      <w:r w:rsidRPr="006144B9">
        <w:rPr>
          <w:rFonts w:ascii="FrankRuehl" w:eastAsia="FrankRuehl" w:hAnsi="FrankRuehl"/>
          <w:b/>
          <w:bCs/>
          <w:rtl/>
          <w:lang w:val="he-IL"/>
        </w:rPr>
        <w:t xml:space="preserve"> </w:t>
      </w:r>
      <w:r w:rsidRPr="006144B9">
        <w:rPr>
          <w:rFonts w:ascii="FrankRuehl" w:eastAsia="FrankRuehl" w:hAnsi="FrankRuehl" w:hint="eastAsia"/>
          <w:b/>
          <w:bCs/>
          <w:rtl/>
          <w:lang w:val="he-IL"/>
        </w:rPr>
        <w:t>האכשרה</w:t>
      </w:r>
      <w:r w:rsidRPr="006144B9">
        <w:rPr>
          <w:rFonts w:ascii="FrankRuehl" w:eastAsia="FrankRuehl" w:hAnsi="FrankRuehl" w:hint="cs"/>
          <w:rtl/>
          <w:lang w:val="he-IL"/>
        </w:rPr>
        <w:t xml:space="preserve">"). </w:t>
      </w:r>
    </w:p>
    <w:p w:rsidR="006F077B" w:rsidP="006F077B">
      <w:pPr>
        <w:pStyle w:val="ListParagraph"/>
        <w:spacing w:before="0" w:after="0" w:line="276" w:lineRule="auto"/>
        <w:rPr>
          <w:rFonts w:ascii="FrankRuehl" w:hAnsi="FrankRuehl"/>
          <w:rtl/>
        </w:rPr>
      </w:pPr>
    </w:p>
    <w:p w:rsidR="006F077B" w:rsidP="006F077B">
      <w:pPr>
        <w:pStyle w:val="ListParagraph"/>
        <w:pBdr>
          <w:top w:val="nil"/>
          <w:left w:val="nil"/>
          <w:bottom w:val="nil"/>
          <w:right w:val="nil"/>
          <w:between w:val="nil"/>
          <w:bar w:val="nil"/>
        </w:pBdr>
        <w:spacing w:before="0" w:after="0" w:line="276" w:lineRule="auto"/>
        <w:ind w:left="1080"/>
        <w:contextualSpacing w:val="0"/>
        <w:rPr>
          <w:rFonts w:ascii="FrankRuehl" w:hAnsi="FrankRuehl"/>
          <w:rtl/>
        </w:rPr>
      </w:pPr>
      <w:r w:rsidRPr="00972D7E">
        <w:rPr>
          <w:rFonts w:ascii="FrankRuehl" w:hAnsi="FrankRuehl"/>
          <w:rtl/>
        </w:rPr>
        <w:t>ל</w:t>
      </w:r>
      <w:r>
        <w:rPr>
          <w:rFonts w:ascii="FrankRuehl" w:hAnsi="FrankRuehl" w:hint="cs"/>
          <w:rtl/>
        </w:rPr>
        <w:t>צורך</w:t>
      </w:r>
      <w:r w:rsidRPr="00972D7E">
        <w:rPr>
          <w:rFonts w:ascii="FrankRuehl" w:hAnsi="FrankRuehl"/>
          <w:rtl/>
        </w:rPr>
        <w:t xml:space="preserve"> </w:t>
      </w:r>
      <w:r>
        <w:rPr>
          <w:rFonts w:ascii="FrankRuehl" w:hAnsi="FrankRuehl" w:hint="cs"/>
          <w:rtl/>
        </w:rPr>
        <w:t xml:space="preserve">חישוב רצף העסקה לעניין </w:t>
      </w:r>
      <w:r w:rsidRPr="00972D7E">
        <w:rPr>
          <w:rFonts w:ascii="FrankRuehl" w:hAnsi="FrankRuehl"/>
          <w:rtl/>
        </w:rPr>
        <w:t>סעי</w:t>
      </w:r>
      <w:r w:rsidRPr="00972D7E">
        <w:rPr>
          <w:rFonts w:ascii="FrankRuehl" w:hAnsi="FrankRuehl" w:hint="cs"/>
          <w:rtl/>
        </w:rPr>
        <w:t xml:space="preserve">ף </w:t>
      </w:r>
      <w:r>
        <w:rPr>
          <w:rFonts w:ascii="FrankRuehl" w:hAnsi="FrankRuehl" w:hint="cs"/>
          <w:rtl/>
        </w:rPr>
        <w:t xml:space="preserve">קטן (2) </w:t>
      </w:r>
      <w:r w:rsidRPr="00972D7E">
        <w:rPr>
          <w:rFonts w:ascii="FrankRuehl" w:hAnsi="FrankRuehl" w:hint="cs"/>
          <w:rtl/>
        </w:rPr>
        <w:t>זה</w:t>
      </w:r>
      <w:r>
        <w:rPr>
          <w:rFonts w:ascii="FrankRuehl" w:hAnsi="FrankRuehl" w:hint="cs"/>
          <w:rtl/>
        </w:rPr>
        <w:t xml:space="preserve">: </w:t>
      </w:r>
    </w:p>
    <w:p w:rsidR="006F077B" w:rsidP="006F077B">
      <w:pPr>
        <w:pStyle w:val="ListParagraph"/>
        <w:pBdr>
          <w:top w:val="nil"/>
          <w:left w:val="nil"/>
          <w:bottom w:val="nil"/>
          <w:right w:val="nil"/>
          <w:between w:val="nil"/>
          <w:bar w:val="nil"/>
        </w:pBdr>
        <w:spacing w:before="0" w:after="0" w:line="276" w:lineRule="auto"/>
        <w:ind w:left="1080"/>
        <w:contextualSpacing w:val="0"/>
        <w:rPr>
          <w:rFonts w:ascii="FrankRuehl" w:hAnsi="FrankRuehl"/>
          <w:rtl/>
        </w:rPr>
      </w:pPr>
      <w:r>
        <w:rPr>
          <w:rFonts w:ascii="FrankRuehl" w:hAnsi="FrankRuehl" w:hint="cs"/>
          <w:rtl/>
        </w:rPr>
        <w:t>(א)</w:t>
      </w:r>
      <w:r w:rsidRPr="00972D7E">
        <w:rPr>
          <w:rFonts w:ascii="FrankRuehl" w:hAnsi="FrankRuehl"/>
          <w:rtl/>
        </w:rPr>
        <w:t xml:space="preserve"> לא י</w:t>
      </w:r>
      <w:r>
        <w:rPr>
          <w:rFonts w:ascii="FrankRuehl" w:hAnsi="FrankRuehl" w:hint="cs"/>
          <w:rtl/>
        </w:rPr>
        <w:t>ובאו</w:t>
      </w:r>
      <w:r w:rsidRPr="00972D7E">
        <w:rPr>
          <w:rFonts w:ascii="FrankRuehl" w:hAnsi="FrankRuehl"/>
          <w:rtl/>
        </w:rPr>
        <w:t xml:space="preserve"> בחשבון תקופות בהן שהה </w:t>
      </w:r>
      <w:r w:rsidRPr="00972D7E">
        <w:rPr>
          <w:rFonts w:ascii="FrankRuehl" w:hAnsi="FrankRuehl" w:hint="cs"/>
          <w:rtl/>
        </w:rPr>
        <w:t>ה</w:t>
      </w:r>
      <w:r w:rsidRPr="00972D7E">
        <w:rPr>
          <w:rFonts w:ascii="FrankRuehl" w:hAnsi="FrankRuehl"/>
          <w:rtl/>
        </w:rPr>
        <w:t>עובד, מכל סיבה שהיא, בחופשה ללא תשלום או בחופשה שדינה כדין חופשה ללא תשלום</w:t>
      </w:r>
      <w:r>
        <w:rPr>
          <w:rFonts w:ascii="FrankRuehl" w:hAnsi="FrankRuehl" w:hint="cs"/>
          <w:rtl/>
        </w:rPr>
        <w:t>;</w:t>
      </w:r>
      <w:r>
        <w:rPr>
          <w:rStyle w:val="FootnoteReference"/>
          <w:rFonts w:ascii="FrankRuehl" w:hAnsi="FrankRuehl"/>
          <w:rtl/>
        </w:rPr>
        <w:footnoteReference w:id="2"/>
      </w:r>
      <w:r w:rsidRPr="00972D7E">
        <w:rPr>
          <w:rFonts w:ascii="FrankRuehl" w:hAnsi="FrankRuehl"/>
          <w:rtl/>
        </w:rPr>
        <w:t xml:space="preserve"> </w:t>
      </w:r>
    </w:p>
    <w:p w:rsidR="006F077B" w:rsidP="006F077B">
      <w:pPr>
        <w:pStyle w:val="ListParagraph"/>
        <w:pBdr>
          <w:top w:val="nil"/>
          <w:left w:val="nil"/>
          <w:bottom w:val="nil"/>
          <w:right w:val="nil"/>
          <w:between w:val="nil"/>
          <w:bar w:val="nil"/>
        </w:pBdr>
        <w:spacing w:before="0" w:after="0" w:line="276" w:lineRule="auto"/>
        <w:ind w:left="1080"/>
        <w:contextualSpacing w:val="0"/>
        <w:rPr>
          <w:rFonts w:eastAsia="FrankRuehl"/>
          <w:rtl/>
          <w:lang w:val="he-IL"/>
        </w:rPr>
      </w:pPr>
      <w:r>
        <w:rPr>
          <w:rFonts w:ascii="FrankRuehl" w:hAnsi="FrankRuehl" w:hint="cs"/>
          <w:rtl/>
        </w:rPr>
        <w:t xml:space="preserve"> </w:t>
      </w:r>
      <w:r>
        <w:rPr>
          <w:rFonts w:ascii="FrankRuehl" w:hAnsi="FrankRuehl" w:hint="cs"/>
          <w:rtl/>
        </w:rPr>
        <w:t xml:space="preserve">(ב) </w:t>
      </w:r>
      <w:r w:rsidRPr="00972D7E">
        <w:rPr>
          <w:rFonts w:ascii="FrankRuehl" w:hAnsi="FrankRuehl"/>
          <w:rtl/>
        </w:rPr>
        <w:t xml:space="preserve">יובאו בחשבון תקופות בהן שהה העובד כאמור בשירות מילואים או בתקופת לידה והורות לפי חוק עבודת נשים, התשי"ד-1954 או </w:t>
      </w:r>
      <w:r w:rsidRPr="00972D7E">
        <w:rPr>
          <w:rFonts w:ascii="FrankRuehl" w:hAnsi="FrankRuehl" w:hint="cs"/>
          <w:rtl/>
        </w:rPr>
        <w:t>ב</w:t>
      </w:r>
      <w:r w:rsidRPr="00972D7E">
        <w:rPr>
          <w:rFonts w:ascii="FrankRuehl" w:hAnsi="FrankRuehl"/>
          <w:rtl/>
        </w:rPr>
        <w:t xml:space="preserve">תקופת </w:t>
      </w:r>
      <w:r>
        <w:rPr>
          <w:rFonts w:hint="cs"/>
          <w:rtl/>
        </w:rPr>
        <w:t xml:space="preserve">חופשת </w:t>
      </w:r>
      <w:r w:rsidRPr="00633CC4">
        <w:rPr>
          <w:rFonts w:hint="cs"/>
          <w:rtl/>
        </w:rPr>
        <w:t xml:space="preserve">מחלה </w:t>
      </w:r>
      <w:r>
        <w:rPr>
          <w:rFonts w:hint="cs"/>
          <w:rtl/>
        </w:rPr>
        <w:t>כאמור בפסקה 33.210 לתקשי"ר (במשכורת, בחצי משכורת או ללא משכורת)</w:t>
      </w:r>
      <w:r>
        <w:rPr>
          <w:rFonts w:ascii="FrankRuehl" w:hAnsi="FrankRuehl" w:hint="cs"/>
          <w:rtl/>
        </w:rPr>
        <w:t xml:space="preserve">. </w:t>
      </w:r>
    </w:p>
    <w:p w:rsidR="006F077B" w:rsidP="006F077B">
      <w:pPr>
        <w:pStyle w:val="ListParagraph"/>
        <w:pBdr>
          <w:top w:val="nil"/>
          <w:left w:val="nil"/>
          <w:bottom w:val="nil"/>
          <w:right w:val="nil"/>
          <w:between w:val="nil"/>
          <w:bar w:val="nil"/>
        </w:pBdr>
        <w:spacing w:before="0" w:after="0" w:line="276" w:lineRule="auto"/>
        <w:ind w:left="1080"/>
        <w:contextualSpacing w:val="0"/>
        <w:rPr>
          <w:rtl/>
        </w:rPr>
      </w:pPr>
    </w:p>
    <w:p w:rsidR="006F077B" w:rsidP="006F077B">
      <w:pPr>
        <w:pStyle w:val="ListParagraph"/>
        <w:pBdr>
          <w:top w:val="nil"/>
          <w:left w:val="nil"/>
          <w:bottom w:val="nil"/>
          <w:right w:val="nil"/>
          <w:between w:val="nil"/>
          <w:bar w:val="nil"/>
        </w:pBdr>
        <w:spacing w:before="0" w:after="0" w:line="276" w:lineRule="auto"/>
        <w:ind w:left="1080"/>
        <w:contextualSpacing w:val="0"/>
        <w:rPr>
          <w:rFonts w:eastAsia="FrankRuehl"/>
          <w:rtl/>
          <w:lang w:val="he-IL"/>
        </w:rPr>
      </w:pPr>
      <w:r>
        <w:rPr>
          <w:rFonts w:hint="cs"/>
          <w:rtl/>
        </w:rPr>
        <w:t>מובהר כי היעדרות באישור המעסיק ובתשלום (כגון, חופשת מנוחה או השתלמות בשכר) בתקופת האכשרה, אינה קוטעת את רצף ההעסקה.</w:t>
      </w:r>
    </w:p>
    <w:p w:rsidR="006F077B" w:rsidP="006F077B">
      <w:pPr>
        <w:spacing w:before="0" w:after="0" w:line="276" w:lineRule="auto"/>
        <w:ind w:left="720"/>
        <w:rPr>
          <w:rFonts w:ascii="FrankRuehl" w:eastAsia="FrankRuehl" w:hAnsi="FrankRuehl"/>
          <w:rtl/>
          <w:lang w:val="he-IL"/>
        </w:rPr>
      </w:pPr>
    </w:p>
    <w:p w:rsidR="006F077B" w:rsidP="006F077B">
      <w:pPr>
        <w:numPr>
          <w:ilvl w:val="1"/>
          <w:numId w:val="8"/>
        </w:numPr>
        <w:spacing w:before="0" w:after="0" w:line="276" w:lineRule="auto"/>
      </w:pPr>
      <w:r>
        <w:rPr>
          <w:rFonts w:hint="cs"/>
          <w:rtl/>
        </w:rPr>
        <w:t xml:space="preserve">לכל עובד כהגדרתו לעיל, תשולם </w:t>
      </w:r>
      <w:r w:rsidRPr="00714C4E">
        <w:rPr>
          <w:rFonts w:hint="cs"/>
          <w:rtl/>
        </w:rPr>
        <w:t xml:space="preserve">מקדמה </w:t>
      </w:r>
      <w:r>
        <w:rPr>
          <w:rFonts w:hint="cs"/>
          <w:rtl/>
        </w:rPr>
        <w:t>בסכום (</w:t>
      </w:r>
      <w:r>
        <w:rPr>
          <w:rFonts w:hint="cs"/>
        </w:rPr>
        <w:t>M</w:t>
      </w:r>
      <w:r>
        <w:rPr>
          <w:rFonts w:hint="cs"/>
          <w:rtl/>
        </w:rPr>
        <w:t>) בש"ח</w:t>
      </w:r>
      <w:r>
        <w:rPr>
          <w:rFonts w:hint="cs"/>
        </w:rPr>
        <w:t xml:space="preserve"> </w:t>
      </w:r>
      <w:r>
        <w:rPr>
          <w:rFonts w:hint="cs"/>
          <w:rtl/>
        </w:rPr>
        <w:t>אשר יחושב כדלקמן:</w:t>
      </w:r>
    </w:p>
    <w:p w:rsidR="006F077B" w:rsidP="006F077B">
      <w:pPr>
        <w:spacing w:before="0" w:after="0" w:line="276" w:lineRule="auto"/>
        <w:ind w:left="794"/>
      </w:pPr>
      <w:r>
        <w:rPr>
          <w:rFonts w:hint="cs"/>
        </w:rPr>
        <w:t>A</w:t>
      </w:r>
      <w:r>
        <w:rPr>
          <w:rFonts w:hint="cs"/>
          <w:rtl/>
        </w:rPr>
        <w:t xml:space="preserve"> </w:t>
      </w:r>
      <w:r>
        <w:rPr>
          <w:rFonts w:hint="cs"/>
          <w:rtl/>
        </w:rPr>
        <w:t xml:space="preserve">* </w:t>
      </w:r>
      <w:r>
        <w:t xml:space="preserve"> </w:t>
      </w:r>
      <w:r>
        <w:rPr>
          <w:rFonts w:hint="cs"/>
        </w:rPr>
        <w:t>B</w:t>
      </w:r>
      <w:r>
        <w:rPr>
          <w:rFonts w:hint="cs"/>
          <w:rtl/>
        </w:rPr>
        <w:t>*</w:t>
      </w:r>
      <w:r>
        <w:rPr>
          <w:rFonts w:hint="cs"/>
        </w:rPr>
        <w:t xml:space="preserve"> C</w:t>
      </w:r>
      <w:r>
        <w:t xml:space="preserve"> </w:t>
      </w:r>
      <w:r>
        <w:rPr>
          <w:rFonts w:hint="cs"/>
          <w:rtl/>
        </w:rPr>
        <w:t xml:space="preserve"> = </w:t>
      </w:r>
      <w:r>
        <w:rPr>
          <w:rFonts w:hint="cs"/>
        </w:rPr>
        <w:t>M</w:t>
      </w:r>
    </w:p>
    <w:p w:rsidR="006F077B" w:rsidP="006F077B">
      <w:pPr>
        <w:pStyle w:val="ListParagraph"/>
        <w:keepLines/>
        <w:spacing w:before="0" w:after="0" w:line="276" w:lineRule="auto"/>
        <w:ind w:left="709"/>
        <w:rPr>
          <w:rtl/>
        </w:rPr>
      </w:pPr>
      <w:r>
        <w:rPr>
          <w:rFonts w:hint="cs"/>
          <w:rtl/>
        </w:rPr>
        <w:t>כאשר:</w:t>
      </w:r>
    </w:p>
    <w:p w:rsidR="006F077B" w:rsidP="006F077B">
      <w:pPr>
        <w:pStyle w:val="ListParagraph"/>
        <w:keepLines/>
        <w:spacing w:before="0" w:after="0" w:line="276" w:lineRule="auto"/>
        <w:ind w:left="709"/>
        <w:rPr>
          <w:rtl/>
        </w:rPr>
      </w:pPr>
      <w:r>
        <w:rPr>
          <w:rFonts w:hint="cs"/>
        </w:rPr>
        <w:t>A</w:t>
      </w:r>
      <w:r>
        <w:rPr>
          <w:rFonts w:hint="cs"/>
          <w:rtl/>
        </w:rPr>
        <w:t xml:space="preserve"> - 6,000 </w:t>
      </w:r>
    </w:p>
    <w:p w:rsidR="006F077B" w:rsidP="006F077B">
      <w:pPr>
        <w:pStyle w:val="ListParagraph"/>
        <w:keepLines/>
        <w:spacing w:before="0" w:after="0" w:line="276" w:lineRule="auto"/>
        <w:rPr>
          <w:rFonts w:ascii="FrankRuehl" w:eastAsia="FrankRuehl" w:hAnsi="FrankRuehl"/>
          <w:rtl/>
          <w:lang w:val="he-IL"/>
        </w:rPr>
      </w:pPr>
      <w:r w:rsidRPr="006142EA">
        <w:rPr>
          <w:rFonts w:ascii="Calibri" w:eastAsia="FrankRuehl" w:hAnsi="Calibri" w:hint="cs"/>
        </w:rPr>
        <w:t>B</w:t>
      </w:r>
      <w:r w:rsidRPr="006142EA">
        <w:rPr>
          <w:rFonts w:ascii="Calibri" w:eastAsia="FrankRuehl" w:hAnsi="Calibri" w:hint="cs"/>
          <w:rtl/>
        </w:rPr>
        <w:t xml:space="preserve"> - </w:t>
      </w:r>
      <w:r w:rsidRPr="00B10475">
        <w:rPr>
          <w:rFonts w:ascii="FrankRuehl" w:eastAsia="FrankRuehl" w:hAnsi="FrankRuehl"/>
          <w:rtl/>
          <w:lang w:val="he-IL"/>
        </w:rPr>
        <w:t xml:space="preserve">המנה המתקבלת מחלוקת </w:t>
      </w:r>
      <w:r w:rsidRPr="00264425">
        <w:rPr>
          <w:rFonts w:ascii="FrankRuehl" w:eastAsia="FrankRuehl" w:hAnsi="FrankRuehl"/>
          <w:rtl/>
          <w:lang w:val="he-IL"/>
        </w:rPr>
        <w:t xml:space="preserve">מספר החודשים בהם הועסק </w:t>
      </w:r>
      <w:r w:rsidRPr="00264425">
        <w:rPr>
          <w:rFonts w:ascii="FrankRuehl" w:eastAsia="FrankRuehl" w:hAnsi="FrankRuehl" w:hint="cs"/>
          <w:rtl/>
          <w:lang w:val="he-IL"/>
        </w:rPr>
        <w:t xml:space="preserve">העובד </w:t>
      </w:r>
      <w:r>
        <w:rPr>
          <w:rFonts w:ascii="FrankRuehl" w:eastAsia="FrankRuehl" w:hAnsi="FrankRuehl" w:hint="cs"/>
          <w:rtl/>
          <w:lang w:val="he-IL"/>
        </w:rPr>
        <w:t xml:space="preserve">בשירות המדינה </w:t>
      </w:r>
      <w:r w:rsidRPr="00264425">
        <w:rPr>
          <w:rFonts w:ascii="FrankRuehl" w:eastAsia="FrankRuehl" w:hAnsi="FrankRuehl" w:hint="cs"/>
          <w:rtl/>
          <w:lang w:val="he-IL"/>
        </w:rPr>
        <w:t>בתקופ</w:t>
      </w:r>
      <w:r>
        <w:rPr>
          <w:rFonts w:ascii="FrankRuehl" w:eastAsia="FrankRuehl" w:hAnsi="FrankRuehl" w:hint="cs"/>
          <w:rtl/>
          <w:lang w:val="he-IL"/>
        </w:rPr>
        <w:t>ת החישוב (להלן יכונו חודשים אלו: "חודשי חישוב העסקה")</w:t>
      </w:r>
      <w:r w:rsidRPr="00B10475">
        <w:rPr>
          <w:rFonts w:ascii="FrankRuehl" w:eastAsia="FrankRuehl" w:hAnsi="FrankRuehl"/>
          <w:rtl/>
          <w:lang w:val="he-IL"/>
        </w:rPr>
        <w:t>, ב</w:t>
      </w:r>
      <w:r>
        <w:rPr>
          <w:rFonts w:ascii="FrankRuehl" w:eastAsia="FrankRuehl" w:hAnsi="FrankRuehl" w:hint="cs"/>
          <w:rtl/>
          <w:lang w:val="he-IL"/>
        </w:rPr>
        <w:t>-30.</w:t>
      </w:r>
      <w:r w:rsidRPr="00B10475">
        <w:rPr>
          <w:rFonts w:ascii="FrankRuehl" w:eastAsia="FrankRuehl" w:hAnsi="FrankRuehl"/>
          <w:rtl/>
          <w:lang w:val="he-IL"/>
        </w:rPr>
        <w:t xml:space="preserve"> </w:t>
      </w:r>
      <w:r>
        <w:rPr>
          <w:rFonts w:ascii="Calibri" w:eastAsia="FrankRuehl" w:hAnsi="Calibri" w:hint="cs"/>
          <w:rtl/>
        </w:rPr>
        <w:t>לעניין זה, "תקופת החישוב</w:t>
      </w:r>
      <w:r>
        <w:rPr>
          <w:rFonts w:ascii="FrankRuehl" w:eastAsia="FrankRuehl" w:hAnsi="FrankRuehl" w:hint="cs"/>
          <w:rtl/>
          <w:lang w:val="he-IL"/>
        </w:rPr>
        <w:t xml:space="preserve">" </w:t>
      </w:r>
      <w:r>
        <w:rPr>
          <w:rFonts w:ascii="FrankRuehl" w:eastAsia="FrankRuehl" w:hAnsi="FrankRuehl"/>
          <w:rtl/>
          <w:lang w:val="he-IL"/>
        </w:rPr>
        <w:t>–</w:t>
      </w:r>
      <w:r>
        <w:rPr>
          <w:rFonts w:ascii="FrankRuehl" w:eastAsia="FrankRuehl" w:hAnsi="FrankRuehl" w:hint="cs"/>
          <w:rtl/>
          <w:lang w:val="he-IL"/>
        </w:rPr>
        <w:t xml:space="preserve"> התקופה </w:t>
      </w:r>
      <w:r w:rsidRPr="00264425">
        <w:rPr>
          <w:rFonts w:ascii="FrankRuehl" w:eastAsia="FrankRuehl" w:hAnsi="FrankRuehl" w:hint="cs"/>
          <w:rtl/>
          <w:lang w:val="he-IL"/>
        </w:rPr>
        <w:t>שמיום 1.10.2020 ועד יום  31.3.2023</w:t>
      </w:r>
      <w:r>
        <w:rPr>
          <w:rFonts w:ascii="FrankRuehl" w:eastAsia="FrankRuehl" w:hAnsi="FrankRuehl" w:hint="cs"/>
          <w:rtl/>
          <w:lang w:val="he-IL"/>
        </w:rPr>
        <w:t>;</w:t>
      </w:r>
    </w:p>
    <w:p w:rsidR="006F077B" w:rsidRPr="00B10475" w:rsidP="006F077B">
      <w:pPr>
        <w:pStyle w:val="NormalWeb"/>
        <w:widowControl w:val="0"/>
        <w:spacing w:before="0" w:after="0" w:line="276" w:lineRule="auto"/>
        <w:ind w:left="720"/>
        <w:contextualSpacing/>
        <w:jc w:val="both"/>
        <w:rPr>
          <w:rFonts w:ascii="FrankRuehl" w:eastAsia="FrankRuehl" w:hAnsi="FrankRuehl" w:cs="Guttman Yad" w:hint="default"/>
          <w:sz w:val="26"/>
          <w:szCs w:val="26"/>
          <w:rtl/>
          <w:lang w:val="he-IL"/>
        </w:rPr>
      </w:pPr>
      <w:r w:rsidRPr="00B10475">
        <w:rPr>
          <w:rFonts w:ascii="FrankRuehl" w:eastAsia="FrankRuehl" w:hAnsi="FrankRuehl" w:cs="FrankRuehl"/>
          <w:sz w:val="26"/>
          <w:szCs w:val="26"/>
          <w:rtl/>
          <w:lang w:val="he-IL"/>
        </w:rPr>
        <w:t xml:space="preserve">ככל שעובד הועסק בחלק מחודש </w:t>
      </w:r>
      <w:r w:rsidRPr="00B10475">
        <w:rPr>
          <w:rFonts w:ascii="FrankRuehl" w:eastAsia="FrankRuehl" w:hAnsi="FrankRuehl" w:cs="FrankRuehl"/>
          <w:sz w:val="26"/>
          <w:szCs w:val="26"/>
          <w:rtl/>
          <w:lang w:val="he-IL"/>
        </w:rPr>
        <w:t>קלנדרי</w:t>
      </w:r>
      <w:r w:rsidRPr="00B10475">
        <w:rPr>
          <w:rFonts w:ascii="FrankRuehl" w:eastAsia="FrankRuehl" w:hAnsi="FrankRuehl" w:cs="FrankRuehl"/>
          <w:sz w:val="26"/>
          <w:szCs w:val="26"/>
          <w:rtl/>
          <w:lang w:val="he-IL"/>
        </w:rPr>
        <w:t xml:space="preserve"> מסוים בתקופת החישוב, יחושב אותו חודש באופן יחסי, כך שימי העסקתו של העובד באותו חודש יחולקו במספר ימי העבודה באותו החודש.  </w:t>
      </w:r>
    </w:p>
    <w:p w:rsidR="006F077B" w:rsidRPr="00B10475" w:rsidP="006F077B">
      <w:pPr>
        <w:pStyle w:val="ListParagraph"/>
        <w:keepLines/>
        <w:spacing w:before="0" w:after="0" w:line="276" w:lineRule="auto"/>
        <w:rPr>
          <w:rFonts w:ascii="FrankRuehl" w:eastAsia="FrankRuehl" w:hAnsi="FrankRuehl"/>
          <w:rtl/>
          <w:lang w:val="he-IL"/>
        </w:rPr>
      </w:pPr>
    </w:p>
    <w:p w:rsidR="006F077B" w:rsidP="006F077B">
      <w:pPr>
        <w:pStyle w:val="ListParagraph"/>
        <w:keepLines/>
        <w:spacing w:before="0" w:after="0" w:line="276" w:lineRule="auto"/>
        <w:rPr>
          <w:rFonts w:ascii="FrankRuehl" w:eastAsia="FrankRuehl" w:hAnsi="FrankRuehl"/>
          <w:rtl/>
          <w:lang w:val="he-IL"/>
        </w:rPr>
      </w:pPr>
      <w:r>
        <w:rPr>
          <w:rFonts w:ascii="FrankRuehl" w:eastAsia="FrankRuehl" w:hAnsi="FrankRuehl" w:hint="cs"/>
          <w:szCs w:val="24"/>
          <w:rtl/>
          <w:lang w:val="he-IL"/>
        </w:rPr>
        <w:t>C</w:t>
      </w:r>
      <w:r>
        <w:rPr>
          <w:rFonts w:ascii="FrankRuehl" w:eastAsia="FrankRuehl" w:hAnsi="FrankRuehl" w:hint="cs"/>
          <w:rtl/>
          <w:lang w:val="he-IL"/>
        </w:rPr>
        <w:t xml:space="preserve"> - </w:t>
      </w:r>
      <w:r w:rsidRPr="00B10475">
        <w:rPr>
          <w:rFonts w:ascii="FrankRuehl" w:eastAsia="FrankRuehl" w:hAnsi="FrankRuehl"/>
          <w:rtl/>
          <w:lang w:val="he-IL"/>
        </w:rPr>
        <w:t>חלקיות המש</w:t>
      </w:r>
      <w:r w:rsidRPr="00472B9C">
        <w:rPr>
          <w:rFonts w:ascii="FrankRuehl" w:eastAsia="FrankRuehl" w:hAnsi="FrankRuehl"/>
          <w:rtl/>
          <w:lang w:val="he-IL"/>
        </w:rPr>
        <w:t>רה</w:t>
      </w:r>
      <w:r>
        <w:rPr>
          <w:rFonts w:ascii="FrankRuehl" w:eastAsia="FrankRuehl" w:hAnsi="FrankRuehl" w:hint="cs"/>
          <w:rtl/>
          <w:lang w:val="he-IL"/>
        </w:rPr>
        <w:t xml:space="preserve"> הממוצעת בחודשים </w:t>
      </w:r>
      <w:r w:rsidRPr="00B10475">
        <w:rPr>
          <w:rFonts w:ascii="FrankRuehl" w:eastAsia="FrankRuehl" w:hAnsi="FrankRuehl"/>
          <w:rtl/>
          <w:lang w:val="he-IL"/>
        </w:rPr>
        <w:t>בה</w:t>
      </w:r>
      <w:r>
        <w:rPr>
          <w:rFonts w:ascii="FrankRuehl" w:eastAsia="FrankRuehl" w:hAnsi="FrankRuehl" w:hint="cs"/>
          <w:rtl/>
          <w:lang w:val="he-IL"/>
        </w:rPr>
        <w:t>ם</w:t>
      </w:r>
      <w:r w:rsidRPr="00B10475">
        <w:rPr>
          <w:rFonts w:ascii="FrankRuehl" w:eastAsia="FrankRuehl" w:hAnsi="FrankRuehl"/>
          <w:rtl/>
          <w:lang w:val="he-IL"/>
        </w:rPr>
        <w:t xml:space="preserve"> הועסק העובד </w:t>
      </w:r>
      <w:r>
        <w:rPr>
          <w:rFonts w:ascii="FrankRuehl" w:eastAsia="FrankRuehl" w:hAnsi="FrankRuehl" w:hint="cs"/>
          <w:rtl/>
          <w:lang w:val="he-IL"/>
        </w:rPr>
        <w:t>בתקופת החישוב (להלן יכונו חודשים אלו: "חודשי חישוב חלקיות המשרה")</w:t>
      </w:r>
      <w:r w:rsidRPr="00B10475">
        <w:rPr>
          <w:rFonts w:ascii="FrankRuehl" w:eastAsia="FrankRuehl" w:hAnsi="FrankRuehl"/>
          <w:rtl/>
          <w:lang w:val="he-IL"/>
        </w:rPr>
        <w:t xml:space="preserve">. </w:t>
      </w:r>
    </w:p>
    <w:p w:rsidR="006F077B" w:rsidP="006F077B">
      <w:pPr>
        <w:pStyle w:val="ListParagraph"/>
        <w:keepLines/>
        <w:spacing w:before="0" w:after="0" w:line="276" w:lineRule="auto"/>
        <w:rPr>
          <w:rFonts w:ascii="FrankRuehl" w:eastAsia="FrankRuehl" w:hAnsi="FrankRuehl"/>
          <w:rtl/>
          <w:lang w:val="he-IL"/>
        </w:rPr>
      </w:pPr>
    </w:p>
    <w:p w:rsidR="006F077B" w:rsidP="006F077B">
      <w:pPr>
        <w:pStyle w:val="ListParagraph"/>
        <w:keepLines/>
        <w:spacing w:before="0" w:after="0" w:line="276" w:lineRule="auto"/>
        <w:rPr>
          <w:rFonts w:ascii="FrankRuehl" w:eastAsia="FrankRuehl" w:hAnsi="FrankRuehl"/>
          <w:rtl/>
          <w:lang w:val="he-IL"/>
        </w:rPr>
      </w:pPr>
      <w:r w:rsidRPr="00B10475">
        <w:rPr>
          <w:rFonts w:ascii="FrankRuehl" w:eastAsia="FrankRuehl" w:hAnsi="FrankRuehl"/>
          <w:rtl/>
          <w:lang w:val="he-IL"/>
        </w:rPr>
        <w:t>לדוגמא</w:t>
      </w:r>
      <w:r w:rsidRPr="00B10475">
        <w:rPr>
          <w:rFonts w:ascii="FrankRuehl" w:eastAsia="FrankRuehl" w:hAnsi="FrankRuehl" w:hint="cs"/>
          <w:rtl/>
          <w:lang w:val="he-IL"/>
        </w:rPr>
        <w:t>,</w:t>
      </w:r>
      <w:r w:rsidRPr="00B10475">
        <w:rPr>
          <w:rFonts w:ascii="FrankRuehl" w:eastAsia="FrankRuehl" w:hAnsi="FrankRuehl"/>
          <w:rtl/>
          <w:lang w:val="he-IL"/>
        </w:rPr>
        <w:t xml:space="preserve"> </w:t>
      </w:r>
      <w:r>
        <w:rPr>
          <w:rFonts w:ascii="FrankRuehl" w:eastAsia="FrankRuehl" w:hAnsi="FrankRuehl" w:hint="cs"/>
          <w:rtl/>
          <w:lang w:val="he-IL"/>
        </w:rPr>
        <w:t>ל</w:t>
      </w:r>
      <w:r w:rsidRPr="00B10475">
        <w:rPr>
          <w:rFonts w:ascii="FrankRuehl" w:eastAsia="FrankRuehl" w:hAnsi="FrankRuehl"/>
          <w:rtl/>
          <w:lang w:val="he-IL"/>
        </w:rPr>
        <w:t>עובד</w:t>
      </w:r>
      <w:r>
        <w:rPr>
          <w:rFonts w:ascii="FrankRuehl" w:eastAsia="FrankRuehl" w:hAnsi="FrankRuehl" w:hint="cs"/>
          <w:rtl/>
          <w:lang w:val="he-IL"/>
        </w:rPr>
        <w:t xml:space="preserve"> </w:t>
      </w:r>
      <w:r w:rsidRPr="00B10475">
        <w:rPr>
          <w:rFonts w:ascii="FrankRuehl" w:eastAsia="FrankRuehl" w:hAnsi="FrankRuehl" w:hint="cs"/>
          <w:rtl/>
          <w:lang w:val="he-IL"/>
        </w:rPr>
        <w:t>שהועסק</w:t>
      </w:r>
      <w:r>
        <w:rPr>
          <w:rFonts w:ascii="FrankRuehl" w:eastAsia="FrankRuehl" w:hAnsi="FrankRuehl" w:hint="cs"/>
          <w:rtl/>
          <w:lang w:val="he-IL"/>
        </w:rPr>
        <w:t xml:space="preserve"> בשירות המדינה, באחד או יותר מהדירוגים המזכים,</w:t>
      </w:r>
      <w:r w:rsidRPr="00B10475">
        <w:rPr>
          <w:rFonts w:ascii="FrankRuehl" w:eastAsia="FrankRuehl" w:hAnsi="FrankRuehl" w:hint="cs"/>
          <w:rtl/>
          <w:lang w:val="he-IL"/>
        </w:rPr>
        <w:t xml:space="preserve"> במשך </w:t>
      </w:r>
      <w:r>
        <w:rPr>
          <w:rFonts w:ascii="FrankRuehl" w:eastAsia="FrankRuehl" w:hAnsi="FrankRuehl" w:hint="cs"/>
          <w:rtl/>
          <w:lang w:val="he-IL"/>
        </w:rPr>
        <w:t xml:space="preserve">24 </w:t>
      </w:r>
      <w:r w:rsidRPr="00B10475">
        <w:rPr>
          <w:rFonts w:ascii="FrankRuehl" w:eastAsia="FrankRuehl" w:hAnsi="FrankRuehl" w:hint="cs"/>
          <w:rtl/>
          <w:lang w:val="he-IL"/>
        </w:rPr>
        <w:t xml:space="preserve">חודשים מתוך </w:t>
      </w:r>
      <w:r>
        <w:rPr>
          <w:rFonts w:ascii="FrankRuehl" w:eastAsia="FrankRuehl" w:hAnsi="FrankRuehl" w:hint="cs"/>
          <w:rtl/>
          <w:lang w:val="he-IL"/>
        </w:rPr>
        <w:t>30 החודשים שבתקופת החישוב</w:t>
      </w:r>
      <w:r w:rsidRPr="00B10475">
        <w:rPr>
          <w:rFonts w:ascii="FrankRuehl" w:eastAsia="FrankRuehl" w:hAnsi="FrankRuehl" w:hint="cs"/>
          <w:rtl/>
          <w:lang w:val="he-IL"/>
        </w:rPr>
        <w:t>, ב-75% משרה</w:t>
      </w:r>
      <w:r>
        <w:rPr>
          <w:rFonts w:ascii="FrankRuehl" w:eastAsia="FrankRuehl" w:hAnsi="FrankRuehl" w:hint="cs"/>
          <w:rtl/>
          <w:lang w:val="he-IL"/>
        </w:rPr>
        <w:t>,</w:t>
      </w:r>
      <w:r w:rsidRPr="00B10475">
        <w:rPr>
          <w:rFonts w:ascii="FrankRuehl" w:eastAsia="FrankRuehl" w:hAnsi="FrankRuehl" w:hint="cs"/>
          <w:rtl/>
          <w:lang w:val="he-IL"/>
        </w:rPr>
        <w:t xml:space="preserve"> יחושב ערך </w:t>
      </w:r>
      <w:r>
        <w:rPr>
          <w:rFonts w:ascii="FrankRuehl" w:eastAsia="FrankRuehl" w:hAnsi="FrankRuehl" w:hint="cs"/>
          <w:szCs w:val="24"/>
          <w:rtl/>
          <w:lang w:val="he-IL"/>
        </w:rPr>
        <w:t>M</w:t>
      </w:r>
      <w:r>
        <w:rPr>
          <w:rFonts w:ascii="FrankRuehl" w:eastAsia="FrankRuehl" w:hAnsi="FrankRuehl" w:hint="cs"/>
          <w:rtl/>
          <w:lang w:val="he-IL"/>
        </w:rPr>
        <w:t xml:space="preserve"> כדלקמן:</w:t>
      </w:r>
    </w:p>
    <w:p w:rsidR="006F077B" w:rsidP="006F077B">
      <w:pPr>
        <w:pStyle w:val="ListParagraph"/>
        <w:keepLines/>
        <w:spacing w:before="0" w:after="0" w:line="276" w:lineRule="auto"/>
        <w:rPr>
          <w:rFonts w:ascii="FrankRuehl" w:eastAsia="FrankRuehl" w:hAnsi="FrankRuehl"/>
          <w:rtl/>
          <w:lang w:val="he-IL"/>
        </w:rPr>
      </w:pPr>
      <w:r>
        <w:rPr>
          <w:rFonts w:ascii="FrankRuehl" w:eastAsia="FrankRuehl" w:hAnsi="FrankRuehl" w:hint="cs"/>
          <w:szCs w:val="24"/>
          <w:rtl/>
          <w:lang w:val="he-IL"/>
        </w:rPr>
        <w:t>A</w:t>
      </w:r>
      <w:r>
        <w:rPr>
          <w:rFonts w:ascii="FrankRuehl" w:eastAsia="FrankRuehl" w:hAnsi="FrankRuehl" w:hint="cs"/>
          <w:rtl/>
          <w:lang w:val="he-IL"/>
        </w:rPr>
        <w:t xml:space="preserve"> = 6,000</w:t>
      </w:r>
      <w:r>
        <w:rPr>
          <w:rFonts w:ascii="FrankRuehl" w:eastAsia="FrankRuehl" w:hAnsi="FrankRuehl" w:hint="cs"/>
          <w:rtl/>
          <w:lang w:val="he-IL"/>
        </w:rPr>
        <w:tab/>
      </w:r>
    </w:p>
    <w:p w:rsidR="006F077B" w:rsidP="006F077B">
      <w:pPr>
        <w:pStyle w:val="ListParagraph"/>
        <w:keepLines/>
        <w:spacing w:before="0" w:after="0" w:line="276" w:lineRule="auto"/>
        <w:rPr>
          <w:rFonts w:ascii="FrankRuehl" w:eastAsia="FrankRuehl" w:hAnsi="FrankRuehl"/>
          <w:rtl/>
          <w:lang w:val="he-IL"/>
        </w:rPr>
      </w:pPr>
      <w:r>
        <w:rPr>
          <w:rFonts w:ascii="FrankRuehl" w:eastAsia="FrankRuehl" w:hAnsi="FrankRuehl" w:hint="cs"/>
          <w:szCs w:val="24"/>
          <w:rtl/>
          <w:lang w:val="he-IL"/>
        </w:rPr>
        <w:t>B</w:t>
      </w:r>
      <w:r w:rsidRPr="00B10475">
        <w:rPr>
          <w:rFonts w:ascii="FrankRuehl" w:eastAsia="FrankRuehl" w:hAnsi="FrankRuehl" w:hint="cs"/>
          <w:rtl/>
          <w:lang w:val="he-IL"/>
        </w:rPr>
        <w:t xml:space="preserve"> = </w:t>
      </w:r>
      <w:r>
        <w:rPr>
          <w:rFonts w:ascii="FrankRuehl" w:eastAsia="FrankRuehl" w:hAnsi="FrankRuehl" w:hint="cs"/>
          <w:rtl/>
          <w:lang w:val="he-IL"/>
        </w:rPr>
        <w:t>24/30</w:t>
      </w:r>
    </w:p>
    <w:p w:rsidR="006F077B" w:rsidP="006F077B">
      <w:pPr>
        <w:pStyle w:val="ListParagraph"/>
        <w:keepLines/>
        <w:spacing w:before="0" w:after="0" w:line="276" w:lineRule="auto"/>
        <w:rPr>
          <w:rFonts w:ascii="FrankRuehl" w:eastAsia="FrankRuehl" w:hAnsi="FrankRuehl"/>
          <w:rtl/>
          <w:lang w:val="he-IL"/>
        </w:rPr>
      </w:pPr>
      <w:r>
        <w:rPr>
          <w:rFonts w:ascii="FrankRuehl" w:eastAsia="FrankRuehl" w:hAnsi="FrankRuehl" w:hint="cs"/>
          <w:szCs w:val="24"/>
          <w:rtl/>
          <w:lang w:val="he-IL"/>
        </w:rPr>
        <w:t>C</w:t>
      </w:r>
      <w:r>
        <w:rPr>
          <w:rFonts w:ascii="FrankRuehl" w:eastAsia="FrankRuehl" w:hAnsi="FrankRuehl" w:hint="cs"/>
          <w:rtl/>
          <w:lang w:val="he-IL"/>
        </w:rPr>
        <w:t xml:space="preserve"> = 3/4</w:t>
      </w:r>
    </w:p>
    <w:p w:rsidR="006F077B" w:rsidP="006F077B">
      <w:pPr>
        <w:pStyle w:val="ListParagraph"/>
        <w:keepLines/>
        <w:spacing w:before="0" w:after="0" w:line="276" w:lineRule="auto"/>
        <w:rPr>
          <w:rFonts w:ascii="FrankRuehl" w:eastAsia="FrankRuehl" w:hAnsi="FrankRuehl"/>
          <w:rtl/>
          <w:lang w:val="he-IL"/>
        </w:rPr>
      </w:pPr>
      <w:r>
        <w:rPr>
          <w:rFonts w:ascii="FrankRuehl" w:eastAsia="FrankRuehl" w:hAnsi="FrankRuehl" w:hint="cs"/>
          <w:szCs w:val="24"/>
          <w:rtl/>
          <w:lang w:val="he-IL"/>
        </w:rPr>
        <w:t>M</w:t>
      </w:r>
      <w:r>
        <w:rPr>
          <w:rFonts w:ascii="FrankRuehl" w:eastAsia="FrankRuehl" w:hAnsi="FrankRuehl" w:hint="cs"/>
          <w:rtl/>
          <w:lang w:val="he-IL"/>
        </w:rPr>
        <w:t xml:space="preserve"> (בש"ח)= 6,000 * 24/30 * 3/4 = 3,600</w:t>
      </w:r>
    </w:p>
    <w:p w:rsidR="006F077B" w:rsidRPr="002F3CD9" w:rsidP="006F077B">
      <w:pPr>
        <w:pStyle w:val="ListParagraph"/>
        <w:keepLines/>
        <w:spacing w:before="0" w:after="0" w:line="276" w:lineRule="auto"/>
        <w:ind w:left="645" w:hanging="360"/>
        <w:jc w:val="right"/>
        <w:rPr>
          <w:rFonts w:ascii="FrankRuehl" w:eastAsia="FrankRuehl" w:hAnsi="FrankRuehl"/>
          <w:rtl/>
          <w:lang w:val="he-IL"/>
        </w:rPr>
      </w:pPr>
    </w:p>
    <w:p w:rsidR="006F077B" w:rsidP="006F077B">
      <w:pPr>
        <w:pStyle w:val="NormalWeb"/>
        <w:widowControl w:val="0"/>
        <w:spacing w:before="0" w:after="0" w:line="276" w:lineRule="auto"/>
        <w:ind w:left="720"/>
        <w:contextualSpacing/>
        <w:jc w:val="both"/>
        <w:rPr>
          <w:rFonts w:ascii="FrankRuehl" w:eastAsia="FrankRuehl" w:hAnsi="FrankRuehl" w:cs="FrankRuehl" w:hint="default"/>
          <w:sz w:val="26"/>
          <w:szCs w:val="26"/>
          <w:rtl/>
          <w:lang w:val="he-IL"/>
        </w:rPr>
      </w:pPr>
      <w:r>
        <w:rPr>
          <w:rFonts w:ascii="FrankRuehl" w:eastAsia="FrankRuehl" w:hAnsi="FrankRuehl" w:cs="FrankRuehl"/>
          <w:sz w:val="26"/>
          <w:szCs w:val="26"/>
          <w:rtl/>
          <w:lang w:val="he-IL"/>
        </w:rPr>
        <w:t xml:space="preserve">סכום </w:t>
      </w:r>
      <w:r>
        <w:rPr>
          <w:rFonts w:ascii="FrankRuehl" w:eastAsia="FrankRuehl" w:hAnsi="FrankRuehl" w:cs="FrankRuehl"/>
          <w:rtl/>
          <w:lang w:val="he-IL"/>
        </w:rPr>
        <w:t>M</w:t>
      </w:r>
      <w:r>
        <w:rPr>
          <w:rFonts w:ascii="FrankRuehl" w:eastAsia="FrankRuehl" w:hAnsi="FrankRuehl"/>
          <w:rtl/>
          <w:lang w:val="he-IL"/>
        </w:rPr>
        <w:t xml:space="preserve"> </w:t>
      </w:r>
      <w:r>
        <w:rPr>
          <w:rFonts w:ascii="FrankRuehl" w:eastAsia="FrankRuehl" w:hAnsi="FrankRuehl" w:cs="FrankRuehl"/>
          <w:sz w:val="26"/>
          <w:szCs w:val="26"/>
          <w:rtl/>
          <w:lang w:val="he-IL"/>
        </w:rPr>
        <w:t>יעוגל לשקל החדש השלם הקרוב, אם תוצאתו כוללת שבר עשרוני.</w:t>
      </w:r>
    </w:p>
    <w:p w:rsidR="006F077B" w:rsidRPr="00B10475" w:rsidP="006F077B">
      <w:pPr>
        <w:pStyle w:val="NormalWeb"/>
        <w:widowControl w:val="0"/>
        <w:spacing w:before="0" w:after="0" w:line="276" w:lineRule="auto"/>
        <w:contextualSpacing/>
        <w:jc w:val="both"/>
        <w:rPr>
          <w:rFonts w:ascii="FrankRuehl" w:eastAsia="FrankRuehl" w:hAnsi="FrankRuehl" w:cs="Guttman Yad" w:hint="default"/>
          <w:sz w:val="12"/>
          <w:szCs w:val="12"/>
          <w:rtl/>
          <w:lang w:val="he-IL"/>
        </w:rPr>
      </w:pPr>
    </w:p>
    <w:p w:rsidR="006F077B" w:rsidP="006F077B">
      <w:pPr>
        <w:keepLines/>
        <w:spacing w:before="0" w:after="0" w:line="276" w:lineRule="auto"/>
        <w:ind w:left="645"/>
        <w:rPr>
          <w:rFonts w:ascii="FrankRuehl" w:hAnsi="FrankRuehl"/>
          <w:u w:val="single"/>
          <w:rtl/>
        </w:rPr>
      </w:pPr>
      <w:r w:rsidRPr="00B10475">
        <w:rPr>
          <w:rFonts w:ascii="FrankRuehl" w:eastAsia="FrankRuehl" w:hAnsi="FrankRuehl"/>
          <w:u w:val="single"/>
          <w:rtl/>
          <w:lang w:val="he-IL"/>
        </w:rPr>
        <w:t>הבהר</w:t>
      </w:r>
      <w:r>
        <w:rPr>
          <w:rFonts w:ascii="FrankRuehl" w:eastAsia="FrankRuehl" w:hAnsi="FrankRuehl" w:hint="cs"/>
          <w:u w:val="single"/>
          <w:rtl/>
          <w:lang w:val="he-IL"/>
        </w:rPr>
        <w:t>ות</w:t>
      </w:r>
      <w:r w:rsidRPr="00B10475">
        <w:rPr>
          <w:u w:val="single"/>
          <w:rtl/>
        </w:rPr>
        <w:t xml:space="preserve"> לעניין חישוב </w:t>
      </w:r>
      <w:r w:rsidRPr="00B10475">
        <w:rPr>
          <w:rFonts w:ascii="FrankRuehl" w:hAnsi="FrankRuehl"/>
          <w:u w:val="single"/>
        </w:rPr>
        <w:t>B</w:t>
      </w:r>
      <w:r>
        <w:rPr>
          <w:rFonts w:ascii="FrankRuehl" w:hAnsi="FrankRuehl" w:hint="cs"/>
          <w:u w:val="single"/>
          <w:rtl/>
        </w:rPr>
        <w:t xml:space="preserve"> ו-</w:t>
      </w:r>
      <w:r>
        <w:rPr>
          <w:rFonts w:ascii="FrankRuehl" w:hAnsi="FrankRuehl"/>
          <w:u w:val="single"/>
          <w:rtl/>
        </w:rPr>
        <w:tab/>
      </w:r>
      <w:r>
        <w:rPr>
          <w:rFonts w:ascii="FrankRuehl" w:hAnsi="FrankRuehl" w:hint="cs"/>
          <w:u w:val="single"/>
        </w:rPr>
        <w:t>C</w:t>
      </w:r>
    </w:p>
    <w:p w:rsidR="006F077B" w:rsidRPr="00B10475" w:rsidP="006F077B">
      <w:pPr>
        <w:keepLines/>
        <w:spacing w:before="0" w:after="0" w:line="276" w:lineRule="auto"/>
        <w:ind w:left="645"/>
        <w:rPr>
          <w:rFonts w:ascii="FrankRuehl" w:hAnsi="FrankRuehl"/>
          <w:u w:val="single"/>
          <w:rtl/>
        </w:rPr>
      </w:pPr>
    </w:p>
    <w:p w:rsidR="006F077B" w:rsidRPr="00254F4C" w:rsidP="006F077B">
      <w:pPr>
        <w:numPr>
          <w:ilvl w:val="2"/>
          <w:numId w:val="8"/>
        </w:numPr>
        <w:spacing w:before="0" w:after="0" w:line="276" w:lineRule="auto"/>
        <w:ind w:right="-142"/>
        <w:rPr>
          <w:rFonts w:ascii="FrankRuehl" w:eastAsia="FrankRuehl" w:hAnsi="FrankRuehl"/>
          <w:szCs w:val="24"/>
          <w:rtl/>
          <w:lang w:val="he-IL"/>
        </w:rPr>
      </w:pPr>
      <w:r w:rsidRPr="00B10475">
        <w:rPr>
          <w:rFonts w:ascii="FrankRuehl" w:hAnsi="FrankRuehl"/>
          <w:rtl/>
        </w:rPr>
        <w:t xml:space="preserve">לעניין חישוב </w:t>
      </w:r>
      <w:r w:rsidRPr="00B10475">
        <w:rPr>
          <w:rFonts w:ascii="FrankRuehl" w:hAnsi="FrankRuehl"/>
        </w:rPr>
        <w:t>B</w:t>
      </w:r>
      <w:r>
        <w:rPr>
          <w:rFonts w:ascii="FrankRuehl" w:hAnsi="FrankRuehl" w:hint="cs"/>
          <w:rtl/>
        </w:rPr>
        <w:t xml:space="preserve"> ו-</w:t>
      </w:r>
      <w:r>
        <w:rPr>
          <w:rFonts w:ascii="FrankRuehl" w:hAnsi="FrankRuehl" w:hint="cs"/>
        </w:rPr>
        <w:t>C</w:t>
      </w:r>
      <w:r>
        <w:rPr>
          <w:rFonts w:ascii="FrankRuehl" w:hAnsi="FrankRuehl" w:hint="cs"/>
          <w:rtl/>
        </w:rPr>
        <w:t xml:space="preserve">: </w:t>
      </w:r>
    </w:p>
    <w:p w:rsidR="006F077B" w:rsidP="006F077B">
      <w:pPr>
        <w:spacing w:before="0" w:after="0" w:line="276" w:lineRule="auto"/>
        <w:ind w:left="1247" w:right="-142"/>
        <w:rPr>
          <w:rFonts w:ascii="FrankRuehl" w:eastAsia="FrankRuehl" w:hAnsi="FrankRuehl"/>
          <w:rtl/>
          <w:lang w:val="he-IL"/>
        </w:rPr>
      </w:pPr>
      <w:r>
        <w:rPr>
          <w:rFonts w:ascii="FrankRuehl" w:hAnsi="FrankRuehl" w:hint="cs"/>
          <w:rtl/>
        </w:rPr>
        <w:t>(א)</w:t>
      </w:r>
      <w:r w:rsidRPr="00B10475">
        <w:rPr>
          <w:rFonts w:ascii="FrankRuehl" w:hAnsi="FrankRuehl"/>
          <w:rtl/>
        </w:rPr>
        <w:t xml:space="preserve"> </w:t>
      </w:r>
      <w:r w:rsidRPr="00B10475">
        <w:rPr>
          <w:rFonts w:ascii="FrankRuehl" w:eastAsia="FrankRuehl" w:hAnsi="FrankRuehl"/>
          <w:rtl/>
          <w:lang w:val="he-IL"/>
        </w:rPr>
        <w:t>לא י</w:t>
      </w:r>
      <w:r>
        <w:rPr>
          <w:rFonts w:ascii="FrankRuehl" w:eastAsia="FrankRuehl" w:hAnsi="FrankRuehl" w:hint="cs"/>
          <w:rtl/>
          <w:lang w:val="he-IL"/>
        </w:rPr>
        <w:t>ובאו</w:t>
      </w:r>
      <w:r w:rsidRPr="00B10475">
        <w:rPr>
          <w:rFonts w:ascii="FrankRuehl" w:eastAsia="FrankRuehl" w:hAnsi="FrankRuehl"/>
          <w:rtl/>
          <w:lang w:val="he-IL"/>
        </w:rPr>
        <w:t xml:space="preserve"> בחשבון תקופות בהן שהה העובד מכל סיבה שהיא, בחופשה ללא תשלום או חופשה שדינה כחופשה ללא תשלום</w:t>
      </w:r>
      <w:r>
        <w:rPr>
          <w:rFonts w:ascii="FrankRuehl" w:eastAsia="FrankRuehl" w:hAnsi="FrankRuehl" w:hint="cs"/>
          <w:rtl/>
          <w:lang w:val="he-IL"/>
        </w:rPr>
        <w:t>;</w:t>
      </w:r>
    </w:p>
    <w:p w:rsidR="006F077B" w:rsidP="006F077B">
      <w:pPr>
        <w:spacing w:before="0" w:after="0" w:line="276" w:lineRule="auto"/>
        <w:ind w:left="1247" w:right="-142"/>
        <w:rPr>
          <w:rFonts w:ascii="FrankRuehl" w:eastAsia="FrankRuehl" w:hAnsi="FrankRuehl"/>
          <w:rtl/>
          <w:lang w:val="he-IL"/>
        </w:rPr>
      </w:pPr>
      <w:r>
        <w:rPr>
          <w:rFonts w:ascii="FrankRuehl" w:hAnsi="FrankRuehl" w:hint="cs"/>
          <w:rtl/>
        </w:rPr>
        <w:t xml:space="preserve">(ב) </w:t>
      </w:r>
      <w:r w:rsidRPr="00B10475">
        <w:rPr>
          <w:rFonts w:ascii="FrankRuehl" w:hAnsi="FrankRuehl"/>
          <w:rtl/>
        </w:rPr>
        <w:t xml:space="preserve">יובאו בחשבון תקופות בהן שהה העובד בשירות מילואים או </w:t>
      </w:r>
      <w:r w:rsidRPr="00222509">
        <w:rPr>
          <w:rFonts w:ascii="FrankRuehl" w:hAnsi="FrankRuehl" w:hint="eastAsia"/>
          <w:rtl/>
        </w:rPr>
        <w:t>בתקופת</w:t>
      </w:r>
      <w:r w:rsidRPr="00222509">
        <w:rPr>
          <w:rFonts w:ascii="FrankRuehl" w:hAnsi="FrankRuehl"/>
          <w:rtl/>
        </w:rPr>
        <w:t xml:space="preserve"> </w:t>
      </w:r>
      <w:r w:rsidRPr="00222509">
        <w:rPr>
          <w:rFonts w:ascii="FrankRuehl" w:hAnsi="FrankRuehl" w:hint="eastAsia"/>
          <w:rtl/>
        </w:rPr>
        <w:t>לידה</w:t>
      </w:r>
      <w:r w:rsidRPr="00222509">
        <w:rPr>
          <w:rFonts w:ascii="FrankRuehl" w:hAnsi="FrankRuehl"/>
          <w:rtl/>
        </w:rPr>
        <w:t xml:space="preserve"> </w:t>
      </w:r>
      <w:r w:rsidRPr="00222509">
        <w:rPr>
          <w:rFonts w:ascii="FrankRuehl" w:hAnsi="FrankRuehl" w:hint="eastAsia"/>
          <w:rtl/>
        </w:rPr>
        <w:t>והורות</w:t>
      </w:r>
      <w:r w:rsidRPr="00222509">
        <w:rPr>
          <w:rFonts w:ascii="FrankRuehl" w:hAnsi="FrankRuehl"/>
          <w:rtl/>
        </w:rPr>
        <w:t xml:space="preserve"> </w:t>
      </w:r>
      <w:r w:rsidRPr="00222509">
        <w:rPr>
          <w:rFonts w:ascii="FrankRuehl" w:hAnsi="FrankRuehl" w:hint="eastAsia"/>
          <w:rtl/>
        </w:rPr>
        <w:t>לפי</w:t>
      </w:r>
      <w:r w:rsidRPr="00222509">
        <w:rPr>
          <w:rFonts w:ascii="FrankRuehl" w:hAnsi="FrankRuehl"/>
          <w:rtl/>
        </w:rPr>
        <w:t xml:space="preserve"> </w:t>
      </w:r>
      <w:r w:rsidRPr="00222509">
        <w:rPr>
          <w:rFonts w:ascii="FrankRuehl" w:hAnsi="FrankRuehl" w:hint="eastAsia"/>
          <w:rtl/>
        </w:rPr>
        <w:t>חוק</w:t>
      </w:r>
      <w:r w:rsidRPr="00222509">
        <w:rPr>
          <w:rFonts w:ascii="FrankRuehl" w:hAnsi="FrankRuehl"/>
          <w:rtl/>
        </w:rPr>
        <w:t xml:space="preserve"> </w:t>
      </w:r>
      <w:r w:rsidRPr="00222509">
        <w:rPr>
          <w:rFonts w:ascii="FrankRuehl" w:hAnsi="FrankRuehl" w:hint="eastAsia"/>
          <w:rtl/>
        </w:rPr>
        <w:t>עבודת</w:t>
      </w:r>
      <w:r w:rsidRPr="00222509">
        <w:rPr>
          <w:rFonts w:ascii="FrankRuehl" w:hAnsi="FrankRuehl"/>
          <w:rtl/>
        </w:rPr>
        <w:t xml:space="preserve"> </w:t>
      </w:r>
      <w:r w:rsidRPr="00222509">
        <w:rPr>
          <w:rFonts w:ascii="FrankRuehl" w:hAnsi="FrankRuehl" w:hint="eastAsia"/>
          <w:rtl/>
        </w:rPr>
        <w:t>נשים</w:t>
      </w:r>
      <w:r w:rsidRPr="00222509">
        <w:rPr>
          <w:rFonts w:ascii="FrankRuehl" w:hAnsi="FrankRuehl"/>
          <w:rtl/>
        </w:rPr>
        <w:t xml:space="preserve">, </w:t>
      </w:r>
      <w:r w:rsidRPr="00222509">
        <w:rPr>
          <w:rFonts w:ascii="FrankRuehl" w:hAnsi="FrankRuehl" w:hint="eastAsia"/>
          <w:rtl/>
        </w:rPr>
        <w:t>התשי</w:t>
      </w:r>
      <w:r w:rsidRPr="00222509">
        <w:rPr>
          <w:rFonts w:ascii="FrankRuehl" w:hAnsi="FrankRuehl"/>
          <w:rtl/>
        </w:rPr>
        <w:t xml:space="preserve">"ד-1954 </w:t>
      </w:r>
      <w:r w:rsidRPr="00222509">
        <w:rPr>
          <w:rFonts w:ascii="FrankRuehl" w:hAnsi="FrankRuehl" w:hint="eastAsia"/>
          <w:rtl/>
        </w:rPr>
        <w:t>או</w:t>
      </w:r>
      <w:r w:rsidRPr="00222509">
        <w:rPr>
          <w:rFonts w:ascii="FrankRuehl" w:hAnsi="FrankRuehl"/>
          <w:rtl/>
        </w:rPr>
        <w:t xml:space="preserve"> </w:t>
      </w:r>
      <w:r w:rsidRPr="00972D7E">
        <w:rPr>
          <w:rFonts w:ascii="FrankRuehl" w:hAnsi="FrankRuehl" w:hint="cs"/>
          <w:rtl/>
        </w:rPr>
        <w:t>ב</w:t>
      </w:r>
      <w:r w:rsidRPr="00972D7E">
        <w:rPr>
          <w:rFonts w:ascii="FrankRuehl" w:hAnsi="FrankRuehl"/>
          <w:rtl/>
        </w:rPr>
        <w:t xml:space="preserve">תקופת </w:t>
      </w:r>
      <w:r>
        <w:rPr>
          <w:rFonts w:hint="cs"/>
          <w:rtl/>
        </w:rPr>
        <w:t xml:space="preserve">חופשת </w:t>
      </w:r>
      <w:r w:rsidRPr="00633CC4">
        <w:rPr>
          <w:rFonts w:hint="cs"/>
          <w:rtl/>
        </w:rPr>
        <w:t xml:space="preserve">מחלה </w:t>
      </w:r>
      <w:r>
        <w:rPr>
          <w:rFonts w:hint="cs"/>
          <w:rtl/>
        </w:rPr>
        <w:t>כאמור בפסקה 33.210 לתקשי"ר (במשכורת, בחצי משכורת או ללא משכורת)</w:t>
      </w:r>
      <w:r w:rsidRPr="00B10475">
        <w:rPr>
          <w:rFonts w:ascii="FrankRuehl" w:hAnsi="FrankRuehl"/>
          <w:rtl/>
        </w:rPr>
        <w:t xml:space="preserve">, </w:t>
      </w:r>
      <w:r>
        <w:rPr>
          <w:rFonts w:ascii="FrankRuehl" w:hAnsi="FrankRuehl" w:hint="cs"/>
          <w:rtl/>
        </w:rPr>
        <w:t>או ב</w:t>
      </w:r>
      <w:r w:rsidRPr="00B10475">
        <w:rPr>
          <w:rFonts w:ascii="FrankRuehl" w:hAnsi="FrankRuehl"/>
          <w:rtl/>
        </w:rPr>
        <w:t xml:space="preserve">תקופות בהן הוגדר עובד כאמור כ"עובד בהסדר" </w:t>
      </w:r>
      <w:r w:rsidRPr="00BC61B0">
        <w:rPr>
          <w:rFonts w:ascii="FrankRuehl" w:hAnsi="FrankRuehl" w:hint="cs"/>
          <w:rtl/>
        </w:rPr>
        <w:t>כהגדרתו בהסכם הקיבוצי מיום</w:t>
      </w:r>
      <w:r w:rsidRPr="00BC61B0">
        <w:rPr>
          <w:rFonts w:ascii="FrankRuehl" w:hAnsi="FrankRuehl"/>
          <w:rtl/>
        </w:rPr>
        <w:t xml:space="preserve"> 16.9.2020</w:t>
      </w:r>
      <w:r>
        <w:rPr>
          <w:rFonts w:ascii="FrankRuehl" w:hAnsi="FrankRuehl" w:hint="cs"/>
          <w:rtl/>
        </w:rPr>
        <w:t>, כנוסחו</w:t>
      </w:r>
      <w:r w:rsidRPr="00BC61B0">
        <w:rPr>
          <w:rFonts w:ascii="FrankRuehl" w:hAnsi="FrankRuehl" w:hint="cs"/>
          <w:rtl/>
        </w:rPr>
        <w:t xml:space="preserve"> בעת הרלוונטית</w:t>
      </w:r>
      <w:r w:rsidRPr="00B10475">
        <w:rPr>
          <w:rFonts w:ascii="FrankRuehl" w:hAnsi="FrankRuehl"/>
          <w:rtl/>
        </w:rPr>
        <w:t>.</w:t>
      </w:r>
      <w:r>
        <w:rPr>
          <w:rFonts w:ascii="FrankRuehl" w:eastAsia="FrankRuehl" w:hAnsi="FrankRuehl"/>
          <w:rtl/>
          <w:lang w:val="he-IL"/>
        </w:rPr>
        <w:t xml:space="preserve"> </w:t>
      </w:r>
    </w:p>
    <w:p w:rsidR="006F077B" w:rsidRPr="0009516C" w:rsidP="006F077B">
      <w:pPr>
        <w:spacing w:before="0" w:after="0" w:line="276" w:lineRule="auto"/>
        <w:ind w:left="1247" w:right="-142"/>
        <w:rPr>
          <w:rFonts w:ascii="FrankRuehl" w:eastAsia="FrankRuehl" w:hAnsi="FrankRuehl"/>
          <w:rtl/>
          <w:lang w:val="he-IL"/>
        </w:rPr>
      </w:pPr>
      <w:r w:rsidRPr="00D641D5">
        <w:rPr>
          <w:rFonts w:ascii="FrankRuehl" w:eastAsia="FrankRuehl" w:hAnsi="FrankRuehl"/>
          <w:rtl/>
          <w:lang w:val="he-IL"/>
        </w:rPr>
        <w:t xml:space="preserve">חלקיות המשרה שתילקח בחשבון לצורך חישוב </w:t>
      </w:r>
      <w:r>
        <w:rPr>
          <w:rFonts w:ascii="FrankRuehl" w:eastAsia="FrankRuehl" w:hAnsi="FrankRuehl" w:hint="cs"/>
          <w:szCs w:val="24"/>
          <w:rtl/>
          <w:lang w:val="he-IL"/>
        </w:rPr>
        <w:t>C</w:t>
      </w:r>
      <w:r w:rsidRPr="00D641D5">
        <w:rPr>
          <w:rFonts w:ascii="FrankRuehl" w:eastAsia="FrankRuehl" w:hAnsi="FrankRuehl"/>
          <w:rtl/>
          <w:lang w:val="he-IL"/>
        </w:rPr>
        <w:t xml:space="preserve"> לעובד שהוגדר כ"עובד בהסדר" כאמור תחושב בהתאם להוראות בעניין חישוב חלקיות המשרה לצורך חישוב התשלום המיוחד כאמור בהסכם הקיבוצי מיום 16.9.2020</w:t>
      </w:r>
      <w:r w:rsidRPr="00460239">
        <w:rPr>
          <w:rFonts w:ascii="Calibri" w:eastAsia="FrankRuehl" w:hAnsi="Calibri" w:hint="cs"/>
          <w:rtl/>
        </w:rPr>
        <w:t xml:space="preserve"> כנוסחו בעת הרלוונטית</w:t>
      </w:r>
      <w:r>
        <w:rPr>
          <w:rFonts w:ascii="FrankRuehl" w:eastAsia="FrankRuehl" w:hAnsi="FrankRuehl"/>
          <w:rtl/>
          <w:lang w:val="he-IL"/>
        </w:rPr>
        <w:t>.</w:t>
      </w:r>
    </w:p>
    <w:p w:rsidR="006F077B" w:rsidP="006F077B">
      <w:pPr>
        <w:pBdr>
          <w:top w:val="nil"/>
          <w:left w:val="nil"/>
          <w:bottom w:val="nil"/>
          <w:right w:val="nil"/>
          <w:between w:val="nil"/>
          <w:bar w:val="nil"/>
        </w:pBdr>
        <w:spacing w:before="0" w:after="0" w:line="276" w:lineRule="auto"/>
        <w:rPr>
          <w:rtl/>
        </w:rPr>
      </w:pPr>
    </w:p>
    <w:p w:rsidR="006F077B" w:rsidP="006F077B">
      <w:pPr>
        <w:pStyle w:val="ListParagraph"/>
        <w:pBdr>
          <w:top w:val="nil"/>
          <w:left w:val="nil"/>
          <w:bottom w:val="nil"/>
          <w:right w:val="nil"/>
          <w:between w:val="nil"/>
          <w:bar w:val="nil"/>
        </w:pBdr>
        <w:spacing w:before="0" w:after="0" w:line="276" w:lineRule="auto"/>
        <w:ind w:left="1247"/>
        <w:contextualSpacing w:val="0"/>
        <w:rPr>
          <w:rtl/>
        </w:rPr>
      </w:pPr>
      <w:r>
        <w:rPr>
          <w:rFonts w:hint="cs"/>
          <w:rtl/>
        </w:rPr>
        <w:t xml:space="preserve">מובהר כי היעדרות באישור המעסיק ובתשלום (כגון, חופשת מנוחה או השתלמות בשכר) בתקופת האכשרה, תובא בחשבון לחישוב </w:t>
      </w:r>
      <w:r>
        <w:rPr>
          <w:rFonts w:hint="cs"/>
        </w:rPr>
        <w:t xml:space="preserve">B </w:t>
      </w:r>
      <w:r>
        <w:rPr>
          <w:rFonts w:hint="cs"/>
          <w:rtl/>
        </w:rPr>
        <w:t xml:space="preserve"> ו-</w:t>
      </w:r>
      <w:r>
        <w:rPr>
          <w:rFonts w:hint="cs"/>
        </w:rPr>
        <w:t>C</w:t>
      </w:r>
      <w:r>
        <w:rPr>
          <w:rFonts w:hint="cs"/>
          <w:rtl/>
        </w:rPr>
        <w:t>.</w:t>
      </w:r>
    </w:p>
    <w:p w:rsidR="006F077B" w:rsidP="006F077B">
      <w:pPr>
        <w:pStyle w:val="ListParagraph"/>
        <w:pBdr>
          <w:top w:val="nil"/>
          <w:left w:val="nil"/>
          <w:bottom w:val="nil"/>
          <w:right w:val="nil"/>
          <w:between w:val="nil"/>
          <w:bar w:val="nil"/>
        </w:pBdr>
        <w:spacing w:before="0" w:after="0" w:line="276" w:lineRule="auto"/>
        <w:ind w:left="1247"/>
        <w:contextualSpacing w:val="0"/>
        <w:rPr>
          <w:rFonts w:eastAsia="FrankRuehl"/>
          <w:rtl/>
          <w:lang w:val="he-IL"/>
        </w:rPr>
      </w:pPr>
    </w:p>
    <w:p w:rsidR="006F077B" w:rsidP="006F077B">
      <w:pPr>
        <w:pStyle w:val="ListParagraph"/>
        <w:pBdr>
          <w:top w:val="nil"/>
          <w:left w:val="nil"/>
          <w:bottom w:val="nil"/>
          <w:right w:val="nil"/>
          <w:between w:val="nil"/>
          <w:bar w:val="nil"/>
        </w:pBdr>
        <w:spacing w:before="0" w:after="0" w:line="276" w:lineRule="auto"/>
        <w:ind w:left="1247"/>
        <w:contextualSpacing w:val="0"/>
        <w:rPr>
          <w:rFonts w:eastAsia="FrankRuehl"/>
          <w:rtl/>
          <w:lang w:val="he-IL"/>
        </w:rPr>
      </w:pPr>
    </w:p>
    <w:p w:rsidR="006F077B" w:rsidP="006F077B">
      <w:pPr>
        <w:pStyle w:val="ListParagraph"/>
        <w:pBdr>
          <w:top w:val="nil"/>
          <w:left w:val="nil"/>
          <w:bottom w:val="nil"/>
          <w:right w:val="nil"/>
          <w:between w:val="nil"/>
          <w:bar w:val="nil"/>
        </w:pBdr>
        <w:spacing w:before="0" w:after="0" w:line="276" w:lineRule="auto"/>
        <w:ind w:left="1247"/>
        <w:contextualSpacing w:val="0"/>
        <w:rPr>
          <w:rFonts w:eastAsia="FrankRuehl"/>
          <w:rtl/>
          <w:lang w:val="he-IL"/>
        </w:rPr>
      </w:pPr>
    </w:p>
    <w:p w:rsidR="006F077B" w:rsidP="006F077B">
      <w:pPr>
        <w:pStyle w:val="ListParagraph"/>
        <w:pBdr>
          <w:top w:val="nil"/>
          <w:left w:val="nil"/>
          <w:bottom w:val="nil"/>
          <w:right w:val="nil"/>
          <w:between w:val="nil"/>
          <w:bar w:val="nil"/>
        </w:pBdr>
        <w:spacing w:before="0" w:after="0" w:line="276" w:lineRule="auto"/>
        <w:ind w:left="1247"/>
        <w:contextualSpacing w:val="0"/>
        <w:rPr>
          <w:rFonts w:eastAsia="FrankRuehl"/>
          <w:rtl/>
          <w:lang w:val="he-IL"/>
        </w:rPr>
      </w:pPr>
    </w:p>
    <w:p w:rsidR="006F077B" w:rsidRPr="0046358C" w:rsidP="006F077B">
      <w:pPr>
        <w:pStyle w:val="ListParagraph"/>
        <w:pBdr>
          <w:top w:val="nil"/>
          <w:left w:val="nil"/>
          <w:bottom w:val="nil"/>
          <w:right w:val="nil"/>
          <w:between w:val="nil"/>
          <w:bar w:val="nil"/>
        </w:pBdr>
        <w:spacing w:before="0" w:after="0" w:line="276" w:lineRule="auto"/>
        <w:ind w:left="1247"/>
        <w:contextualSpacing w:val="0"/>
        <w:rPr>
          <w:rFonts w:eastAsia="FrankRuehl"/>
          <w:rtl/>
          <w:lang w:val="he-IL"/>
        </w:rPr>
      </w:pPr>
    </w:p>
    <w:p w:rsidR="006F077B" w:rsidP="006F077B">
      <w:pPr>
        <w:numPr>
          <w:ilvl w:val="2"/>
          <w:numId w:val="8"/>
        </w:numPr>
        <w:spacing w:before="0" w:after="0" w:line="276" w:lineRule="auto"/>
        <w:ind w:right="-142"/>
        <w:rPr>
          <w:rFonts w:ascii="FrankRuehl" w:hAnsi="FrankRuehl"/>
          <w:rtl/>
        </w:rPr>
      </w:pPr>
      <w:r>
        <w:rPr>
          <w:rFonts w:ascii="FrankRuehl" w:hAnsi="FrankRuehl" w:hint="cs"/>
          <w:rtl/>
        </w:rPr>
        <w:t xml:space="preserve">על אף האמור בפסקה (1) לעיל, לעניין קביעת מספר חודשי חישוב העסקה שלפיהם חושבה המנה </w:t>
      </w:r>
      <w:r>
        <w:rPr>
          <w:rFonts w:ascii="FrankRuehl" w:hAnsi="FrankRuehl" w:hint="cs"/>
        </w:rPr>
        <w:t>B</w:t>
      </w:r>
      <w:r>
        <w:rPr>
          <w:rFonts w:ascii="FrankRuehl" w:hAnsi="FrankRuehl" w:hint="cs"/>
          <w:rtl/>
        </w:rPr>
        <w:t xml:space="preserve">, ולצורך זה בלבד, בשים לב לייחודיות משבר הקורונה ולהשלכותיו לגבי היכולת להשתמש בנתונים מאותה תקופה אשר רלוונטיים לקביעת סכום המקדמה, הוסכם עם ההסתדרות הכללית, באופן יוצא דופן שלא </w:t>
      </w:r>
      <w:r w:rsidRPr="00264425">
        <w:rPr>
          <w:rFonts w:ascii="FrankRuehl" w:hAnsi="FrankRuehl" w:hint="cs"/>
          <w:rtl/>
        </w:rPr>
        <w:t xml:space="preserve">יהווה תקדים למקרים אחרים, שלגבי התקופה שמיום 1.10.2020 ועד יום 30.6.2021, ולגביה בלבד, </w:t>
      </w:r>
      <w:r w:rsidRPr="00264425">
        <w:rPr>
          <w:rFonts w:ascii="FrankRuehl" w:hAnsi="FrankRuehl"/>
          <w:rtl/>
        </w:rPr>
        <w:t xml:space="preserve">יילקחו בחשבון </w:t>
      </w:r>
      <w:r w:rsidRPr="00264425">
        <w:rPr>
          <w:rFonts w:ascii="FrankRuehl" w:hAnsi="FrankRuehl" w:hint="cs"/>
          <w:rtl/>
        </w:rPr>
        <w:t xml:space="preserve">גם </w:t>
      </w:r>
      <w:r w:rsidRPr="00264425">
        <w:rPr>
          <w:rFonts w:ascii="FrankRuehl" w:hAnsi="FrankRuehl"/>
          <w:rtl/>
        </w:rPr>
        <w:t xml:space="preserve">תקופות בהן שהה </w:t>
      </w:r>
      <w:r w:rsidRPr="00264425">
        <w:rPr>
          <w:rFonts w:ascii="FrankRuehl" w:hAnsi="FrankRuehl" w:hint="cs"/>
          <w:rtl/>
        </w:rPr>
        <w:t>ה</w:t>
      </w:r>
      <w:r w:rsidRPr="00264425">
        <w:rPr>
          <w:rFonts w:ascii="FrankRuehl" w:hAnsi="FrankRuehl"/>
          <w:rtl/>
        </w:rPr>
        <w:t>עובד</w:t>
      </w:r>
      <w:r w:rsidRPr="00FC1F83">
        <w:rPr>
          <w:rFonts w:ascii="FrankRuehl" w:hAnsi="FrankRuehl"/>
          <w:rtl/>
        </w:rPr>
        <w:t xml:space="preserve"> בחופשה ללא תשלום</w:t>
      </w:r>
      <w:r>
        <w:rPr>
          <w:rFonts w:ascii="FrankRuehl" w:hAnsi="FrankRuehl" w:hint="cs"/>
          <w:rtl/>
        </w:rPr>
        <w:t xml:space="preserve"> </w:t>
      </w:r>
      <w:r w:rsidRPr="00FC1F83">
        <w:rPr>
          <w:rFonts w:ascii="FrankRuehl" w:hAnsi="FrankRuehl"/>
          <w:rtl/>
        </w:rPr>
        <w:t>או בחופשה שדינה כדין חופשה ללא תשלום</w:t>
      </w:r>
      <w:r>
        <w:rPr>
          <w:rFonts w:ascii="FrankRuehl" w:hAnsi="FrankRuehl" w:hint="cs"/>
          <w:rtl/>
        </w:rPr>
        <w:t>. האמור בפסקה זו יחול רק לגבי דירוג שעובדים בו הוצאו לחל"ת בשל תקופת הקורונה.</w:t>
      </w:r>
    </w:p>
    <w:p w:rsidR="006F077B" w:rsidP="006F077B">
      <w:pPr>
        <w:spacing w:before="0" w:after="0" w:line="276" w:lineRule="auto"/>
        <w:ind w:left="794"/>
        <w:rPr>
          <w:rtl/>
        </w:rPr>
      </w:pPr>
    </w:p>
    <w:p w:rsidR="006F077B" w:rsidP="006F077B">
      <w:pPr>
        <w:keepLines/>
        <w:spacing w:before="0" w:after="0" w:line="276" w:lineRule="auto"/>
        <w:ind w:left="645"/>
        <w:rPr>
          <w:rtl/>
        </w:rPr>
      </w:pPr>
      <w:r>
        <w:rPr>
          <w:rFonts w:hint="cs"/>
          <w:rtl/>
        </w:rPr>
        <w:t xml:space="preserve">להמחשה: </w:t>
      </w:r>
    </w:p>
    <w:p w:rsidR="006F077B" w:rsidP="006F077B">
      <w:pPr>
        <w:keepLines/>
        <w:spacing w:before="0" w:after="0" w:line="276" w:lineRule="auto"/>
        <w:ind w:left="645"/>
        <w:rPr>
          <w:rtl/>
        </w:rPr>
      </w:pPr>
      <w:r>
        <w:rPr>
          <w:rFonts w:hint="cs"/>
          <w:rtl/>
        </w:rPr>
        <w:t xml:space="preserve">עובד אשר התקיימו בו כל אלה במצטבר: </w:t>
      </w:r>
    </w:p>
    <w:p w:rsidR="006F077B" w:rsidP="006F077B">
      <w:pPr>
        <w:numPr>
          <w:ilvl w:val="4"/>
          <w:numId w:val="8"/>
        </w:numPr>
        <w:spacing w:before="0" w:after="0" w:line="276" w:lineRule="auto"/>
      </w:pPr>
      <w:r>
        <w:rPr>
          <w:rFonts w:hint="cs"/>
          <w:rtl/>
        </w:rPr>
        <w:t xml:space="preserve">החל העסקתו ביום 15.1.2021; </w:t>
      </w:r>
    </w:p>
    <w:p w:rsidR="006F077B" w:rsidP="006F077B">
      <w:pPr>
        <w:numPr>
          <w:ilvl w:val="4"/>
          <w:numId w:val="8"/>
        </w:numPr>
        <w:spacing w:before="0" w:after="0" w:line="276" w:lineRule="auto"/>
      </w:pPr>
      <w:r>
        <w:rPr>
          <w:rFonts w:hint="cs"/>
          <w:rtl/>
        </w:rPr>
        <w:t>היה בדירוג שעובדים בו הוצאו לחל"ת, ושהה בחל"ת בתקופה שמיום 1.3.2021 עד ליום 1.5.2021;</w:t>
      </w:r>
    </w:p>
    <w:p w:rsidR="006F077B" w:rsidP="006F077B">
      <w:pPr>
        <w:numPr>
          <w:ilvl w:val="4"/>
          <w:numId w:val="8"/>
        </w:numPr>
        <w:spacing w:before="0" w:after="0" w:line="276" w:lineRule="auto"/>
      </w:pPr>
      <w:r>
        <w:rPr>
          <w:rFonts w:hint="cs"/>
          <w:rtl/>
        </w:rPr>
        <w:t xml:space="preserve"> שהה בחל"ת בתקופה שמיום 1.8.21 ועד ליום 1.1.2022;</w:t>
      </w:r>
    </w:p>
    <w:p w:rsidR="006F077B" w:rsidP="006F077B">
      <w:pPr>
        <w:numPr>
          <w:ilvl w:val="4"/>
          <w:numId w:val="8"/>
        </w:numPr>
        <w:spacing w:before="0" w:after="0" w:line="276" w:lineRule="auto"/>
      </w:pPr>
      <w:r>
        <w:rPr>
          <w:rFonts w:hint="cs"/>
          <w:rtl/>
        </w:rPr>
        <w:t>בכל החודשים בהם הועסק ולא שהה בחל"ת היה שיעור משרתו 100%.</w:t>
      </w:r>
    </w:p>
    <w:p w:rsidR="006F077B" w:rsidRPr="006E17D9" w:rsidP="006F077B">
      <w:pPr>
        <w:spacing w:before="0" w:after="0" w:line="276" w:lineRule="auto"/>
        <w:ind w:left="794"/>
        <w:rPr>
          <w:rtl/>
        </w:rPr>
      </w:pPr>
    </w:p>
    <w:p w:rsidR="006F077B" w:rsidP="006F077B">
      <w:pPr>
        <w:keepLines/>
        <w:spacing w:before="0" w:after="0" w:line="276" w:lineRule="auto"/>
        <w:ind w:left="645"/>
        <w:rPr>
          <w:rtl/>
        </w:rPr>
      </w:pPr>
      <w:r>
        <w:rPr>
          <w:rFonts w:hint="cs"/>
          <w:rtl/>
        </w:rPr>
        <w:t xml:space="preserve">יחושב לו ערך </w:t>
      </w:r>
      <w:r>
        <w:rPr>
          <w:rFonts w:hint="cs"/>
        </w:rPr>
        <w:t>B</w:t>
      </w:r>
      <w:r>
        <w:rPr>
          <w:rFonts w:hint="cs"/>
          <w:rtl/>
        </w:rPr>
        <w:t xml:space="preserve"> כדלקמן:</w:t>
      </w:r>
    </w:p>
    <w:p w:rsidR="006F077B" w:rsidP="006F077B">
      <w:pPr>
        <w:keepLines/>
        <w:spacing w:before="0" w:after="0" w:line="276" w:lineRule="auto"/>
        <w:ind w:left="645"/>
        <w:rPr>
          <w:rtl/>
        </w:rPr>
      </w:pPr>
      <w:r>
        <w:rPr>
          <w:rFonts w:hint="cs"/>
          <w:rtl/>
        </w:rPr>
        <w:t>בגין התקופה שמיום 15.1.2021 ועד יום 30.6.21 - 5.5 חודשים יובאו בחשבון מתוך 5.5 החודשים שבתקופה;</w:t>
      </w:r>
    </w:p>
    <w:p w:rsidR="006F077B" w:rsidP="006F077B">
      <w:pPr>
        <w:keepLines/>
        <w:spacing w:before="0" w:after="0" w:line="276" w:lineRule="auto"/>
        <w:ind w:left="645"/>
        <w:rPr>
          <w:rtl/>
        </w:rPr>
      </w:pPr>
      <w:r>
        <w:rPr>
          <w:rFonts w:hint="cs"/>
          <w:rtl/>
        </w:rPr>
        <w:t>בגין התקופה שמיום 1.7.2021 ועד יום 31.3.2023 - 16 חודשים יובאו בחשבון מתוך 21 החודשים שבתקופה.</w:t>
      </w:r>
    </w:p>
    <w:p w:rsidR="006F077B" w:rsidP="006F077B">
      <w:pPr>
        <w:keepLines/>
        <w:spacing w:before="0" w:after="0" w:line="276" w:lineRule="auto"/>
        <w:ind w:left="645"/>
        <w:rPr>
          <w:rtl/>
        </w:rPr>
      </w:pPr>
      <w:r>
        <w:rPr>
          <w:rFonts w:hint="cs"/>
          <w:rtl/>
        </w:rPr>
        <w:t xml:space="preserve">ובסך הכול יובאו בחשבון 21.5 חודשים העסקה לצורך חישוב </w:t>
      </w:r>
      <w:r>
        <w:rPr>
          <w:rFonts w:hint="cs"/>
        </w:rPr>
        <w:t>B</w:t>
      </w:r>
      <w:r>
        <w:rPr>
          <w:rFonts w:hint="cs"/>
          <w:rtl/>
        </w:rPr>
        <w:t xml:space="preserve"> ולכן </w:t>
      </w:r>
      <w:r>
        <w:rPr>
          <w:rFonts w:hint="cs"/>
        </w:rPr>
        <w:t>B</w:t>
      </w:r>
      <w:r>
        <w:rPr>
          <w:rFonts w:hint="cs"/>
          <w:rtl/>
        </w:rPr>
        <w:t xml:space="preserve"> = 21.5/30 = 0.716 </w:t>
      </w:r>
    </w:p>
    <w:p w:rsidR="006F077B" w:rsidP="006F077B">
      <w:pPr>
        <w:keepLines/>
        <w:spacing w:before="0" w:after="0" w:line="276" w:lineRule="auto"/>
        <w:ind w:left="645"/>
        <w:rPr>
          <w:rtl/>
        </w:rPr>
      </w:pPr>
      <w:r>
        <w:rPr>
          <w:rFonts w:hint="cs"/>
          <w:rtl/>
        </w:rPr>
        <w:t xml:space="preserve">יחושב לו ערך </w:t>
      </w:r>
      <w:r>
        <w:rPr>
          <w:rFonts w:hint="cs"/>
        </w:rPr>
        <w:t>C</w:t>
      </w:r>
      <w:r>
        <w:rPr>
          <w:rFonts w:hint="cs"/>
          <w:rtl/>
        </w:rPr>
        <w:t xml:space="preserve"> כדלקמן:</w:t>
      </w:r>
    </w:p>
    <w:p w:rsidR="006F077B" w:rsidP="006F077B">
      <w:pPr>
        <w:keepLines/>
        <w:spacing w:before="0" w:after="0" w:line="276" w:lineRule="auto"/>
        <w:ind w:left="645"/>
        <w:rPr>
          <w:rtl/>
        </w:rPr>
      </w:pPr>
      <w:r>
        <w:rPr>
          <w:rFonts w:hint="cs"/>
          <w:rtl/>
        </w:rPr>
        <w:t xml:space="preserve">בגין התקופה שמיום 15.1.2021 ועד יום 31.3.2023 </w:t>
      </w:r>
      <w:r>
        <w:rPr>
          <w:rtl/>
        </w:rPr>
        <w:t>–</w:t>
      </w:r>
      <w:r>
        <w:rPr>
          <w:rFonts w:hint="cs"/>
          <w:rtl/>
        </w:rPr>
        <w:t xml:space="preserve"> יובאו בחשבון לצורך חישוב חלקיות משרתו רק החודשים בהם הועסק ולא שהה בחל"ת ולכן ערך </w:t>
      </w:r>
      <w:r>
        <w:rPr>
          <w:rFonts w:hint="cs"/>
        </w:rPr>
        <w:t>C</w:t>
      </w:r>
      <w:r>
        <w:rPr>
          <w:rFonts w:hint="cs"/>
          <w:rtl/>
        </w:rPr>
        <w:t xml:space="preserve"> = 1.</w:t>
      </w:r>
    </w:p>
    <w:p w:rsidR="006F077B" w:rsidP="006F077B">
      <w:pPr>
        <w:spacing w:before="0" w:after="0" w:line="276" w:lineRule="auto"/>
        <w:ind w:left="794"/>
        <w:rPr>
          <w:rtl/>
        </w:rPr>
      </w:pPr>
    </w:p>
    <w:p w:rsidR="006F077B" w:rsidP="006F077B">
      <w:pPr>
        <w:numPr>
          <w:ilvl w:val="2"/>
          <w:numId w:val="8"/>
        </w:numPr>
        <w:spacing w:before="0" w:after="0" w:line="276" w:lineRule="auto"/>
        <w:ind w:right="-142"/>
        <w:rPr>
          <w:b/>
          <w:bCs/>
          <w:rtl/>
        </w:rPr>
      </w:pPr>
      <w:r>
        <w:rPr>
          <w:rFonts w:hint="cs"/>
          <w:rtl/>
        </w:rPr>
        <w:t xml:space="preserve">לעניין חישוב </w:t>
      </w:r>
      <w:r>
        <w:rPr>
          <w:rFonts w:hint="cs"/>
        </w:rPr>
        <w:t>C</w:t>
      </w:r>
      <w:r>
        <w:rPr>
          <w:rFonts w:hint="cs"/>
          <w:rtl/>
        </w:rPr>
        <w:t xml:space="preserve"> לעובד אשר שכרו משולם על בסיס יומי או לפי שעות:</w:t>
      </w:r>
    </w:p>
    <w:p w:rsidR="006F077B" w:rsidRPr="0024337D" w:rsidP="006F077B">
      <w:pPr>
        <w:numPr>
          <w:ilvl w:val="3"/>
          <w:numId w:val="8"/>
        </w:numPr>
        <w:spacing w:before="0" w:after="0" w:line="276" w:lineRule="auto"/>
        <w:rPr>
          <w:b/>
          <w:bCs/>
        </w:rPr>
      </w:pPr>
      <w:r w:rsidRPr="0024337D">
        <w:rPr>
          <w:rFonts w:hint="cs"/>
          <w:rtl/>
        </w:rPr>
        <w:t xml:space="preserve">לגבי עובד אשר שכרו </w:t>
      </w:r>
      <w:r w:rsidRPr="00B840F6">
        <w:rPr>
          <w:rFonts w:hint="cs"/>
          <w:rtl/>
        </w:rPr>
        <w:t>משולם לפי שעות (כגון סטודנטים), יבוצע לצורך תשלום המ</w:t>
      </w:r>
      <w:r>
        <w:rPr>
          <w:rFonts w:hint="cs"/>
          <w:rtl/>
        </w:rPr>
        <w:t>קדמה</w:t>
      </w:r>
      <w:r w:rsidRPr="00B840F6">
        <w:rPr>
          <w:rFonts w:hint="cs"/>
          <w:rtl/>
        </w:rPr>
        <w:t>, חישוב עזר של חלקיות משרה</w:t>
      </w:r>
      <w:r>
        <w:rPr>
          <w:rFonts w:hint="cs"/>
          <w:rtl/>
        </w:rPr>
        <w:t xml:space="preserve"> ממוצעת</w:t>
      </w:r>
      <w:r w:rsidRPr="00B840F6">
        <w:rPr>
          <w:rFonts w:hint="cs"/>
          <w:rtl/>
        </w:rPr>
        <w:t xml:space="preserve">, אשר </w:t>
      </w:r>
      <w:r>
        <w:rPr>
          <w:rFonts w:hint="cs"/>
          <w:rtl/>
        </w:rPr>
        <w:t>ת</w:t>
      </w:r>
      <w:r w:rsidRPr="00B840F6">
        <w:rPr>
          <w:rFonts w:hint="cs"/>
          <w:rtl/>
        </w:rPr>
        <w:t>חושב לפי היקף העסקתו ביחס למשרה מלאה</w:t>
      </w:r>
      <w:r>
        <w:rPr>
          <w:rFonts w:hint="cs"/>
          <w:rtl/>
        </w:rPr>
        <w:t>,</w:t>
      </w:r>
      <w:r w:rsidRPr="00B840F6">
        <w:rPr>
          <w:rFonts w:hint="cs"/>
          <w:rtl/>
        </w:rPr>
        <w:t xml:space="preserve"> ב</w:t>
      </w:r>
      <w:r>
        <w:rPr>
          <w:rFonts w:hint="cs"/>
          <w:rtl/>
        </w:rPr>
        <w:t>חודשי</w:t>
      </w:r>
      <w:r w:rsidRPr="00B840F6">
        <w:rPr>
          <w:rFonts w:hint="cs"/>
          <w:rtl/>
        </w:rPr>
        <w:t xml:space="preserve"> חישוב</w:t>
      </w:r>
      <w:r>
        <w:rPr>
          <w:rFonts w:hint="cs"/>
          <w:rtl/>
        </w:rPr>
        <w:t xml:space="preserve"> חלקיות המשרה</w:t>
      </w:r>
      <w:r w:rsidRPr="00B840F6">
        <w:rPr>
          <w:rFonts w:hint="cs"/>
          <w:rtl/>
        </w:rPr>
        <w:t>, כדלקמן: ממוצע לחודש של מספר השעות בהם עבד ב</w:t>
      </w:r>
      <w:r>
        <w:rPr>
          <w:rFonts w:hint="cs"/>
          <w:rtl/>
        </w:rPr>
        <w:t xml:space="preserve">חודשי חישוב חלקיות המשרה </w:t>
      </w:r>
      <w:r w:rsidRPr="00B840F6">
        <w:rPr>
          <w:rFonts w:hint="cs"/>
          <w:rtl/>
        </w:rPr>
        <w:t>לחלק</w:t>
      </w:r>
      <w:r w:rsidRPr="0024337D">
        <w:rPr>
          <w:rFonts w:hint="cs"/>
          <w:rtl/>
        </w:rPr>
        <w:t xml:space="preserve"> </w:t>
      </w:r>
      <w:r>
        <w:rPr>
          <w:rFonts w:hint="cs"/>
          <w:rtl/>
        </w:rPr>
        <w:t>ב</w:t>
      </w:r>
      <w:r w:rsidRPr="0024337D">
        <w:rPr>
          <w:rFonts w:hint="cs"/>
          <w:rtl/>
        </w:rPr>
        <w:t xml:space="preserve">- 182. </w:t>
      </w:r>
    </w:p>
    <w:p w:rsidR="006F077B" w:rsidRPr="003B6039" w:rsidP="006F077B">
      <w:pPr>
        <w:numPr>
          <w:ilvl w:val="3"/>
          <w:numId w:val="8"/>
        </w:numPr>
        <w:spacing w:before="0" w:after="0" w:line="276" w:lineRule="auto"/>
        <w:rPr>
          <w:b/>
          <w:bCs/>
        </w:rPr>
      </w:pPr>
      <w:r>
        <w:rPr>
          <w:rFonts w:hint="cs"/>
          <w:rtl/>
        </w:rPr>
        <w:t xml:space="preserve">לגבי עובד אשר שכרו </w:t>
      </w:r>
      <w:r w:rsidRPr="00A068FB">
        <w:rPr>
          <w:rFonts w:hint="cs"/>
          <w:rtl/>
        </w:rPr>
        <w:t>משולם על בסיס יומי, יבוצע לצורך תשלום המ</w:t>
      </w:r>
      <w:r>
        <w:rPr>
          <w:rFonts w:hint="cs"/>
          <w:rtl/>
        </w:rPr>
        <w:t>קדמה</w:t>
      </w:r>
      <w:r w:rsidRPr="00A068FB">
        <w:rPr>
          <w:rFonts w:hint="cs"/>
          <w:rtl/>
        </w:rPr>
        <w:t>, חישוב עזר של חלקיות משרה</w:t>
      </w:r>
      <w:r>
        <w:rPr>
          <w:rFonts w:hint="cs"/>
          <w:rtl/>
        </w:rPr>
        <w:t xml:space="preserve"> ממוצעת</w:t>
      </w:r>
      <w:r w:rsidRPr="00A068FB">
        <w:rPr>
          <w:rFonts w:hint="cs"/>
          <w:rtl/>
        </w:rPr>
        <w:t>, אשר יחושב לפי היקף העסקתו ביחס למשרה מלאה</w:t>
      </w:r>
      <w:r>
        <w:rPr>
          <w:rFonts w:hint="cs"/>
          <w:rtl/>
        </w:rPr>
        <w:t>,</w:t>
      </w:r>
      <w:r w:rsidRPr="00A068FB">
        <w:rPr>
          <w:rFonts w:hint="cs"/>
          <w:rtl/>
        </w:rPr>
        <w:t xml:space="preserve"> </w:t>
      </w:r>
      <w:r>
        <w:rPr>
          <w:rFonts w:hint="cs"/>
          <w:rtl/>
        </w:rPr>
        <w:t>בחודשי חישוב חלקיות המשרה</w:t>
      </w:r>
      <w:r w:rsidRPr="00A068FB">
        <w:rPr>
          <w:rFonts w:hint="cs"/>
          <w:rtl/>
        </w:rPr>
        <w:t>, כדלקמן: ממוצע לחודש של מספר הימים בהם עבד ב</w:t>
      </w:r>
      <w:r>
        <w:rPr>
          <w:rFonts w:hint="cs"/>
          <w:rtl/>
        </w:rPr>
        <w:t xml:space="preserve">חודשי חישוב חלקיות המשרה </w:t>
      </w:r>
      <w:r w:rsidRPr="00A068FB">
        <w:rPr>
          <w:rFonts w:hint="cs"/>
          <w:rtl/>
        </w:rPr>
        <w:t xml:space="preserve"> </w:t>
      </w:r>
      <w:r>
        <w:rPr>
          <w:rFonts w:hint="cs"/>
          <w:rtl/>
        </w:rPr>
        <w:t>ל</w:t>
      </w:r>
      <w:r w:rsidRPr="00A068FB">
        <w:rPr>
          <w:rFonts w:hint="cs"/>
          <w:rtl/>
        </w:rPr>
        <w:t xml:space="preserve">חלק ב- 20.83 אם הוא מועסק במקום עבודה בו עובדים 5 ימי עבודה בשבוע </w:t>
      </w:r>
      <w:r w:rsidRPr="00A068FB">
        <w:rPr>
          <w:rFonts w:hint="cs"/>
          <w:u w:val="single"/>
          <w:rtl/>
        </w:rPr>
        <w:t>או</w:t>
      </w:r>
      <w:r w:rsidRPr="00A068FB">
        <w:rPr>
          <w:rFonts w:hint="cs"/>
          <w:rtl/>
        </w:rPr>
        <w:t xml:space="preserve"> לחלק ב-25 אם הוא מועסק במקום עבודה בו עובדים 6 ימי עבודה בשבוע.</w:t>
      </w:r>
    </w:p>
    <w:p w:rsidR="006F077B" w:rsidRPr="005A1ED1" w:rsidP="006F077B">
      <w:pPr>
        <w:spacing w:before="0" w:after="0" w:line="276" w:lineRule="auto"/>
        <w:ind w:left="1701"/>
        <w:rPr>
          <w:b/>
          <w:bCs/>
        </w:rPr>
      </w:pPr>
    </w:p>
    <w:p w:rsidR="006F077B" w:rsidP="006F077B">
      <w:pPr>
        <w:numPr>
          <w:ilvl w:val="0"/>
          <w:numId w:val="8"/>
        </w:numPr>
        <w:spacing w:before="0" w:after="0" w:line="276" w:lineRule="auto"/>
      </w:pPr>
      <w:r w:rsidRPr="0065452C">
        <w:rPr>
          <w:rFonts w:hint="cs"/>
          <w:rtl/>
        </w:rPr>
        <w:t xml:space="preserve">למען הסר ספק מובהר כי המקדמה תשולם במונחי ברוטו כאשר </w:t>
      </w:r>
      <w:r w:rsidRPr="0065452C">
        <w:rPr>
          <w:rFonts w:ascii="FrankRuehl" w:hAnsi="FrankRuehl"/>
          <w:rtl/>
        </w:rPr>
        <w:t>לא יבוצעו בגינ</w:t>
      </w:r>
      <w:r w:rsidRPr="0065452C">
        <w:rPr>
          <w:rFonts w:ascii="FrankRuehl" w:hAnsi="FrankRuehl" w:hint="cs"/>
          <w:rtl/>
        </w:rPr>
        <w:t>ה</w:t>
      </w:r>
      <w:r w:rsidRPr="0065452C">
        <w:rPr>
          <w:rFonts w:ascii="FrankRuehl" w:hAnsi="FrankRuehl"/>
          <w:rtl/>
        </w:rPr>
        <w:t xml:space="preserve"> הפרשות</w:t>
      </w:r>
      <w:r w:rsidRPr="0065452C">
        <w:rPr>
          <w:rFonts w:hint="cs"/>
          <w:b/>
          <w:bCs/>
          <w:rtl/>
        </w:rPr>
        <w:t xml:space="preserve"> </w:t>
      </w:r>
      <w:r w:rsidRPr="0065452C">
        <w:rPr>
          <w:rFonts w:hint="cs"/>
          <w:rtl/>
        </w:rPr>
        <w:t>כלשהן לקופת גמל (לרבות לקרן השתלמות, לקרן פנסיה או לביטוח מנהלים).</w:t>
      </w:r>
      <w:r w:rsidRPr="0065452C">
        <w:rPr>
          <w:rFonts w:hint="cs"/>
          <w:b/>
          <w:bCs/>
          <w:rtl/>
        </w:rPr>
        <w:t xml:space="preserve"> </w:t>
      </w:r>
      <w:r w:rsidRPr="0065452C">
        <w:rPr>
          <w:rFonts w:hint="cs"/>
          <w:rtl/>
        </w:rPr>
        <w:t xml:space="preserve"> </w:t>
      </w:r>
    </w:p>
    <w:p w:rsidR="006F077B" w:rsidP="006F077B">
      <w:pPr>
        <w:numPr>
          <w:ilvl w:val="0"/>
          <w:numId w:val="8"/>
        </w:numPr>
        <w:spacing w:before="0" w:after="0" w:line="276" w:lineRule="auto"/>
      </w:pPr>
      <w:r w:rsidRPr="0065452C">
        <w:rPr>
          <w:rFonts w:hint="cs"/>
          <w:rtl/>
        </w:rPr>
        <w:t>המקדמה תנוכה ממשכורתו של העובד במועד תשלום משכורת חודש</w:t>
      </w:r>
      <w:r>
        <w:rPr>
          <w:rFonts w:hint="cs"/>
          <w:rtl/>
        </w:rPr>
        <w:t xml:space="preserve"> יוני 2023 או במועד תשלום המענק החד פעמי אשר יעוגן בהסכם הקיבוצי (מסגרת) שייחתם בזמן הקרוב, לפי המוקדם </w:t>
      </w:r>
      <w:r>
        <w:rPr>
          <w:rFonts w:hint="cs"/>
          <w:rtl/>
        </w:rPr>
        <w:t>מביניהם</w:t>
      </w:r>
      <w:r>
        <w:rPr>
          <w:rFonts w:hint="cs"/>
          <w:rtl/>
        </w:rPr>
        <w:t>, ובכפוף להוראות חוק הגנת השכר, התשי"ח-1958.</w:t>
      </w:r>
    </w:p>
    <w:p w:rsidR="006F077B" w:rsidP="006F077B">
      <w:pPr>
        <w:spacing w:before="0" w:after="0" w:line="276" w:lineRule="auto"/>
        <w:ind w:left="397"/>
      </w:pPr>
      <w:r>
        <w:rPr>
          <w:rFonts w:hint="cs"/>
          <w:rtl/>
        </w:rPr>
        <w:t xml:space="preserve"> </w:t>
      </w:r>
    </w:p>
    <w:p w:rsidR="006F077B" w:rsidP="006F077B">
      <w:pPr>
        <w:numPr>
          <w:ilvl w:val="0"/>
          <w:numId w:val="8"/>
        </w:numPr>
        <w:spacing w:before="0" w:after="0" w:line="276" w:lineRule="auto"/>
      </w:pPr>
      <w:r>
        <w:rPr>
          <w:rFonts w:hint="cs"/>
          <w:rtl/>
        </w:rPr>
        <w:t>לגבי עובד אשר במועד תשלום המקדמה שוהה בתקופת לידה והורות או בתקופת מחלה ללא משכורת, המקדמה תשולם במשכורת הראשונה שתשולם לו לאחר חזרתו לעבודה ולא יאוחר מן המשכורת שלאחר מכן, ובלבד שהמועד האמור קודם למועד ניכוי המקדמה לפי סעיף 3 לחוזר זה.</w:t>
      </w:r>
    </w:p>
    <w:p w:rsidR="006F077B" w:rsidP="006F077B">
      <w:pPr>
        <w:spacing w:before="0" w:after="0" w:line="276" w:lineRule="auto"/>
        <w:ind w:left="397"/>
      </w:pPr>
    </w:p>
    <w:p w:rsidR="006F077B" w:rsidP="006F077B">
      <w:pPr>
        <w:numPr>
          <w:ilvl w:val="0"/>
          <w:numId w:val="8"/>
        </w:numPr>
        <w:spacing w:before="0" w:after="0" w:line="276" w:lineRule="auto"/>
      </w:pPr>
      <w:r>
        <w:rPr>
          <w:rFonts w:hint="cs"/>
          <w:rtl/>
        </w:rPr>
        <w:t>חוזר זה תואם עם ההסתדרות הכללית והאמור בו מקובל עליה.</w:t>
      </w:r>
    </w:p>
    <w:p w:rsidR="006F077B" w:rsidP="006F077B">
      <w:pPr>
        <w:spacing w:before="0" w:after="0" w:line="276" w:lineRule="auto"/>
        <w:ind w:left="397"/>
      </w:pPr>
      <w:r>
        <w:rPr>
          <w:rFonts w:hint="cs"/>
          <w:rtl/>
        </w:rPr>
        <w:t xml:space="preserve"> </w:t>
      </w:r>
    </w:p>
    <w:p w:rsidR="006F077B" w:rsidP="006F077B">
      <w:pPr>
        <w:numPr>
          <w:ilvl w:val="0"/>
          <w:numId w:val="8"/>
        </w:numPr>
        <w:spacing w:before="0" w:after="0" w:line="276" w:lineRule="auto"/>
      </w:pPr>
      <w:r w:rsidRPr="00963EEE">
        <w:rPr>
          <w:rFonts w:hint="cs"/>
          <w:rtl/>
        </w:rPr>
        <w:t>(א) יצוין כי לגבי גופים במגזר ציבורי</w:t>
      </w:r>
      <w:r>
        <w:rPr>
          <w:rFonts w:hint="cs"/>
          <w:rtl/>
        </w:rPr>
        <w:t>,</w:t>
      </w:r>
      <w:r w:rsidRPr="00963EEE">
        <w:rPr>
          <w:rFonts w:hint="cs"/>
          <w:rtl/>
        </w:rPr>
        <w:t xml:space="preserve"> אשר אמורים לחתום על ההסכם הקיבוצי (מסגרת) העתיד להיחתם, או ש</w:t>
      </w:r>
      <w:r>
        <w:rPr>
          <w:rFonts w:hint="cs"/>
          <w:rtl/>
        </w:rPr>
        <w:t>יצטרפו להסכם האמור לפי הוראותיו,</w:t>
      </w:r>
      <w:r w:rsidRPr="00963EEE">
        <w:rPr>
          <w:rFonts w:hint="cs"/>
          <w:rtl/>
        </w:rPr>
        <w:t xml:space="preserve"> ואשר מעוניינים </w:t>
      </w:r>
      <w:r>
        <w:rPr>
          <w:rFonts w:hint="cs"/>
          <w:rtl/>
        </w:rPr>
        <w:t xml:space="preserve">אף הם </w:t>
      </w:r>
      <w:r w:rsidRPr="00963EEE">
        <w:rPr>
          <w:rFonts w:hint="cs"/>
          <w:rtl/>
        </w:rPr>
        <w:t>ל</w:t>
      </w:r>
      <w:r>
        <w:rPr>
          <w:rFonts w:hint="cs"/>
          <w:rtl/>
        </w:rPr>
        <w:t xml:space="preserve">שלם מקדמה  </w:t>
      </w:r>
      <w:r w:rsidRPr="00963EEE">
        <w:rPr>
          <w:rFonts w:hint="cs"/>
          <w:rtl/>
        </w:rPr>
        <w:t xml:space="preserve">לעובדים שמשכורתם מחושבת לפי </w:t>
      </w:r>
      <w:r w:rsidRPr="007B678B">
        <w:rPr>
          <w:rFonts w:hint="cs"/>
          <w:rtl/>
        </w:rPr>
        <w:t xml:space="preserve">הסכמים קיבוציים </w:t>
      </w:r>
      <w:r w:rsidRPr="00E62EF6">
        <w:rPr>
          <w:rFonts w:hint="cs"/>
          <w:u w:val="single"/>
          <w:rtl/>
        </w:rPr>
        <w:t>בדירוגים המזכים</w:t>
      </w:r>
      <w:r w:rsidRPr="007B678B">
        <w:rPr>
          <w:rFonts w:hint="cs"/>
          <w:rtl/>
        </w:rPr>
        <w:t>, ניתן אישור מאת הממונה על השכר לתשלום מקדמה, בהתאם להוראות חוזר זה.</w:t>
      </w:r>
    </w:p>
    <w:p w:rsidR="006F077B" w:rsidRPr="007B678B" w:rsidP="006F077B">
      <w:pPr>
        <w:spacing w:before="0" w:after="0" w:line="276" w:lineRule="auto"/>
        <w:ind w:left="397"/>
      </w:pPr>
      <w:r w:rsidRPr="007B678B">
        <w:rPr>
          <w:rFonts w:hint="cs"/>
          <w:rtl/>
        </w:rPr>
        <w:t xml:space="preserve"> </w:t>
      </w:r>
    </w:p>
    <w:p w:rsidR="006F077B" w:rsidP="006F077B">
      <w:pPr>
        <w:spacing w:before="0" w:after="0" w:line="276" w:lineRule="auto"/>
        <w:ind w:left="397"/>
        <w:rPr>
          <w:rtl/>
        </w:rPr>
      </w:pPr>
      <w:r>
        <w:rPr>
          <w:rFonts w:hint="cs"/>
          <w:rtl/>
        </w:rPr>
        <w:t xml:space="preserve">(ב) </w:t>
      </w:r>
      <w:r w:rsidRPr="00963EEE">
        <w:rPr>
          <w:rFonts w:hint="cs"/>
          <w:rtl/>
        </w:rPr>
        <w:t xml:space="preserve">כל גוף </w:t>
      </w:r>
      <w:r>
        <w:rPr>
          <w:rFonts w:hint="cs"/>
          <w:rtl/>
        </w:rPr>
        <w:t xml:space="preserve">במגזר הציבורי </w:t>
      </w:r>
      <w:r w:rsidRPr="00963EEE">
        <w:rPr>
          <w:rFonts w:hint="cs"/>
          <w:rtl/>
        </w:rPr>
        <w:t>אשר יבקש ל</w:t>
      </w:r>
      <w:r>
        <w:rPr>
          <w:rFonts w:hint="cs"/>
          <w:rtl/>
        </w:rPr>
        <w:t>שלם מקדמה כאמור בהתאם לאישור הכללי לעיל</w:t>
      </w:r>
      <w:r w:rsidRPr="00963EEE">
        <w:rPr>
          <w:rFonts w:hint="cs"/>
          <w:rtl/>
        </w:rPr>
        <w:t xml:space="preserve">, יודיע על כך </w:t>
      </w:r>
      <w:r>
        <w:rPr>
          <w:rFonts w:hint="cs"/>
          <w:rtl/>
        </w:rPr>
        <w:t xml:space="preserve">בכתב </w:t>
      </w:r>
      <w:r w:rsidRPr="00963EEE">
        <w:rPr>
          <w:rFonts w:hint="cs"/>
          <w:rtl/>
        </w:rPr>
        <w:t>לממונה על השכר והסכמי עבודה</w:t>
      </w:r>
      <w:r>
        <w:rPr>
          <w:rFonts w:hint="cs"/>
          <w:rtl/>
        </w:rPr>
        <w:t>, עם ביצוע התשלום</w:t>
      </w:r>
      <w:r w:rsidRPr="00963EEE">
        <w:rPr>
          <w:rFonts w:hint="cs"/>
          <w:rtl/>
        </w:rPr>
        <w:t xml:space="preserve">. </w:t>
      </w:r>
    </w:p>
    <w:p w:rsidR="006F077B" w:rsidRPr="00963EEE" w:rsidP="006F077B">
      <w:pPr>
        <w:spacing w:before="0" w:after="0" w:line="276" w:lineRule="auto"/>
        <w:ind w:left="397"/>
      </w:pPr>
    </w:p>
    <w:p w:rsidR="006F077B" w:rsidP="006F077B">
      <w:pPr>
        <w:spacing w:before="0" w:after="0" w:line="276" w:lineRule="auto"/>
        <w:ind w:left="397"/>
        <w:rPr>
          <w:rtl/>
        </w:rPr>
      </w:pPr>
      <w:r>
        <w:rPr>
          <w:rFonts w:hint="cs"/>
          <w:rtl/>
        </w:rPr>
        <w:t xml:space="preserve">ואולם, </w:t>
      </w:r>
      <w:r w:rsidRPr="007B678B">
        <w:rPr>
          <w:rFonts w:hint="cs"/>
          <w:rtl/>
        </w:rPr>
        <w:t xml:space="preserve">לגבי גופים </w:t>
      </w:r>
      <w:r>
        <w:rPr>
          <w:rFonts w:hint="cs"/>
          <w:rtl/>
        </w:rPr>
        <w:t xml:space="preserve">כאמור במגזר הציבורי, </w:t>
      </w:r>
      <w:r w:rsidRPr="007B678B">
        <w:rPr>
          <w:rFonts w:hint="cs"/>
          <w:rtl/>
        </w:rPr>
        <w:t xml:space="preserve">שמעוניינים לשלם מקדמה לעובדים שמשכורתם מחושבת לפי ההסכמים הקיבוציים בדירוגים המיוצגים על ידי ההסתדרות </w:t>
      </w:r>
      <w:r w:rsidRPr="00E62EF6">
        <w:rPr>
          <w:rFonts w:hint="cs"/>
          <w:u w:val="single"/>
          <w:rtl/>
        </w:rPr>
        <w:t>שאינם אחד מהדירוגים המזכים</w:t>
      </w:r>
      <w:r w:rsidRPr="007B678B">
        <w:rPr>
          <w:rFonts w:hint="cs"/>
          <w:rtl/>
        </w:rPr>
        <w:t xml:space="preserve">, תשלום המקדמה </w:t>
      </w:r>
      <w:r>
        <w:rPr>
          <w:rFonts w:hint="cs"/>
          <w:rtl/>
        </w:rPr>
        <w:t xml:space="preserve">לעובדים </w:t>
      </w:r>
      <w:r w:rsidRPr="007B678B">
        <w:rPr>
          <w:rFonts w:hint="cs"/>
          <w:rtl/>
        </w:rPr>
        <w:t xml:space="preserve">טעון קבלת אישור ספציפי מראש </w:t>
      </w:r>
      <w:r>
        <w:rPr>
          <w:rFonts w:hint="cs"/>
          <w:rtl/>
        </w:rPr>
        <w:t xml:space="preserve">ובכתב </w:t>
      </w:r>
      <w:r w:rsidRPr="007B678B">
        <w:rPr>
          <w:rFonts w:hint="cs"/>
          <w:rtl/>
        </w:rPr>
        <w:t>מאת הממונה על השכר והסכמי עבודה במשרד  האוצר.</w:t>
      </w:r>
    </w:p>
    <w:p w:rsidR="006F077B" w:rsidP="006F077B">
      <w:pPr>
        <w:spacing w:before="0" w:after="0" w:line="276" w:lineRule="auto"/>
        <w:ind w:left="397"/>
        <w:rPr>
          <w:rtl/>
        </w:rPr>
      </w:pPr>
    </w:p>
    <w:p w:rsidR="006F077B" w:rsidP="006F077B">
      <w:pPr>
        <w:spacing w:before="0" w:after="0" w:line="276" w:lineRule="auto"/>
        <w:ind w:left="397"/>
        <w:rPr>
          <w:rtl/>
        </w:rPr>
      </w:pPr>
      <w:r w:rsidRPr="00963EEE">
        <w:rPr>
          <w:rFonts w:hint="cs"/>
          <w:rtl/>
        </w:rPr>
        <w:t xml:space="preserve">(ג) על אף האמור בסעיף (א) לעיל, מובהר כי האישור כאמור ניתן לגבי גופים אשר אין להם הסכם קיבוצי אחר שמסדיר את תוספות השכר או ההטבות </w:t>
      </w:r>
      <w:r w:rsidRPr="006C5A69">
        <w:rPr>
          <w:rFonts w:hint="cs"/>
          <w:rtl/>
        </w:rPr>
        <w:t>הכספיות לגבי כל התקופה ש</w:t>
      </w:r>
      <w:r w:rsidRPr="006C5A69">
        <w:rPr>
          <w:rFonts w:hint="eastAsia"/>
          <w:rtl/>
        </w:rPr>
        <w:t>מ</w:t>
      </w:r>
      <w:r w:rsidRPr="006C5A69">
        <w:rPr>
          <w:rFonts w:hint="cs"/>
          <w:rtl/>
        </w:rPr>
        <w:t xml:space="preserve">יום </w:t>
      </w:r>
      <w:r w:rsidRPr="00180240">
        <w:rPr>
          <w:rFonts w:hint="cs"/>
          <w:rtl/>
        </w:rPr>
        <w:t>1.1.2020 עד יום 31.12.2027.</w:t>
      </w:r>
      <w:r w:rsidRPr="00963EEE">
        <w:rPr>
          <w:rFonts w:hint="cs"/>
          <w:rtl/>
        </w:rPr>
        <w:t xml:space="preserve"> </w:t>
      </w:r>
    </w:p>
    <w:p w:rsidR="006F077B" w:rsidP="006F077B">
      <w:pPr>
        <w:spacing w:before="0" w:after="0" w:line="276" w:lineRule="auto"/>
        <w:ind w:left="397"/>
        <w:rPr>
          <w:rtl/>
        </w:rPr>
      </w:pPr>
      <w:r w:rsidRPr="00963EEE">
        <w:rPr>
          <w:rFonts w:hint="cs"/>
          <w:rtl/>
        </w:rPr>
        <w:t xml:space="preserve">לגבי גופים שיש </w:t>
      </w:r>
      <w:r w:rsidRPr="00180240">
        <w:rPr>
          <w:rFonts w:hint="cs"/>
          <w:rtl/>
        </w:rPr>
        <w:t>להם הסכם קיבוצי אחר שמסדיר את תוספות השכר או ההטבות הכספיות, לגבי חלק מהתקופה שמיום 1.1.2020 עד יום 31.12.2027, ת</w:t>
      </w:r>
      <w:r w:rsidRPr="00963EEE">
        <w:rPr>
          <w:rFonts w:hint="cs"/>
          <w:rtl/>
        </w:rPr>
        <w:t xml:space="preserve">שלום </w:t>
      </w:r>
      <w:r>
        <w:rPr>
          <w:rFonts w:hint="cs"/>
          <w:rtl/>
        </w:rPr>
        <w:t xml:space="preserve">המקדמה </w:t>
      </w:r>
      <w:r w:rsidRPr="00963EEE">
        <w:rPr>
          <w:rFonts w:hint="cs"/>
          <w:rtl/>
        </w:rPr>
        <w:t xml:space="preserve">טעון קבלת אישור ספציפי </w:t>
      </w:r>
      <w:r w:rsidRPr="003B0473">
        <w:rPr>
          <w:rFonts w:hint="cs"/>
          <w:rtl/>
        </w:rPr>
        <w:t>מראש מאת הממונה על השכר והסכמי עבודה במשרד האוצר.</w:t>
      </w:r>
    </w:p>
    <w:p w:rsidR="006F077B" w:rsidP="006F077B">
      <w:pPr>
        <w:tabs>
          <w:tab w:val="center" w:pos="3918"/>
          <w:tab w:val="center" w:pos="5619"/>
        </w:tabs>
        <w:spacing w:before="0" w:after="0" w:line="276" w:lineRule="auto"/>
        <w:rPr>
          <w:rtl/>
        </w:rPr>
      </w:pPr>
    </w:p>
    <w:p w:rsidR="006F077B" w:rsidP="006F077B">
      <w:pPr>
        <w:tabs>
          <w:tab w:val="center" w:pos="3918"/>
          <w:tab w:val="center" w:pos="5619"/>
        </w:tabs>
        <w:spacing w:before="0" w:after="0" w:line="276" w:lineRule="auto"/>
        <w:rPr>
          <w:rtl/>
        </w:rPr>
      </w:pPr>
    </w:p>
    <w:p w:rsidR="006F077B" w:rsidP="006F077B">
      <w:pPr>
        <w:tabs>
          <w:tab w:val="center" w:pos="3918"/>
          <w:tab w:val="center" w:pos="5619"/>
        </w:tabs>
        <w:spacing w:before="0" w:after="0" w:line="276" w:lineRule="auto"/>
        <w:rPr>
          <w:rtl/>
        </w:rPr>
      </w:pPr>
      <w:r>
        <w:rPr>
          <w:rFonts w:hint="cs"/>
          <w:rtl/>
        </w:rPr>
        <w:tab/>
      </w:r>
      <w:r>
        <w:rPr>
          <w:rFonts w:hint="cs"/>
          <w:rtl/>
        </w:rPr>
        <w:tab/>
        <w:t>בברכה,</w:t>
      </w:r>
    </w:p>
    <w:p w:rsidR="006F077B" w:rsidP="006F077B">
      <w:pPr>
        <w:tabs>
          <w:tab w:val="center" w:pos="3918"/>
          <w:tab w:val="center" w:pos="5619"/>
        </w:tabs>
        <w:spacing w:before="0" w:after="0" w:line="276" w:lineRule="auto"/>
        <w:outlineLvl w:val="0"/>
        <w:rPr>
          <w:rtl/>
        </w:rPr>
      </w:pPr>
    </w:p>
    <w:p w:rsidR="006F077B" w:rsidP="006F077B">
      <w:pPr>
        <w:tabs>
          <w:tab w:val="center" w:pos="3918"/>
          <w:tab w:val="center" w:pos="5619"/>
        </w:tabs>
        <w:spacing w:before="0" w:after="0" w:line="276" w:lineRule="auto"/>
        <w:outlineLvl w:val="0"/>
        <w:rPr>
          <w:rtl/>
        </w:rPr>
      </w:pPr>
      <w:r>
        <w:rPr>
          <w:rFonts w:hint="cs"/>
          <w:rtl/>
        </w:rPr>
        <w:tab/>
      </w:r>
    </w:p>
    <w:p w:rsidR="006F077B" w:rsidP="006F077B">
      <w:pPr>
        <w:tabs>
          <w:tab w:val="center" w:pos="3918"/>
          <w:tab w:val="center" w:pos="5619"/>
        </w:tabs>
        <w:spacing w:before="0" w:after="0" w:line="276" w:lineRule="auto"/>
        <w:outlineLvl w:val="0"/>
        <w:rPr>
          <w:rtl/>
        </w:rPr>
      </w:pPr>
      <w:r>
        <w:rPr>
          <w:rFonts w:hint="cs"/>
          <w:rtl/>
        </w:rPr>
        <w:tab/>
      </w:r>
      <w:r>
        <w:rPr>
          <w:rFonts w:hint="cs"/>
          <w:rtl/>
        </w:rPr>
        <w:tab/>
        <w:t>אפי מלכין</w:t>
      </w:r>
    </w:p>
    <w:p w:rsidR="006F077B" w:rsidP="006F077B">
      <w:pPr>
        <w:tabs>
          <w:tab w:val="center" w:pos="3918"/>
          <w:tab w:val="center" w:pos="5619"/>
        </w:tabs>
        <w:spacing w:before="0" w:after="0" w:line="276" w:lineRule="auto"/>
        <w:rPr>
          <w:rtl/>
        </w:rPr>
      </w:pPr>
      <w:r>
        <w:rPr>
          <w:rFonts w:hint="cs"/>
          <w:rtl/>
        </w:rPr>
        <w:tab/>
      </w:r>
      <w:r>
        <w:rPr>
          <w:rFonts w:hint="cs"/>
          <w:rtl/>
        </w:rPr>
        <w:tab/>
        <w:t>הממונה על השכר והסכמי עבודה (בפועל)</w:t>
      </w:r>
    </w:p>
    <w:p w:rsidR="006F077B" w:rsidP="006F077B">
      <w:pPr>
        <w:spacing w:before="0" w:after="0" w:line="276" w:lineRule="auto"/>
        <w:rPr>
          <w:rtl/>
        </w:rPr>
      </w:pPr>
    </w:p>
    <w:p w:rsidR="006F077B" w:rsidP="006F077B">
      <w:pPr>
        <w:spacing w:before="0" w:after="0" w:line="276" w:lineRule="auto"/>
        <w:rPr>
          <w:rtl/>
        </w:rPr>
      </w:pPr>
      <w:r>
        <w:rPr>
          <w:rFonts w:hint="cs"/>
          <w:rtl/>
        </w:rPr>
        <w:t>העתק :</w:t>
      </w:r>
    </w:p>
    <w:p w:rsidR="006F077B" w:rsidP="006F077B">
      <w:pPr>
        <w:spacing w:before="0" w:after="0" w:line="276" w:lineRule="auto"/>
        <w:rPr>
          <w:rtl/>
        </w:rPr>
      </w:pPr>
      <w:r>
        <w:rPr>
          <w:rFonts w:hint="cs"/>
          <w:rtl/>
        </w:rPr>
        <w:t>פרופ' דניאל הרשקוביץ - נציב שירות המדינה</w:t>
      </w:r>
    </w:p>
    <w:p w:rsidR="006F077B" w:rsidP="006F077B">
      <w:pPr>
        <w:spacing w:before="0" w:after="0" w:line="276" w:lineRule="auto"/>
        <w:rPr>
          <w:rtl/>
        </w:rPr>
      </w:pPr>
      <w:r>
        <w:rPr>
          <w:rFonts w:hint="cs"/>
          <w:rtl/>
        </w:rPr>
        <w:t>מר ארנון בר דוד - יו"ר  הסתדרות העובדים הכללית החדשה</w:t>
      </w:r>
    </w:p>
    <w:p w:rsidR="006F077B" w:rsidP="006F077B">
      <w:pPr>
        <w:spacing w:before="0" w:after="0" w:line="276" w:lineRule="auto"/>
        <w:rPr>
          <w:rtl/>
        </w:rPr>
      </w:pPr>
      <w:r>
        <w:rPr>
          <w:rFonts w:hint="cs"/>
          <w:rtl/>
        </w:rPr>
        <w:t>המעסיקים במגזר הציבורי</w:t>
      </w:r>
    </w:p>
    <w:p w:rsidR="006F077B" w:rsidP="006F077B">
      <w:pPr>
        <w:spacing w:before="0" w:after="0" w:line="276" w:lineRule="auto"/>
        <w:outlineLvl w:val="0"/>
        <w:rPr>
          <w:szCs w:val="24"/>
          <w:rtl/>
        </w:rPr>
      </w:pPr>
    </w:p>
    <w:p w:rsidR="006F077B" w:rsidP="006F077B">
      <w:pPr>
        <w:jc w:val="center"/>
        <w:outlineLvl w:val="0"/>
        <w:rPr>
          <w:sz w:val="32"/>
          <w:szCs w:val="32"/>
          <w:u w:val="single"/>
          <w:rtl/>
        </w:rPr>
      </w:pPr>
      <w:r>
        <w:rPr>
          <w:rFonts w:hint="cs"/>
          <w:sz w:val="32"/>
          <w:szCs w:val="32"/>
          <w:u w:val="single"/>
          <w:rtl/>
        </w:rPr>
        <w:t>נספח א'</w:t>
      </w:r>
    </w:p>
    <w:p w:rsidR="006F077B" w:rsidP="006F077B">
      <w:pPr>
        <w:rPr>
          <w:sz w:val="28"/>
          <w:szCs w:val="28"/>
          <w:rtl/>
        </w:rPr>
      </w:pPr>
      <w:r>
        <w:rPr>
          <w:rFonts w:hint="cs"/>
          <w:sz w:val="28"/>
          <w:szCs w:val="28"/>
          <w:rtl/>
        </w:rPr>
        <w:t>רשימת הדירוגים בשירות המדינה, לצורך תשלום המקדמה:</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1"/>
        <w:gridCol w:w="5479"/>
        <w:gridCol w:w="1956"/>
      </w:tblGrid>
      <w:tr w:rsidTr="00733F93">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861" w:type="dxa"/>
            <w:shd w:val="clear" w:color="auto" w:fill="auto"/>
          </w:tcPr>
          <w:p w:rsidR="006F077B" w:rsidRPr="00F225B4" w:rsidP="00733F93">
            <w:pPr>
              <w:jc w:val="center"/>
              <w:rPr>
                <w:sz w:val="28"/>
                <w:szCs w:val="28"/>
                <w:rtl/>
              </w:rPr>
            </w:pPr>
            <w:r w:rsidRPr="00F225B4">
              <w:rPr>
                <w:rFonts w:hint="cs"/>
                <w:sz w:val="28"/>
                <w:szCs w:val="28"/>
                <w:rtl/>
              </w:rPr>
              <w:t>מס סידורי</w:t>
            </w:r>
          </w:p>
        </w:tc>
        <w:tc>
          <w:tcPr>
            <w:tcW w:w="5479" w:type="dxa"/>
            <w:shd w:val="clear" w:color="auto" w:fill="auto"/>
          </w:tcPr>
          <w:p w:rsidR="006F077B" w:rsidRPr="00F225B4" w:rsidP="00733F93">
            <w:pPr>
              <w:ind w:left="720"/>
              <w:jc w:val="center"/>
              <w:rPr>
                <w:sz w:val="28"/>
                <w:szCs w:val="28"/>
              </w:rPr>
            </w:pPr>
            <w:r w:rsidRPr="00F225B4">
              <w:rPr>
                <w:rFonts w:hint="cs"/>
                <w:sz w:val="28"/>
                <w:szCs w:val="28"/>
                <w:rtl/>
              </w:rPr>
              <w:t>שם הדירוג</w:t>
            </w:r>
          </w:p>
        </w:tc>
        <w:tc>
          <w:tcPr>
            <w:tcW w:w="1956" w:type="dxa"/>
          </w:tcPr>
          <w:p w:rsidR="006F077B" w:rsidRPr="00F225B4" w:rsidP="00733F93">
            <w:pPr>
              <w:jc w:val="center"/>
              <w:rPr>
                <w:sz w:val="28"/>
                <w:szCs w:val="28"/>
                <w:rtl/>
              </w:rPr>
            </w:pPr>
            <w:r w:rsidRPr="00F225B4">
              <w:rPr>
                <w:rFonts w:hint="cs"/>
                <w:rtl/>
              </w:rPr>
              <w:t>למען הנוחות להלן סמל</w:t>
            </w:r>
            <w:r>
              <w:rPr>
                <w:rFonts w:hint="cs"/>
                <w:rtl/>
              </w:rPr>
              <w:t xml:space="preserve"> (קוד)</w:t>
            </w:r>
            <w:r w:rsidRPr="00F225B4">
              <w:rPr>
                <w:rFonts w:hint="cs"/>
                <w:rtl/>
              </w:rPr>
              <w:t xml:space="preserve"> הדירוג בשירות המדינה</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tl/>
              </w:rPr>
            </w:pPr>
            <w:r w:rsidRPr="00E07087">
              <w:rPr>
                <w:rFonts w:hint="cs"/>
                <w:sz w:val="28"/>
                <w:szCs w:val="28"/>
                <w:rtl/>
              </w:rPr>
              <w:t>מינהלי</w:t>
            </w:r>
            <w:r w:rsidRPr="00E07087">
              <w:rPr>
                <w:rFonts w:hint="cs"/>
                <w:sz w:val="28"/>
                <w:szCs w:val="28"/>
                <w:rtl/>
              </w:rPr>
              <w:t>;</w:t>
            </w:r>
          </w:p>
        </w:tc>
        <w:tc>
          <w:tcPr>
            <w:tcW w:w="1956" w:type="dxa"/>
          </w:tcPr>
          <w:p w:rsidR="006F077B" w:rsidRPr="00E07087" w:rsidP="00733F93">
            <w:pPr>
              <w:jc w:val="center"/>
              <w:rPr>
                <w:sz w:val="28"/>
                <w:szCs w:val="28"/>
                <w:rtl/>
              </w:rPr>
            </w:pPr>
            <w:r>
              <w:rPr>
                <w:rFonts w:hint="cs"/>
                <w:sz w:val="28"/>
                <w:szCs w:val="28"/>
                <w:rtl/>
              </w:rPr>
              <w:t>1</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tl/>
              </w:rPr>
            </w:pPr>
            <w:r w:rsidRPr="00E07087">
              <w:rPr>
                <w:rFonts w:hint="cs"/>
                <w:sz w:val="28"/>
                <w:szCs w:val="28"/>
                <w:rtl/>
              </w:rPr>
              <w:t>אחיד;</w:t>
            </w:r>
          </w:p>
        </w:tc>
        <w:tc>
          <w:tcPr>
            <w:tcW w:w="1956" w:type="dxa"/>
          </w:tcPr>
          <w:p w:rsidR="006F077B" w:rsidRPr="00E07087" w:rsidP="00733F93">
            <w:pPr>
              <w:jc w:val="center"/>
              <w:rPr>
                <w:sz w:val="28"/>
                <w:szCs w:val="28"/>
                <w:rtl/>
              </w:rPr>
            </w:pPr>
            <w:r>
              <w:rPr>
                <w:rFonts w:hint="cs"/>
                <w:sz w:val="28"/>
                <w:szCs w:val="28"/>
                <w:rtl/>
              </w:rPr>
              <w:t>2</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tl/>
              </w:rPr>
            </w:pPr>
            <w:r w:rsidRPr="00E07087">
              <w:rPr>
                <w:rFonts w:hint="cs"/>
                <w:sz w:val="28"/>
                <w:szCs w:val="28"/>
                <w:rtl/>
              </w:rPr>
              <w:t>טכנאי רנטגן;</w:t>
            </w:r>
          </w:p>
        </w:tc>
        <w:tc>
          <w:tcPr>
            <w:tcW w:w="1956" w:type="dxa"/>
          </w:tcPr>
          <w:p w:rsidR="006F077B" w:rsidRPr="00E07087" w:rsidP="00733F93">
            <w:pPr>
              <w:jc w:val="center"/>
              <w:rPr>
                <w:sz w:val="28"/>
                <w:szCs w:val="28"/>
                <w:rtl/>
              </w:rPr>
            </w:pPr>
            <w:r>
              <w:rPr>
                <w:rFonts w:hint="cs"/>
                <w:sz w:val="28"/>
                <w:szCs w:val="28"/>
                <w:rtl/>
              </w:rPr>
              <w:t>8</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מח"ר</w:t>
            </w:r>
            <w:r w:rsidRPr="00E07087">
              <w:rPr>
                <w:rFonts w:hint="cs"/>
                <w:sz w:val="28"/>
                <w:szCs w:val="28"/>
                <w:rtl/>
              </w:rPr>
              <w:t>, לרבות פסיכולוגים;</w:t>
            </w:r>
          </w:p>
        </w:tc>
        <w:tc>
          <w:tcPr>
            <w:tcW w:w="1956" w:type="dxa"/>
          </w:tcPr>
          <w:p w:rsidR="006F077B" w:rsidRPr="00E07087" w:rsidP="00733F93">
            <w:pPr>
              <w:jc w:val="center"/>
              <w:rPr>
                <w:sz w:val="28"/>
                <w:szCs w:val="28"/>
                <w:rtl/>
              </w:rPr>
            </w:pPr>
            <w:r>
              <w:rPr>
                <w:rFonts w:hint="cs"/>
                <w:sz w:val="28"/>
                <w:szCs w:val="28"/>
                <w:rtl/>
              </w:rPr>
              <w:t>11, 16</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מהנדסים;</w:t>
            </w:r>
          </w:p>
        </w:tc>
        <w:tc>
          <w:tcPr>
            <w:tcW w:w="1956" w:type="dxa"/>
          </w:tcPr>
          <w:p w:rsidR="006F077B" w:rsidRPr="00E07087" w:rsidP="00733F93">
            <w:pPr>
              <w:jc w:val="center"/>
              <w:rPr>
                <w:sz w:val="28"/>
                <w:szCs w:val="28"/>
                <w:rtl/>
              </w:rPr>
            </w:pPr>
            <w:r>
              <w:rPr>
                <w:rFonts w:hint="cs"/>
                <w:sz w:val="28"/>
                <w:szCs w:val="28"/>
                <w:rtl/>
              </w:rPr>
              <w:t>12</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טכנאים והנדסאים;</w:t>
            </w:r>
          </w:p>
        </w:tc>
        <w:tc>
          <w:tcPr>
            <w:tcW w:w="1956" w:type="dxa"/>
          </w:tcPr>
          <w:p w:rsidR="006F077B" w:rsidRPr="00E07087" w:rsidP="00733F93">
            <w:pPr>
              <w:jc w:val="center"/>
              <w:rPr>
                <w:sz w:val="28"/>
                <w:szCs w:val="28"/>
                <w:rtl/>
              </w:rPr>
            </w:pPr>
            <w:r>
              <w:rPr>
                <w:rFonts w:hint="cs"/>
                <w:sz w:val="28"/>
                <w:szCs w:val="28"/>
                <w:rtl/>
              </w:rPr>
              <w:t>13</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פיזיוטרפיסטים</w:t>
            </w:r>
            <w:r w:rsidRPr="00E07087">
              <w:rPr>
                <w:rFonts w:hint="cs"/>
                <w:sz w:val="28"/>
                <w:szCs w:val="28"/>
                <w:rtl/>
              </w:rPr>
              <w:t>;</w:t>
            </w:r>
          </w:p>
        </w:tc>
        <w:tc>
          <w:tcPr>
            <w:tcW w:w="1956" w:type="dxa"/>
          </w:tcPr>
          <w:p w:rsidR="006F077B" w:rsidRPr="00E07087" w:rsidP="00733F93">
            <w:pPr>
              <w:jc w:val="center"/>
              <w:rPr>
                <w:sz w:val="28"/>
                <w:szCs w:val="28"/>
                <w:rtl/>
              </w:rPr>
            </w:pPr>
            <w:r>
              <w:rPr>
                <w:rFonts w:hint="cs"/>
                <w:sz w:val="28"/>
                <w:szCs w:val="28"/>
                <w:rtl/>
              </w:rPr>
              <w:t>20</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משפטנים (מובהר כי האמור לא יחול לגבי מי ששכרו צמוד לשכר נושא משרה שיפוטית);</w:t>
            </w:r>
          </w:p>
        </w:tc>
        <w:tc>
          <w:tcPr>
            <w:tcW w:w="1956" w:type="dxa"/>
          </w:tcPr>
          <w:p w:rsidR="006F077B" w:rsidRPr="00E07087" w:rsidP="00733F93">
            <w:pPr>
              <w:jc w:val="center"/>
              <w:rPr>
                <w:sz w:val="28"/>
                <w:szCs w:val="28"/>
                <w:rtl/>
              </w:rPr>
            </w:pPr>
            <w:r>
              <w:rPr>
                <w:rFonts w:hint="cs"/>
                <w:sz w:val="28"/>
                <w:szCs w:val="28"/>
                <w:rtl/>
              </w:rPr>
              <w:t>21</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rPr>
                <w:sz w:val="28"/>
                <w:szCs w:val="28"/>
              </w:rPr>
            </w:pPr>
            <w:r w:rsidRPr="00E07087">
              <w:rPr>
                <w:rFonts w:hint="cs"/>
                <w:sz w:val="28"/>
                <w:szCs w:val="28"/>
                <w:rtl/>
              </w:rPr>
              <w:t>סנגורים ציבוריים (מובהר כי האמור לא יחול לגבי מי ששכרו צמוד לשכר נושא משרה שיפוטית);</w:t>
            </w:r>
          </w:p>
        </w:tc>
        <w:tc>
          <w:tcPr>
            <w:tcW w:w="1956" w:type="dxa"/>
          </w:tcPr>
          <w:p w:rsidR="006F077B" w:rsidRPr="00E07087" w:rsidP="00733F93">
            <w:pPr>
              <w:jc w:val="center"/>
              <w:rPr>
                <w:sz w:val="28"/>
                <w:szCs w:val="28"/>
                <w:rtl/>
              </w:rPr>
            </w:pPr>
            <w:r>
              <w:rPr>
                <w:rFonts w:hint="cs"/>
                <w:sz w:val="28"/>
                <w:szCs w:val="28"/>
                <w:rtl/>
              </w:rPr>
              <w:t>25</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1D765A" w:rsidP="00733F93">
            <w:pPr>
              <w:ind w:left="30"/>
              <w:rPr>
                <w:sz w:val="28"/>
                <w:szCs w:val="28"/>
              </w:rPr>
            </w:pPr>
            <w:r w:rsidRPr="001D765A">
              <w:rPr>
                <w:rFonts w:hint="cs"/>
                <w:sz w:val="28"/>
                <w:szCs w:val="28"/>
                <w:rtl/>
              </w:rPr>
              <w:t>פרקליטים (מובהר כי האמור לא יחול לגבי מי ששכרו צמוד לשכר נושא משרה שיפוטית);</w:t>
            </w:r>
          </w:p>
        </w:tc>
        <w:tc>
          <w:tcPr>
            <w:tcW w:w="1956" w:type="dxa"/>
          </w:tcPr>
          <w:p w:rsidR="006F077B" w:rsidRPr="001D765A" w:rsidP="00733F93">
            <w:pPr>
              <w:ind w:left="30"/>
              <w:jc w:val="center"/>
              <w:rPr>
                <w:sz w:val="28"/>
                <w:szCs w:val="28"/>
                <w:rtl/>
              </w:rPr>
            </w:pPr>
            <w:r>
              <w:rPr>
                <w:rFonts w:hint="cs"/>
                <w:sz w:val="28"/>
                <w:szCs w:val="28"/>
                <w:rtl/>
              </w:rPr>
              <w:t>22</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ind w:left="30"/>
              <w:rPr>
                <w:sz w:val="28"/>
                <w:szCs w:val="28"/>
              </w:rPr>
            </w:pPr>
            <w:r w:rsidRPr="00E07087">
              <w:rPr>
                <w:rFonts w:hint="cs"/>
                <w:sz w:val="28"/>
                <w:szCs w:val="28"/>
                <w:rtl/>
              </w:rPr>
              <w:t>עיתונאים;</w:t>
            </w:r>
          </w:p>
        </w:tc>
        <w:tc>
          <w:tcPr>
            <w:tcW w:w="1956" w:type="dxa"/>
          </w:tcPr>
          <w:p w:rsidR="006F077B" w:rsidRPr="00E07087" w:rsidP="00733F93">
            <w:pPr>
              <w:ind w:left="30"/>
              <w:jc w:val="center"/>
              <w:rPr>
                <w:sz w:val="28"/>
                <w:szCs w:val="28"/>
                <w:rtl/>
              </w:rPr>
            </w:pPr>
            <w:r>
              <w:rPr>
                <w:rFonts w:hint="cs"/>
                <w:sz w:val="28"/>
                <w:szCs w:val="28"/>
                <w:rtl/>
              </w:rPr>
              <w:t>27</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ind w:left="30"/>
              <w:rPr>
                <w:sz w:val="28"/>
                <w:szCs w:val="28"/>
              </w:rPr>
            </w:pPr>
            <w:r w:rsidRPr="00E07087">
              <w:rPr>
                <w:rFonts w:hint="cs"/>
                <w:sz w:val="28"/>
                <w:szCs w:val="28"/>
                <w:rtl/>
              </w:rPr>
              <w:t>עובדי מעבדה, ביוכימאים ומיקרוביולוגים;</w:t>
            </w:r>
          </w:p>
        </w:tc>
        <w:tc>
          <w:tcPr>
            <w:tcW w:w="1956" w:type="dxa"/>
          </w:tcPr>
          <w:p w:rsidR="006F077B" w:rsidRPr="00E07087" w:rsidP="00733F93">
            <w:pPr>
              <w:ind w:left="30"/>
              <w:jc w:val="center"/>
              <w:rPr>
                <w:sz w:val="28"/>
                <w:szCs w:val="28"/>
                <w:rtl/>
              </w:rPr>
            </w:pPr>
            <w:r>
              <w:rPr>
                <w:rFonts w:hint="cs"/>
                <w:sz w:val="28"/>
                <w:szCs w:val="28"/>
                <w:rtl/>
              </w:rPr>
              <w:t>33</w:t>
            </w:r>
          </w:p>
        </w:tc>
      </w:tr>
      <w:tr w:rsidTr="00733F93">
        <w:tblPrEx>
          <w:tblW w:w="0" w:type="auto"/>
          <w:tblLook w:val="04A0"/>
        </w:tblPrEx>
        <w:tc>
          <w:tcPr>
            <w:tcW w:w="861" w:type="dxa"/>
            <w:shd w:val="clear" w:color="auto" w:fill="auto"/>
          </w:tcPr>
          <w:p w:rsidR="006F077B" w:rsidRPr="00E07087" w:rsidP="00733F93">
            <w:pPr>
              <w:numPr>
                <w:ilvl w:val="0"/>
                <w:numId w:val="9"/>
              </w:numPr>
              <w:spacing w:before="0" w:after="0" w:line="240" w:lineRule="auto"/>
              <w:rPr>
                <w:sz w:val="28"/>
                <w:szCs w:val="28"/>
                <w:rtl/>
              </w:rPr>
            </w:pPr>
          </w:p>
        </w:tc>
        <w:tc>
          <w:tcPr>
            <w:tcW w:w="5479" w:type="dxa"/>
            <w:shd w:val="clear" w:color="auto" w:fill="auto"/>
          </w:tcPr>
          <w:p w:rsidR="006F077B" w:rsidRPr="00E07087" w:rsidP="00733F93">
            <w:pPr>
              <w:ind w:left="30"/>
              <w:rPr>
                <w:sz w:val="28"/>
                <w:szCs w:val="28"/>
              </w:rPr>
            </w:pPr>
            <w:r w:rsidRPr="00E07087">
              <w:rPr>
                <w:rFonts w:hint="cs"/>
                <w:sz w:val="28"/>
                <w:szCs w:val="28"/>
                <w:rtl/>
              </w:rPr>
              <w:t>רוקחים;</w:t>
            </w:r>
          </w:p>
        </w:tc>
        <w:tc>
          <w:tcPr>
            <w:tcW w:w="1956" w:type="dxa"/>
          </w:tcPr>
          <w:p w:rsidR="006F077B" w:rsidRPr="00E07087" w:rsidP="00733F93">
            <w:pPr>
              <w:ind w:left="30"/>
              <w:jc w:val="center"/>
              <w:rPr>
                <w:sz w:val="28"/>
                <w:szCs w:val="28"/>
                <w:rtl/>
              </w:rPr>
            </w:pPr>
            <w:r>
              <w:rPr>
                <w:rFonts w:hint="cs"/>
                <w:sz w:val="28"/>
                <w:szCs w:val="28"/>
                <w:rtl/>
              </w:rPr>
              <w:t>34</w:t>
            </w:r>
          </w:p>
        </w:tc>
      </w:tr>
    </w:tbl>
    <w:p w:rsidR="006F077B" w:rsidP="006F077B">
      <w:pPr>
        <w:rPr>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6"/>
        <w:gridCol w:w="5475"/>
        <w:gridCol w:w="1895"/>
      </w:tblGrid>
      <w:tr w:rsidTr="00733F93">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Ex>
        <w:tc>
          <w:tcPr>
            <w:tcW w:w="926" w:type="dxa"/>
            <w:tcBorders>
              <w:top w:val="single" w:sz="4" w:space="0" w:color="auto"/>
              <w:left w:val="single" w:sz="4" w:space="0" w:color="auto"/>
              <w:bottom w:val="single" w:sz="4" w:space="0" w:color="auto"/>
              <w:right w:val="single" w:sz="4" w:space="0" w:color="auto"/>
            </w:tcBorders>
            <w:shd w:val="clear" w:color="auto" w:fill="auto"/>
          </w:tcPr>
          <w:p w:rsidR="006F077B" w:rsidP="00733F93">
            <w:pPr>
              <w:tabs>
                <w:tab w:val="num" w:pos="251"/>
              </w:tabs>
              <w:spacing w:before="0" w:after="0" w:line="240" w:lineRule="auto"/>
              <w:ind w:left="392" w:hanging="360"/>
              <w:jc w:val="center"/>
              <w:rPr>
                <w:sz w:val="28"/>
                <w:szCs w:val="28"/>
                <w:rtl/>
              </w:rPr>
            </w:pPr>
            <w:r w:rsidRPr="00F225B4">
              <w:rPr>
                <w:rFonts w:hint="cs"/>
                <w:sz w:val="28"/>
                <w:szCs w:val="28"/>
                <w:rtl/>
              </w:rPr>
              <w:t>מס</w:t>
            </w:r>
          </w:p>
          <w:p w:rsidR="006F077B" w:rsidRPr="00F225B4" w:rsidP="00733F93">
            <w:pPr>
              <w:tabs>
                <w:tab w:val="num" w:pos="109"/>
              </w:tabs>
              <w:spacing w:before="0" w:after="0" w:line="240" w:lineRule="auto"/>
              <w:ind w:left="32" w:hanging="32"/>
              <w:rPr>
                <w:sz w:val="28"/>
                <w:szCs w:val="28"/>
                <w:rtl/>
              </w:rPr>
            </w:pPr>
            <w:r w:rsidRPr="00F225B4">
              <w:rPr>
                <w:rFonts w:hint="cs"/>
                <w:sz w:val="28"/>
                <w:szCs w:val="28"/>
                <w:rtl/>
              </w:rPr>
              <w:t>סידורי</w:t>
            </w:r>
          </w:p>
        </w:tc>
        <w:tc>
          <w:tcPr>
            <w:tcW w:w="5475" w:type="dxa"/>
            <w:tcBorders>
              <w:top w:val="single" w:sz="4" w:space="0" w:color="auto"/>
              <w:left w:val="single" w:sz="4" w:space="0" w:color="auto"/>
              <w:bottom w:val="single" w:sz="4" w:space="0" w:color="auto"/>
              <w:right w:val="single" w:sz="4" w:space="0" w:color="auto"/>
            </w:tcBorders>
            <w:shd w:val="clear" w:color="auto" w:fill="auto"/>
          </w:tcPr>
          <w:p w:rsidR="006F077B" w:rsidRPr="00F225B4" w:rsidP="00733F93">
            <w:pPr>
              <w:ind w:left="30"/>
              <w:jc w:val="center"/>
              <w:rPr>
                <w:sz w:val="28"/>
                <w:szCs w:val="28"/>
              </w:rPr>
            </w:pPr>
            <w:r w:rsidRPr="00F225B4">
              <w:rPr>
                <w:rFonts w:hint="cs"/>
                <w:sz w:val="28"/>
                <w:szCs w:val="28"/>
                <w:rtl/>
              </w:rPr>
              <w:t>שם הדירוג</w:t>
            </w:r>
          </w:p>
        </w:tc>
        <w:tc>
          <w:tcPr>
            <w:tcW w:w="1895" w:type="dxa"/>
            <w:tcBorders>
              <w:top w:val="single" w:sz="4" w:space="0" w:color="auto"/>
              <w:left w:val="single" w:sz="4" w:space="0" w:color="auto"/>
              <w:bottom w:val="single" w:sz="4" w:space="0" w:color="auto"/>
              <w:right w:val="single" w:sz="4" w:space="0" w:color="auto"/>
            </w:tcBorders>
          </w:tcPr>
          <w:p w:rsidR="006F077B" w:rsidRPr="00F225B4" w:rsidP="00733F93">
            <w:pPr>
              <w:ind w:left="30"/>
              <w:jc w:val="center"/>
              <w:rPr>
                <w:sz w:val="28"/>
                <w:szCs w:val="28"/>
                <w:rtl/>
              </w:rPr>
            </w:pPr>
            <w:r w:rsidRPr="003B6039">
              <w:rPr>
                <w:rFonts w:hint="cs"/>
                <w:sz w:val="28"/>
                <w:szCs w:val="28"/>
                <w:rtl/>
              </w:rPr>
              <w:t>למען הנוחות להלן סמל (קוד) הדירוג בשירות המדינה</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סטודנטים לרפואה ולסיעוד;</w:t>
            </w:r>
          </w:p>
        </w:tc>
        <w:tc>
          <w:tcPr>
            <w:tcW w:w="1895" w:type="dxa"/>
          </w:tcPr>
          <w:p w:rsidR="006F077B" w:rsidRPr="00E07087" w:rsidP="00733F93">
            <w:pPr>
              <w:ind w:left="30"/>
              <w:jc w:val="center"/>
              <w:rPr>
                <w:sz w:val="28"/>
                <w:szCs w:val="28"/>
                <w:rtl/>
              </w:rPr>
            </w:pPr>
            <w:r>
              <w:rPr>
                <w:rFonts w:hint="cs"/>
                <w:sz w:val="28"/>
                <w:szCs w:val="28"/>
                <w:rtl/>
              </w:rPr>
              <w:t>36</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אחים ואחיות (לרבות אחים ואחיות בריאות הציבור);</w:t>
            </w:r>
          </w:p>
        </w:tc>
        <w:tc>
          <w:tcPr>
            <w:tcW w:w="1895" w:type="dxa"/>
          </w:tcPr>
          <w:p w:rsidR="006F077B" w:rsidRPr="00E07087" w:rsidP="00733F93">
            <w:pPr>
              <w:ind w:left="30"/>
              <w:jc w:val="center"/>
              <w:rPr>
                <w:sz w:val="28"/>
                <w:szCs w:val="28"/>
                <w:rtl/>
              </w:rPr>
            </w:pPr>
            <w:r>
              <w:rPr>
                <w:rFonts w:hint="cs"/>
                <w:sz w:val="28"/>
                <w:szCs w:val="28"/>
                <w:rtl/>
              </w:rPr>
              <w:t>38, 39</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 xml:space="preserve">פארה רפואיים (לרבות קלינאי תקשורת </w:t>
            </w:r>
            <w:r w:rsidRPr="00E07087">
              <w:rPr>
                <w:rFonts w:hint="eastAsia"/>
                <w:sz w:val="28"/>
                <w:szCs w:val="28"/>
                <w:rtl/>
              </w:rPr>
              <w:t>וטכנולוגים</w:t>
            </w:r>
            <w:r w:rsidRPr="00E07087">
              <w:rPr>
                <w:sz w:val="28"/>
                <w:szCs w:val="28"/>
                <w:rtl/>
              </w:rPr>
              <w:t xml:space="preserve"> </w:t>
            </w:r>
            <w:r w:rsidRPr="00E07087">
              <w:rPr>
                <w:rFonts w:hint="eastAsia"/>
                <w:sz w:val="28"/>
                <w:szCs w:val="28"/>
                <w:rtl/>
              </w:rPr>
              <w:t>רפואיים</w:t>
            </w:r>
            <w:r w:rsidRPr="00E07087">
              <w:rPr>
                <w:rFonts w:hint="cs"/>
                <w:sz w:val="28"/>
                <w:szCs w:val="28"/>
                <w:rtl/>
              </w:rPr>
              <w:t>);</w:t>
            </w:r>
          </w:p>
        </w:tc>
        <w:tc>
          <w:tcPr>
            <w:tcW w:w="1895" w:type="dxa"/>
          </w:tcPr>
          <w:p w:rsidR="006F077B" w:rsidRPr="00E07087" w:rsidP="00733F93">
            <w:pPr>
              <w:ind w:left="30"/>
              <w:jc w:val="center"/>
              <w:rPr>
                <w:sz w:val="28"/>
                <w:szCs w:val="28"/>
                <w:rtl/>
              </w:rPr>
            </w:pPr>
            <w:r>
              <w:rPr>
                <w:rFonts w:hint="cs"/>
                <w:sz w:val="28"/>
                <w:szCs w:val="28"/>
                <w:rtl/>
              </w:rPr>
              <w:t>47</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מרפאים בעיסוק;</w:t>
            </w:r>
          </w:p>
        </w:tc>
        <w:tc>
          <w:tcPr>
            <w:tcW w:w="1895" w:type="dxa"/>
          </w:tcPr>
          <w:p w:rsidR="006F077B" w:rsidRPr="00E07087" w:rsidP="00733F93">
            <w:pPr>
              <w:ind w:left="30"/>
              <w:jc w:val="center"/>
              <w:rPr>
                <w:sz w:val="28"/>
                <w:szCs w:val="28"/>
                <w:rtl/>
              </w:rPr>
            </w:pPr>
            <w:r>
              <w:rPr>
                <w:rFonts w:hint="cs"/>
                <w:sz w:val="28"/>
                <w:szCs w:val="28"/>
                <w:rtl/>
              </w:rPr>
              <w:t>49</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מפקחים ימיים;</w:t>
            </w:r>
          </w:p>
        </w:tc>
        <w:tc>
          <w:tcPr>
            <w:tcW w:w="1895" w:type="dxa"/>
          </w:tcPr>
          <w:p w:rsidR="006F077B" w:rsidRPr="00E07087" w:rsidP="00733F93">
            <w:pPr>
              <w:ind w:left="30"/>
              <w:jc w:val="center"/>
              <w:rPr>
                <w:sz w:val="28"/>
                <w:szCs w:val="28"/>
                <w:rtl/>
              </w:rPr>
            </w:pPr>
            <w:r>
              <w:rPr>
                <w:rFonts w:hint="cs"/>
                <w:sz w:val="28"/>
                <w:szCs w:val="28"/>
                <w:rtl/>
              </w:rPr>
              <w:t>61</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מקצ"ט</w:t>
            </w:r>
            <w:r w:rsidRPr="00E07087">
              <w:rPr>
                <w:rFonts w:hint="cs"/>
                <w:sz w:val="28"/>
                <w:szCs w:val="28"/>
                <w:rtl/>
              </w:rPr>
              <w:t>;</w:t>
            </w:r>
          </w:p>
        </w:tc>
        <w:tc>
          <w:tcPr>
            <w:tcW w:w="1895" w:type="dxa"/>
          </w:tcPr>
          <w:p w:rsidR="006F077B" w:rsidRPr="00E07087" w:rsidP="00733F93">
            <w:pPr>
              <w:ind w:left="30"/>
              <w:jc w:val="center"/>
              <w:rPr>
                <w:sz w:val="28"/>
                <w:szCs w:val="28"/>
                <w:rtl/>
              </w:rPr>
            </w:pPr>
            <w:r>
              <w:rPr>
                <w:rFonts w:hint="cs"/>
                <w:sz w:val="28"/>
                <w:szCs w:val="28"/>
                <w:rtl/>
              </w:rPr>
              <w:t>62</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סטודנטים;</w:t>
            </w:r>
          </w:p>
        </w:tc>
        <w:tc>
          <w:tcPr>
            <w:tcW w:w="1895" w:type="dxa"/>
          </w:tcPr>
          <w:p w:rsidR="006F077B" w:rsidRPr="00E07087" w:rsidP="00733F93">
            <w:pPr>
              <w:ind w:left="30"/>
              <w:jc w:val="center"/>
              <w:rPr>
                <w:sz w:val="28"/>
                <w:szCs w:val="28"/>
                <w:rtl/>
              </w:rPr>
            </w:pPr>
            <w:r>
              <w:rPr>
                <w:rFonts w:hint="cs"/>
                <w:sz w:val="28"/>
                <w:szCs w:val="28"/>
                <w:rtl/>
              </w:rPr>
              <w:t>71</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מתמחים במשפטים;</w:t>
            </w:r>
          </w:p>
        </w:tc>
        <w:tc>
          <w:tcPr>
            <w:tcW w:w="1895" w:type="dxa"/>
          </w:tcPr>
          <w:p w:rsidR="006F077B" w:rsidRPr="00E07087" w:rsidP="00733F93">
            <w:pPr>
              <w:ind w:left="30"/>
              <w:jc w:val="center"/>
              <w:rPr>
                <w:sz w:val="28"/>
                <w:szCs w:val="28"/>
                <w:rtl/>
              </w:rPr>
            </w:pPr>
            <w:r>
              <w:rPr>
                <w:rFonts w:hint="cs"/>
                <w:sz w:val="28"/>
                <w:szCs w:val="28"/>
                <w:rtl/>
              </w:rPr>
              <w:t>81</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Cs w:val="24"/>
              </w:rPr>
            </w:pPr>
            <w:r w:rsidRPr="00E07087">
              <w:rPr>
                <w:rFonts w:hint="cs"/>
                <w:sz w:val="28"/>
                <w:szCs w:val="28"/>
                <w:rtl/>
              </w:rPr>
              <w:t>נערים עובדים וחניכים;</w:t>
            </w:r>
          </w:p>
        </w:tc>
        <w:tc>
          <w:tcPr>
            <w:tcW w:w="1895" w:type="dxa"/>
          </w:tcPr>
          <w:p w:rsidR="006F077B" w:rsidRPr="00E07087" w:rsidP="00733F93">
            <w:pPr>
              <w:ind w:left="30"/>
              <w:jc w:val="center"/>
              <w:rPr>
                <w:sz w:val="28"/>
                <w:szCs w:val="28"/>
                <w:rtl/>
              </w:rPr>
            </w:pPr>
            <w:r>
              <w:rPr>
                <w:rFonts w:hint="cs"/>
                <w:sz w:val="28"/>
                <w:szCs w:val="28"/>
                <w:rtl/>
              </w:rPr>
              <w:t>--</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tl/>
              </w:rPr>
            </w:pPr>
            <w:r w:rsidRPr="00E07087">
              <w:rPr>
                <w:rFonts w:hint="cs"/>
                <w:sz w:val="28"/>
                <w:szCs w:val="28"/>
                <w:rtl/>
              </w:rPr>
              <w:t>קלדניות שופטים;</w:t>
            </w:r>
          </w:p>
        </w:tc>
        <w:tc>
          <w:tcPr>
            <w:tcW w:w="1895" w:type="dxa"/>
          </w:tcPr>
          <w:p w:rsidR="006F077B" w:rsidRPr="00E07087" w:rsidP="00733F93">
            <w:pPr>
              <w:ind w:left="30"/>
              <w:jc w:val="center"/>
              <w:rPr>
                <w:sz w:val="28"/>
                <w:szCs w:val="28"/>
                <w:rtl/>
              </w:rPr>
            </w:pPr>
            <w:r>
              <w:rPr>
                <w:rFonts w:hint="cs"/>
                <w:sz w:val="28"/>
                <w:szCs w:val="28"/>
                <w:rtl/>
              </w:rPr>
              <w:t>526</w:t>
            </w:r>
          </w:p>
        </w:tc>
      </w:tr>
      <w:tr w:rsidTr="00733F93">
        <w:tblPrEx>
          <w:tblW w:w="0" w:type="auto"/>
          <w:tblLayout w:type="fixed"/>
          <w:tblLook w:val="04A0"/>
        </w:tblPrEx>
        <w:tc>
          <w:tcPr>
            <w:tcW w:w="926" w:type="dxa"/>
            <w:shd w:val="clear" w:color="auto" w:fill="auto"/>
          </w:tcPr>
          <w:p w:rsidR="006F077B" w:rsidRPr="00E07087" w:rsidP="00733F93">
            <w:pPr>
              <w:numPr>
                <w:ilvl w:val="0"/>
                <w:numId w:val="9"/>
              </w:numPr>
              <w:spacing w:before="0" w:after="0" w:line="240" w:lineRule="auto"/>
              <w:rPr>
                <w:sz w:val="28"/>
                <w:szCs w:val="28"/>
                <w:rtl/>
              </w:rPr>
            </w:pPr>
          </w:p>
        </w:tc>
        <w:tc>
          <w:tcPr>
            <w:tcW w:w="5475" w:type="dxa"/>
            <w:shd w:val="clear" w:color="auto" w:fill="auto"/>
          </w:tcPr>
          <w:p w:rsidR="006F077B" w:rsidRPr="00E07087" w:rsidP="00733F93">
            <w:pPr>
              <w:ind w:left="30"/>
              <w:rPr>
                <w:sz w:val="28"/>
                <w:szCs w:val="28"/>
              </w:rPr>
            </w:pPr>
            <w:r w:rsidRPr="00E07087">
              <w:rPr>
                <w:rFonts w:hint="cs"/>
                <w:sz w:val="28"/>
                <w:szCs w:val="28"/>
                <w:rtl/>
              </w:rPr>
              <w:t>מעברי הגבול;</w:t>
            </w:r>
          </w:p>
        </w:tc>
        <w:tc>
          <w:tcPr>
            <w:tcW w:w="1895" w:type="dxa"/>
          </w:tcPr>
          <w:p w:rsidR="006F077B" w:rsidRPr="00E07087" w:rsidP="00733F93">
            <w:pPr>
              <w:ind w:left="30"/>
              <w:jc w:val="center"/>
              <w:rPr>
                <w:sz w:val="28"/>
                <w:szCs w:val="28"/>
                <w:rtl/>
              </w:rPr>
            </w:pPr>
            <w:r>
              <w:rPr>
                <w:rFonts w:hint="cs"/>
                <w:sz w:val="28"/>
                <w:szCs w:val="28"/>
                <w:rtl/>
              </w:rPr>
              <w:t>519</w:t>
            </w:r>
          </w:p>
        </w:tc>
      </w:tr>
    </w:tbl>
    <w:p w:rsidR="006F077B" w:rsidP="006F077B">
      <w:pPr>
        <w:rPr>
          <w:rtl/>
        </w:rPr>
      </w:pPr>
    </w:p>
    <w:p w:rsidR="006F077B" w:rsidP="006F077B">
      <w:pPr>
        <w:rPr>
          <w:rtl/>
        </w:rPr>
      </w:pPr>
    </w:p>
    <w:p w:rsidR="006F077B" w:rsidP="006F077B">
      <w:pPr>
        <w:rPr>
          <w:rtl/>
        </w:rPr>
      </w:pPr>
    </w:p>
    <w:p w:rsidR="006F077B" w:rsidP="006F077B">
      <w:pPr>
        <w:rPr>
          <w:rtl/>
        </w:rPr>
      </w:pPr>
    </w:p>
    <w:p w:rsidR="006F077B" w:rsidP="006F077B">
      <w:pPr>
        <w:rPr>
          <w:rtl/>
        </w:rPr>
      </w:pPr>
    </w:p>
    <w:p w:rsidR="006F077B" w:rsidP="006F077B">
      <w:pPr>
        <w:rPr>
          <w:rtl/>
        </w:rPr>
      </w:pPr>
    </w:p>
    <w:p w:rsidR="006F077B" w:rsidP="006F077B">
      <w:pPr>
        <w:rPr>
          <w:rtl/>
        </w:rPr>
      </w:pPr>
    </w:p>
    <w:p w:rsidR="006F077B" w:rsidP="006F077B">
      <w:pPr>
        <w:rPr>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46"/>
        <w:gridCol w:w="5292"/>
        <w:gridCol w:w="1958"/>
      </w:tblGrid>
      <w:tr w:rsidTr="00733F93">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046" w:type="dxa"/>
            <w:shd w:val="clear" w:color="auto" w:fill="auto"/>
          </w:tcPr>
          <w:p w:rsidR="006F077B" w:rsidRPr="00F225B4" w:rsidP="00733F93">
            <w:pPr>
              <w:jc w:val="center"/>
              <w:rPr>
                <w:sz w:val="28"/>
                <w:szCs w:val="28"/>
                <w:rtl/>
              </w:rPr>
            </w:pPr>
            <w:r w:rsidRPr="00F225B4">
              <w:rPr>
                <w:rFonts w:hint="cs"/>
                <w:sz w:val="28"/>
                <w:szCs w:val="28"/>
                <w:rtl/>
              </w:rPr>
              <w:t>מס סידורי</w:t>
            </w:r>
          </w:p>
        </w:tc>
        <w:tc>
          <w:tcPr>
            <w:tcW w:w="5292" w:type="dxa"/>
            <w:shd w:val="clear" w:color="auto" w:fill="auto"/>
          </w:tcPr>
          <w:p w:rsidR="006F077B" w:rsidRPr="00F225B4" w:rsidP="00733F93">
            <w:pPr>
              <w:jc w:val="center"/>
              <w:rPr>
                <w:sz w:val="28"/>
                <w:szCs w:val="28"/>
              </w:rPr>
            </w:pPr>
            <w:r w:rsidRPr="00F225B4">
              <w:rPr>
                <w:rFonts w:hint="cs"/>
                <w:sz w:val="28"/>
                <w:szCs w:val="28"/>
                <w:rtl/>
              </w:rPr>
              <w:t>שם הדירוג</w:t>
            </w:r>
          </w:p>
        </w:tc>
        <w:tc>
          <w:tcPr>
            <w:tcW w:w="1958" w:type="dxa"/>
            <w:shd w:val="clear" w:color="auto" w:fill="auto"/>
          </w:tcPr>
          <w:p w:rsidR="006F077B" w:rsidRPr="00F225B4" w:rsidP="00733F93">
            <w:pPr>
              <w:jc w:val="center"/>
              <w:rPr>
                <w:rtl/>
              </w:rPr>
            </w:pPr>
            <w:r w:rsidRPr="00F225B4">
              <w:rPr>
                <w:rFonts w:hint="cs"/>
                <w:rtl/>
              </w:rPr>
              <w:t xml:space="preserve">למען הנוחות להלן סמל </w:t>
            </w:r>
            <w:r>
              <w:rPr>
                <w:rFonts w:hint="cs"/>
                <w:rtl/>
              </w:rPr>
              <w:t xml:space="preserve">(קוד) </w:t>
            </w:r>
            <w:r w:rsidRPr="00F225B4">
              <w:rPr>
                <w:rFonts w:hint="cs"/>
                <w:rtl/>
              </w:rPr>
              <w:t>הדירוג בשירות המדינה</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Pr>
            </w:pPr>
            <w:r w:rsidRPr="00E07087">
              <w:rPr>
                <w:rFonts w:hint="cs"/>
                <w:sz w:val="28"/>
                <w:szCs w:val="28"/>
                <w:rtl/>
              </w:rPr>
              <w:t>רשות מקרקעי ישראל;</w:t>
            </w:r>
          </w:p>
        </w:tc>
        <w:tc>
          <w:tcPr>
            <w:tcW w:w="1958" w:type="dxa"/>
            <w:shd w:val="clear" w:color="auto" w:fill="auto"/>
          </w:tcPr>
          <w:p w:rsidR="006F077B" w:rsidRPr="007E3E44" w:rsidP="00733F93">
            <w:pPr>
              <w:jc w:val="center"/>
              <w:rPr>
                <w:rtl/>
              </w:rPr>
            </w:pPr>
            <w:r w:rsidRPr="007E3E44">
              <w:rPr>
                <w:rFonts w:hint="cs"/>
                <w:rtl/>
              </w:rPr>
              <w:t>565</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Pr>
            </w:pPr>
            <w:r w:rsidRPr="00E07087">
              <w:rPr>
                <w:rFonts w:hint="cs"/>
                <w:sz w:val="28"/>
                <w:szCs w:val="28"/>
                <w:rtl/>
              </w:rPr>
              <w:t>כבאים;</w:t>
            </w:r>
          </w:p>
        </w:tc>
        <w:tc>
          <w:tcPr>
            <w:tcW w:w="1958" w:type="dxa"/>
            <w:shd w:val="clear" w:color="auto" w:fill="auto"/>
          </w:tcPr>
          <w:p w:rsidR="006F077B" w:rsidRPr="007E3E44" w:rsidP="00733F93">
            <w:pPr>
              <w:jc w:val="center"/>
              <w:rPr>
                <w:rtl/>
              </w:rPr>
            </w:pPr>
            <w:r w:rsidRPr="007E3E44">
              <w:rPr>
                <w:rFonts w:hint="cs"/>
                <w:rtl/>
              </w:rPr>
              <w:t>202</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tl/>
              </w:rPr>
            </w:pPr>
            <w:r w:rsidRPr="00E07087">
              <w:rPr>
                <w:rFonts w:hint="cs"/>
                <w:sz w:val="28"/>
                <w:szCs w:val="28"/>
                <w:rtl/>
              </w:rPr>
              <w:t>עובדים סוציאליים;</w:t>
            </w:r>
          </w:p>
        </w:tc>
        <w:tc>
          <w:tcPr>
            <w:tcW w:w="1958" w:type="dxa"/>
            <w:shd w:val="clear" w:color="auto" w:fill="auto"/>
          </w:tcPr>
          <w:p w:rsidR="006F077B" w:rsidRPr="007E3E44" w:rsidP="00733F93">
            <w:pPr>
              <w:jc w:val="center"/>
              <w:rPr>
                <w:rtl/>
              </w:rPr>
            </w:pPr>
            <w:r>
              <w:rPr>
                <w:rFonts w:hint="cs"/>
                <w:rtl/>
              </w:rPr>
              <w:t>24, 124</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tl/>
              </w:rPr>
            </w:pPr>
            <w:r w:rsidRPr="00E07087">
              <w:rPr>
                <w:rFonts w:hint="cs"/>
                <w:sz w:val="28"/>
                <w:szCs w:val="28"/>
                <w:rtl/>
              </w:rPr>
              <w:t xml:space="preserve">שירות החוץ; </w:t>
            </w:r>
          </w:p>
        </w:tc>
        <w:tc>
          <w:tcPr>
            <w:tcW w:w="1958" w:type="dxa"/>
            <w:shd w:val="clear" w:color="auto" w:fill="auto"/>
          </w:tcPr>
          <w:p w:rsidR="006F077B" w:rsidRPr="007E3E44" w:rsidP="00733F93">
            <w:pPr>
              <w:jc w:val="center"/>
              <w:rPr>
                <w:rtl/>
              </w:rPr>
            </w:pPr>
            <w:r w:rsidRPr="007E3E44">
              <w:rPr>
                <w:rFonts w:hint="cs"/>
                <w:rtl/>
              </w:rPr>
              <w:t>9</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Pr>
            </w:pPr>
            <w:r w:rsidRPr="00E07087">
              <w:rPr>
                <w:rFonts w:hint="cs"/>
                <w:sz w:val="28"/>
                <w:szCs w:val="28"/>
                <w:rtl/>
              </w:rPr>
              <w:t>יהלום;</w:t>
            </w:r>
          </w:p>
        </w:tc>
        <w:tc>
          <w:tcPr>
            <w:tcW w:w="1958" w:type="dxa"/>
            <w:shd w:val="clear" w:color="auto" w:fill="auto"/>
          </w:tcPr>
          <w:p w:rsidR="006F077B" w:rsidRPr="007E3E44" w:rsidP="00733F93">
            <w:pPr>
              <w:jc w:val="center"/>
              <w:rPr>
                <w:rtl/>
              </w:rPr>
            </w:pPr>
            <w:r w:rsidRPr="007E3E44">
              <w:rPr>
                <w:rFonts w:hint="cs"/>
                <w:rtl/>
              </w:rPr>
              <w:t>547</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Pr>
            </w:pPr>
            <w:r w:rsidRPr="00E07087">
              <w:rPr>
                <w:rFonts w:hint="cs"/>
                <w:sz w:val="28"/>
                <w:szCs w:val="28"/>
                <w:rtl/>
              </w:rPr>
              <w:t xml:space="preserve">עוזרים משפטיים; </w:t>
            </w:r>
          </w:p>
        </w:tc>
        <w:tc>
          <w:tcPr>
            <w:tcW w:w="1958" w:type="dxa"/>
            <w:shd w:val="clear" w:color="auto" w:fill="auto"/>
          </w:tcPr>
          <w:p w:rsidR="006F077B" w:rsidRPr="007E3E44" w:rsidP="00733F93">
            <w:pPr>
              <w:jc w:val="center"/>
              <w:rPr>
                <w:rtl/>
              </w:rPr>
            </w:pPr>
            <w:r w:rsidRPr="007E3E44">
              <w:rPr>
                <w:rFonts w:hint="cs"/>
                <w:rtl/>
              </w:rPr>
              <w:t>562</w:t>
            </w:r>
          </w:p>
        </w:tc>
      </w:tr>
      <w:tr w:rsidTr="00733F93">
        <w:tblPrEx>
          <w:tblW w:w="0" w:type="auto"/>
          <w:tblLook w:val="04A0"/>
        </w:tblPrEx>
        <w:tc>
          <w:tcPr>
            <w:tcW w:w="1046" w:type="dxa"/>
            <w:shd w:val="clear" w:color="auto" w:fill="auto"/>
          </w:tcPr>
          <w:p w:rsidR="006F077B" w:rsidRPr="00E07087" w:rsidP="00733F93">
            <w:pPr>
              <w:numPr>
                <w:ilvl w:val="0"/>
                <w:numId w:val="9"/>
              </w:numPr>
              <w:spacing w:before="0" w:after="0" w:line="240" w:lineRule="auto"/>
              <w:rPr>
                <w:sz w:val="28"/>
                <w:szCs w:val="28"/>
                <w:rtl/>
              </w:rPr>
            </w:pPr>
          </w:p>
        </w:tc>
        <w:tc>
          <w:tcPr>
            <w:tcW w:w="5292" w:type="dxa"/>
            <w:shd w:val="clear" w:color="auto" w:fill="auto"/>
          </w:tcPr>
          <w:p w:rsidR="006F077B" w:rsidRPr="00E07087" w:rsidP="00733F93">
            <w:pPr>
              <w:rPr>
                <w:sz w:val="28"/>
                <w:szCs w:val="28"/>
              </w:rPr>
            </w:pPr>
            <w:r w:rsidRPr="00E07087">
              <w:rPr>
                <w:rFonts w:hint="cs"/>
                <w:sz w:val="28"/>
                <w:szCs w:val="28"/>
                <w:rtl/>
              </w:rPr>
              <w:t xml:space="preserve">יחידת </w:t>
            </w:r>
            <w:r w:rsidRPr="00E07087">
              <w:rPr>
                <w:rFonts w:hint="cs"/>
                <w:sz w:val="28"/>
                <w:szCs w:val="28"/>
                <w:rtl/>
              </w:rPr>
              <w:t>הפיצו"ח</w:t>
            </w:r>
            <w:r>
              <w:rPr>
                <w:rFonts w:hint="cs"/>
                <w:sz w:val="28"/>
                <w:szCs w:val="28"/>
                <w:rtl/>
              </w:rPr>
              <w:t xml:space="preserve"> (ויחידת </w:t>
            </w:r>
            <w:r>
              <w:rPr>
                <w:rFonts w:hint="cs"/>
                <w:sz w:val="28"/>
                <w:szCs w:val="28"/>
                <w:rtl/>
              </w:rPr>
              <w:t>הפיצו"ח</w:t>
            </w:r>
            <w:r>
              <w:rPr>
                <w:rFonts w:hint="cs"/>
                <w:sz w:val="28"/>
                <w:szCs w:val="28"/>
                <w:rtl/>
              </w:rPr>
              <w:t xml:space="preserve"> 90)</w:t>
            </w:r>
          </w:p>
        </w:tc>
        <w:tc>
          <w:tcPr>
            <w:tcW w:w="1958" w:type="dxa"/>
            <w:shd w:val="clear" w:color="auto" w:fill="auto"/>
          </w:tcPr>
          <w:p w:rsidR="006F077B" w:rsidRPr="007E3E44" w:rsidP="00733F93">
            <w:pPr>
              <w:jc w:val="center"/>
              <w:rPr>
                <w:rtl/>
              </w:rPr>
            </w:pPr>
            <w:r w:rsidRPr="007E3E44">
              <w:rPr>
                <w:rFonts w:hint="cs"/>
                <w:rtl/>
              </w:rPr>
              <w:t>567</w:t>
            </w:r>
          </w:p>
        </w:tc>
      </w:tr>
    </w:tbl>
    <w:p w:rsidR="006F077B" w:rsidP="006F077B">
      <w:pPr>
        <w:rPr>
          <w:rtl/>
        </w:rPr>
      </w:pPr>
    </w:p>
    <w:p w:rsidR="006F077B" w:rsidP="006F077B">
      <w:pPr>
        <w:rPr>
          <w:rtl/>
        </w:rPr>
      </w:pPr>
    </w:p>
    <w:p w:rsidR="006F077B" w:rsidRPr="0052747B" w:rsidP="006F077B">
      <w:pPr>
        <w:rPr>
          <w:rtl/>
        </w:rPr>
      </w:pPr>
      <w:r>
        <w:rPr>
          <w:rFonts w:hint="cs"/>
          <w:rtl/>
        </w:rPr>
        <w:t xml:space="preserve">מובהר כי נושא החלת הסכם המסגרת העתידי ובכלל זה המענק החד פעמי, לגבי עובדים בדירוג </w:t>
      </w:r>
      <w:r>
        <w:rPr>
          <w:rFonts w:hint="cs"/>
          <w:rtl/>
        </w:rPr>
        <w:t>הוטרינרים</w:t>
      </w:r>
      <w:r>
        <w:rPr>
          <w:rFonts w:hint="cs"/>
          <w:rtl/>
        </w:rPr>
        <w:t xml:space="preserve"> ולגבי עובדים בדירוג מחקר אזרחי, מצוי עדיין בדיונים </w:t>
      </w:r>
      <w:r>
        <w:rPr>
          <w:rFonts w:ascii="FrankRuehl" w:hAnsi="FrankRuehl" w:hint="cs"/>
          <w:rtl/>
        </w:rPr>
        <w:t>עם ההסתדרות הכללית</w:t>
      </w:r>
      <w:r>
        <w:rPr>
          <w:rFonts w:hint="cs"/>
          <w:rtl/>
        </w:rPr>
        <w:t xml:space="preserve">. מובהר כי הדירוגים האמורים אינם מפורטים בנספח ולא תשולם להם מקדמה לפי חוזר זה. </w:t>
      </w:r>
      <w:bookmarkStart w:id="5" w:name="start"/>
      <w:bookmarkEnd w:id="5"/>
    </w:p>
    <w:p w:rsidR="006F077B" w:rsidRPr="00963945" w:rsidP="006F077B">
      <w:pPr>
        <w:rPr>
          <w:rtl/>
        </w:rPr>
      </w:pPr>
    </w:p>
    <w:p w:rsidR="003C7BC8" w:rsidP="006F077B">
      <w:pPr>
        <w:ind w:left="651"/>
        <w:jc w:val="left"/>
      </w:pPr>
    </w:p>
    <w:sectPr w:rsidSect="00851D4A">
      <w:headerReference w:type="even" r:id="rId7"/>
      <w:headerReference w:type="default" r:id="rId8"/>
      <w:footerReference w:type="even" r:id="rId9"/>
      <w:footerReference w:type="default" r:id="rId10"/>
      <w:headerReference w:type="first" r:id="rId11"/>
      <w:footerReference w:type="first" r:id="rId12"/>
      <w:pgSz w:w="11906" w:h="16838"/>
      <w:pgMar w:top="2410" w:right="1800" w:bottom="1440" w:left="1800" w:header="708" w:footer="22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endnote w:type="separator" w:id="0">
    <w:p w:rsidR="00E9300E" w:rsidP="00B8755D">
      <w:pPr>
        <w:spacing w:before="0" w:after="0" w:line="240" w:lineRule="auto"/>
      </w:pPr>
      <w:r>
        <w:separator/>
      </w:r>
    </w:p>
  </w:endnote>
  <w:endnote w:type="continuationSeparator" w:id="1">
    <w:p w:rsidR="00E9300E" w:rsidP="00B8755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FrankRuehl">
    <w:panose1 w:val="020E0503060101010101"/>
    <w:charset w:val="B1"/>
    <w:family w:val="swiss"/>
    <w:pitch w:val="variable"/>
    <w:sig w:usb0="00000801" w:usb1="00000000" w:usb2="00000000" w:usb3="00000000" w:csb0="00000020"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802060401010101"/>
    <w:charset w:val="B1"/>
    <w:family w:val="swiss"/>
    <w:pitch w:val="variable"/>
    <w:sig w:usb0="00000801" w:usb1="00000000" w:usb2="00000000" w:usb3="00000000" w:csb0="00000020" w:csb1="00000000"/>
  </w:font>
  <w:font w:name="Segoe UI">
    <w:panose1 w:val="020B0502040204020203"/>
    <w:charset w:val="00"/>
    <w:family w:val="swiss"/>
    <w:pitch w:val="variable"/>
    <w:sig w:usb0="E4002EFF" w:usb1="C000E47F" w:usb2="00000009" w:usb3="00000000" w:csb0="000001FF" w:csb1="00000000"/>
  </w:font>
  <w:font w:name="Guttman Yad">
    <w:panose1 w:val="02010401010101010101"/>
    <w:charset w:val="B1"/>
    <w:family w:val="auto"/>
    <w:pitch w:val="variable"/>
    <w:sig w:usb0="00000801" w:usb1="40000000" w:usb2="00000000" w:usb3="00000000" w:csb0="0000002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B4D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Style w:val="TableGrid"/>
      <w:tblCaption w:val="HozSacharBottomTitle"/>
      <w:tblDescription w:val="פרטי התקשרות"/>
      <w:tblpPr w:leftFromText="180" w:rightFromText="180" w:vertAnchor="text" w:horzAnchor="margin" w:tblpXSpec="center" w:tblpY="-249"/>
      <w:tblOverlap w:val="never"/>
      <w:bidiVisual/>
      <w:tblW w:w="105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3" w:type="dxa"/>
      </w:tblCellMar>
      <w:tblLook w:val="04A0"/>
    </w:tblPr>
    <w:tblGrid>
      <w:gridCol w:w="453"/>
      <w:gridCol w:w="2345"/>
      <w:gridCol w:w="453"/>
      <w:gridCol w:w="2150"/>
      <w:gridCol w:w="453"/>
      <w:gridCol w:w="4715"/>
    </w:tblGrid>
    <w:tr w:rsidTr="00DF0CEA">
      <w:tblPrEx>
        <w:tblW w:w="105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3" w:type="dxa"/>
        </w:tblCellMar>
        <w:tblLook w:val="04A0"/>
      </w:tblPrEx>
      <w:trPr>
        <w:trHeight w:val="20"/>
      </w:trPr>
      <w:tc>
        <w:tcPr>
          <w:tcW w:w="453" w:type="dxa"/>
          <w:vAlign w:val="center"/>
        </w:tcPr>
        <w:p w:rsidR="00EB73B6" w:rsidP="00EB73B6">
          <w:pPr>
            <w:pStyle w:val="Footer"/>
            <w:jc w:val="center"/>
            <w:rPr>
              <w:rtl/>
            </w:rPr>
          </w:pPr>
          <w:r>
            <w:rPr>
              <w:rFonts w:hint="cs"/>
              <w:noProof/>
              <w:rtl/>
            </w:rPr>
            <w:drawing>
              <wp:inline distT="0" distB="0" distL="0" distR="0">
                <wp:extent cx="216000" cy="216000"/>
                <wp:effectExtent l="0" t="0" r="0" b="0"/>
                <wp:docPr id="212" name="Picture 19" title="מיקו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address.png"/>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c>
      <w:tc>
        <w:tcPr>
          <w:tcW w:w="2345" w:type="dxa"/>
          <w:vAlign w:val="center"/>
        </w:tcPr>
        <w:p w:rsidR="00EB73B6" w:rsidP="00EB73B6">
          <w:pPr>
            <w:pStyle w:val="Footer"/>
            <w:rPr>
              <w:rFonts w:asciiTheme="minorHAnsi" w:hAnsiTheme="minorHAnsi" w:cstheme="minorHAnsi"/>
              <w:color w:val="404040" w:themeColor="text1" w:themeTint="BF"/>
              <w:sz w:val="20"/>
              <w:szCs w:val="22"/>
              <w:rtl/>
            </w:rPr>
          </w:pPr>
          <w:r w:rsidRPr="009D2279">
            <w:rPr>
              <w:rFonts w:asciiTheme="minorHAnsi" w:hAnsiTheme="minorHAnsi" w:cstheme="minorHAnsi"/>
              <w:color w:val="404040" w:themeColor="text1" w:themeTint="BF"/>
              <w:sz w:val="20"/>
              <w:szCs w:val="22"/>
              <w:rtl/>
            </w:rPr>
            <w:t xml:space="preserve">רח' קפלן </w:t>
          </w:r>
          <w:r>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1</w:t>
          </w:r>
          <w:r>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ירושלים</w:t>
          </w:r>
        </w:p>
        <w:p w:rsidR="00EB73B6" w:rsidRPr="00F31839" w:rsidP="00EB73B6">
          <w:pPr>
            <w:pStyle w:val="Footer"/>
            <w:jc w:val="left"/>
            <w:rPr>
              <w:sz w:val="20"/>
              <w:szCs w:val="22"/>
              <w:rtl/>
            </w:rPr>
          </w:pPr>
          <w:r w:rsidRPr="009D2279">
            <w:rPr>
              <w:rFonts w:asciiTheme="minorHAnsi" w:hAnsiTheme="minorHAnsi" w:cstheme="minorHAnsi"/>
              <w:color w:val="404040" w:themeColor="text1" w:themeTint="BF"/>
              <w:sz w:val="20"/>
              <w:szCs w:val="22"/>
              <w:rtl/>
            </w:rPr>
            <w:t>9103002</w:t>
          </w:r>
          <w:r w:rsidRPr="009D2279">
            <w:rPr>
              <w:rFonts w:asciiTheme="minorHAnsi" w:hAnsiTheme="minorHAnsi" w:cstheme="minorHAnsi" w:hint="cs"/>
              <w:color w:val="404040" w:themeColor="text1" w:themeTint="BF"/>
              <w:sz w:val="20"/>
              <w:szCs w:val="22"/>
              <w:rtl/>
            </w:rPr>
            <w:t xml:space="preserve"> </w:t>
          </w:r>
          <w:r>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ת.ד</w:t>
          </w:r>
          <w:r w:rsidRPr="009D2279">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3100</w:t>
          </w:r>
        </w:p>
      </w:tc>
      <w:tc>
        <w:tcPr>
          <w:tcW w:w="453" w:type="dxa"/>
          <w:vAlign w:val="center"/>
        </w:tcPr>
        <w:p w:rsidR="00EB73B6" w:rsidP="00EB73B6">
          <w:pPr>
            <w:pStyle w:val="Footer"/>
            <w:jc w:val="center"/>
          </w:pPr>
          <w:r>
            <w:rPr>
              <w:noProof/>
            </w:rPr>
            <w:drawing>
              <wp:inline distT="0" distB="0" distL="0" distR="0">
                <wp:extent cx="216000" cy="224186"/>
                <wp:effectExtent l="0" t="0" r="0" b="4445"/>
                <wp:docPr id="213" name="Picture 20" title="טלפו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phone.png"/>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a:xfrm flipH="1">
                          <a:off x="0" y="0"/>
                          <a:ext cx="216000" cy="224186"/>
                        </a:xfrm>
                        <a:prstGeom prst="rect">
                          <a:avLst/>
                        </a:prstGeom>
                      </pic:spPr>
                    </pic:pic>
                  </a:graphicData>
                </a:graphic>
              </wp:inline>
            </w:drawing>
          </w:r>
        </w:p>
      </w:tc>
      <w:tc>
        <w:tcPr>
          <w:tcW w:w="2150" w:type="dxa"/>
          <w:vAlign w:val="center"/>
        </w:tcPr>
        <w:p w:rsidR="00EB73B6" w:rsidRPr="009D2279" w:rsidP="00EB73B6">
          <w:pPr>
            <w:pStyle w:val="Footer"/>
            <w:jc w:val="left"/>
            <w:rPr>
              <w:rFonts w:asciiTheme="minorHAnsi" w:hAnsiTheme="minorHAnsi" w:cstheme="minorHAnsi"/>
              <w:color w:val="404040" w:themeColor="text1" w:themeTint="BF"/>
              <w:sz w:val="20"/>
              <w:szCs w:val="22"/>
              <w:rtl/>
            </w:rPr>
          </w:pPr>
          <w:r w:rsidRPr="009D2279">
            <w:rPr>
              <w:rFonts w:asciiTheme="minorHAnsi" w:hAnsiTheme="minorHAnsi" w:cstheme="minorHAnsi"/>
              <w:color w:val="404040" w:themeColor="text1" w:themeTint="BF"/>
              <w:sz w:val="20"/>
              <w:szCs w:val="22"/>
              <w:rtl/>
            </w:rPr>
            <w:t>טל'</w:t>
          </w:r>
          <w:r>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5317</w:t>
          </w:r>
          <w:r>
            <w:rPr>
              <w:rFonts w:asciiTheme="minorHAnsi" w:hAnsiTheme="minorHAnsi" w:cstheme="minorHAnsi" w:hint="cs"/>
              <w:color w:val="404040" w:themeColor="text1" w:themeTint="BF"/>
              <w:sz w:val="20"/>
              <w:szCs w:val="22"/>
              <w:rtl/>
            </w:rPr>
            <w:t>189</w:t>
          </w:r>
          <w:r w:rsidRPr="009D2279">
            <w:rPr>
              <w:rFonts w:asciiTheme="minorHAnsi" w:hAnsiTheme="minorHAnsi" w:cstheme="minorHAnsi" w:hint="cs"/>
              <w:color w:val="404040" w:themeColor="text1" w:themeTint="BF"/>
              <w:sz w:val="20"/>
              <w:szCs w:val="22"/>
              <w:rtl/>
            </w:rPr>
            <w:t xml:space="preserve"> -</w:t>
          </w:r>
          <w:r w:rsidRPr="009D2279">
            <w:rPr>
              <w:rFonts w:asciiTheme="minorHAnsi" w:hAnsiTheme="minorHAnsi" w:cstheme="minorHAnsi"/>
              <w:color w:val="404040" w:themeColor="text1" w:themeTint="BF"/>
              <w:sz w:val="20"/>
              <w:szCs w:val="22"/>
              <w:rtl/>
            </w:rPr>
            <w:t xml:space="preserve"> 02</w:t>
          </w:r>
        </w:p>
        <w:p w:rsidR="00EB73B6" w:rsidP="00EB73B6">
          <w:pPr>
            <w:pStyle w:val="Footer"/>
            <w:jc w:val="left"/>
            <w:rPr>
              <w:rtl/>
            </w:rPr>
          </w:pPr>
        </w:p>
      </w:tc>
      <w:tc>
        <w:tcPr>
          <w:tcW w:w="453" w:type="dxa"/>
          <w:vAlign w:val="center"/>
        </w:tcPr>
        <w:p w:rsidR="00EB73B6" w:rsidP="00EB73B6">
          <w:pPr>
            <w:pStyle w:val="Footer"/>
            <w:jc w:val="center"/>
            <w:rPr>
              <w:rtl/>
            </w:rPr>
          </w:pPr>
          <w:r>
            <w:rPr>
              <w:rFonts w:hint="cs"/>
              <w:noProof/>
              <w:rtl/>
            </w:rPr>
            <w:drawing>
              <wp:inline distT="0" distB="0" distL="0" distR="0">
                <wp:extent cx="216000" cy="216000"/>
                <wp:effectExtent l="0" t="0" r="0" b="0"/>
                <wp:docPr id="214" name="Picture 21" title="ק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web.png"/>
                        <pic:cNvPicPr/>
                      </pic:nvPicPr>
                      <pic:blipFill>
                        <a:blip xmlns:r="http://schemas.openxmlformats.org/officeDocument/2006/relationships" r:embed="rId3">
                          <a:extLst>
                            <a:ext xmlns:a="http://schemas.openxmlformats.org/drawingml/2006/main" uri="{28A0092B-C50C-407E-A947-70E740481C1C}">
                              <a14:useLocalDpi xmlns:a14="http://schemas.microsoft.com/office/drawing/2010/main" val="0"/>
                            </a:ext>
                          </a:extLst>
                        </a:blip>
                        <a:stretch>
                          <a:fillRect/>
                        </a:stretch>
                      </pic:blipFill>
                      <pic:spPr>
                        <a:xfrm flipH="1">
                          <a:off x="0" y="0"/>
                          <a:ext cx="216000" cy="216000"/>
                        </a:xfrm>
                        <a:prstGeom prst="rect">
                          <a:avLst/>
                        </a:prstGeom>
                      </pic:spPr>
                    </pic:pic>
                  </a:graphicData>
                </a:graphic>
              </wp:inline>
            </w:drawing>
          </w:r>
        </w:p>
      </w:tc>
      <w:tc>
        <w:tcPr>
          <w:tcW w:w="4715" w:type="dxa"/>
          <w:vAlign w:val="center"/>
        </w:tcPr>
        <w:p w:rsidR="00EB73B6" w:rsidRPr="00080329" w:rsidP="00EB73B6">
          <w:pPr>
            <w:pStyle w:val="Footer"/>
            <w:rPr>
              <w:rStyle w:val="Hyperlink"/>
              <w:rFonts w:asciiTheme="minorHAnsi" w:hAnsiTheme="minorHAnsi" w:cstheme="minorHAnsi"/>
              <w:sz w:val="28"/>
              <w:szCs w:val="28"/>
              <w:rtl/>
            </w:rPr>
          </w:pPr>
          <w:r>
            <w:rPr>
              <w:rFonts w:asciiTheme="minorHAnsi" w:hAnsiTheme="minorHAnsi" w:cstheme="minorHAnsi" w:hint="cs"/>
              <w:color w:val="404040" w:themeColor="text1" w:themeTint="BF"/>
              <w:sz w:val="22"/>
              <w:szCs w:val="22"/>
              <w:rtl/>
            </w:rPr>
            <w:t>מערכת חוזרים</w:t>
          </w:r>
          <w:r>
            <w:rPr>
              <w:rFonts w:hint="cs"/>
              <w:rtl/>
            </w:rPr>
            <w:t>:</w:t>
          </w:r>
          <w:r>
            <w:rPr>
              <w:rtl/>
            </w:rPr>
            <w:tab/>
          </w:r>
          <w:hyperlink r:id="rId4" w:history="1">
            <w:r w:rsidRPr="00080329">
              <w:rPr>
                <w:rStyle w:val="Hyperlink"/>
                <w:rFonts w:asciiTheme="minorHAnsi" w:hAnsiTheme="minorHAnsi" w:cstheme="minorHAnsi"/>
                <w:color w:val="365F91" w:themeColor="accent1" w:themeShade="BF"/>
                <w:sz w:val="22"/>
                <w:szCs w:val="22"/>
              </w:rPr>
              <w:t>www.</w:t>
            </w:r>
            <w:r w:rsidRPr="00080329">
              <w:rPr>
                <w:rStyle w:val="Hyperlink"/>
                <w:rFonts w:asciiTheme="minorHAnsi" w:hAnsiTheme="minorHAnsi" w:cstheme="minorHAnsi" w:hint="cs"/>
                <w:color w:val="365F91" w:themeColor="accent1" w:themeShade="BF"/>
                <w:sz w:val="22"/>
                <w:szCs w:val="22"/>
              </w:rPr>
              <w:t>hozrimsachar.mof.gov</w:t>
            </w:r>
            <w:r w:rsidRPr="00080329">
              <w:rPr>
                <w:rStyle w:val="Hyperlink"/>
                <w:rFonts w:asciiTheme="minorHAnsi" w:hAnsiTheme="minorHAnsi" w:cstheme="minorHAnsi"/>
                <w:color w:val="365F91" w:themeColor="accent1" w:themeShade="BF"/>
                <w:sz w:val="22"/>
                <w:szCs w:val="22"/>
              </w:rPr>
              <w:t>.il</w:t>
            </w:r>
          </w:hyperlink>
        </w:p>
        <w:p w:rsidR="00EB73B6" w:rsidRPr="00080329" w:rsidP="00EB73B6">
          <w:pPr>
            <w:pStyle w:val="Footer"/>
            <w:rPr>
              <w:rtl/>
            </w:rPr>
          </w:pPr>
          <w:r>
            <w:rPr>
              <w:rFonts w:asciiTheme="minorHAnsi" w:hAnsiTheme="minorHAnsi" w:cstheme="minorHAnsi" w:hint="cs"/>
              <w:color w:val="404040" w:themeColor="text1" w:themeTint="BF"/>
              <w:sz w:val="22"/>
              <w:szCs w:val="22"/>
              <w:rtl/>
            </w:rPr>
            <w:t>דוא"ל:</w:t>
          </w:r>
          <w:r>
            <w:rPr>
              <w:rFonts w:asciiTheme="minorHAnsi" w:hAnsiTheme="minorHAnsi" w:cstheme="minorHAnsi"/>
              <w:color w:val="404040" w:themeColor="text1" w:themeTint="BF"/>
              <w:sz w:val="22"/>
              <w:szCs w:val="22"/>
              <w:rtl/>
            </w:rPr>
            <w:tab/>
          </w:r>
          <w:hyperlink r:id="rId5" w:history="1">
            <w:r>
              <w:rPr>
                <w:rStyle w:val="Hyperlink"/>
                <w:rFonts w:ascii="Calibri" w:hAnsi="Calibri" w:cs="Calibri"/>
                <w:color w:val="0563C1"/>
                <w:sz w:val="22"/>
                <w:szCs w:val="22"/>
              </w:rPr>
              <w:t>Pamercal@mof.gov.il</w:t>
            </w:r>
          </w:hyperlink>
        </w:p>
      </w:tc>
    </w:tr>
  </w:tbl>
  <w:p w:rsidR="0022663B" w:rsidRPr="00EB73B6" w:rsidP="00F318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B4D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footnote w:type="separator" w:id="0">
    <w:p w:rsidR="00E9300E" w:rsidP="00B8755D">
      <w:pPr>
        <w:spacing w:before="0" w:after="0" w:line="240" w:lineRule="auto"/>
      </w:pPr>
      <w:r>
        <w:separator/>
      </w:r>
    </w:p>
  </w:footnote>
  <w:footnote w:type="continuationSeparator" w:id="1">
    <w:p w:rsidR="00E9300E" w:rsidP="00B8755D">
      <w:pPr>
        <w:spacing w:before="0" w:after="0" w:line="240" w:lineRule="auto"/>
      </w:pPr>
      <w:r>
        <w:continuationSeparator/>
      </w:r>
    </w:p>
  </w:footnote>
  <w:footnote w:id="2">
    <w:p w:rsidR="006F077B" w:rsidP="006F077B">
      <w:pPr>
        <w:pStyle w:val="ListParagraph"/>
        <w:pBdr>
          <w:top w:val="nil"/>
          <w:left w:val="nil"/>
          <w:bottom w:val="nil"/>
          <w:right w:val="nil"/>
          <w:between w:val="nil"/>
          <w:bar w:val="nil"/>
        </w:pBdr>
        <w:spacing w:line="276" w:lineRule="auto"/>
        <w:ind w:left="1080"/>
        <w:contextualSpacing w:val="0"/>
        <w:rPr>
          <w:rFonts w:ascii="FrankRuehl" w:hAnsi="FrankRuehl"/>
          <w:rtl/>
        </w:rPr>
      </w:pPr>
      <w:r>
        <w:rPr>
          <w:rStyle w:val="FootnoteReference"/>
        </w:rPr>
        <w:footnoteRef/>
      </w:r>
      <w:r>
        <w:rPr>
          <w:rtl/>
        </w:rPr>
        <w:t xml:space="preserve"> </w:t>
      </w:r>
      <w:r w:rsidRPr="001A6F08">
        <w:rPr>
          <w:rFonts w:ascii="FrankRuehl" w:hAnsi="FrankRuehl" w:hint="cs"/>
          <w:sz w:val="22"/>
          <w:szCs w:val="22"/>
          <w:rtl/>
        </w:rPr>
        <w:t xml:space="preserve">יצוין כי במסגרת ההסכם שעתיד להיחתם ייקבעו הכללים לעניין זכאות עובד ששהה </w:t>
      </w:r>
      <w:r w:rsidRPr="001A6F08">
        <w:rPr>
          <w:rFonts w:ascii="FrankRuehl" w:hAnsi="FrankRuehl"/>
          <w:sz w:val="22"/>
          <w:szCs w:val="22"/>
          <w:rtl/>
        </w:rPr>
        <w:t>בחופשה ללא תשלום או בחופשה שדינה כדין חופשה ללא תשלום</w:t>
      </w:r>
      <w:r w:rsidRPr="001A6F08">
        <w:rPr>
          <w:rFonts w:ascii="FrankRuehl" w:hAnsi="FrankRuehl" w:hint="cs"/>
          <w:sz w:val="22"/>
          <w:szCs w:val="22"/>
          <w:rtl/>
        </w:rPr>
        <w:t xml:space="preserve"> </w:t>
      </w:r>
      <w:r w:rsidRPr="001A6F08">
        <w:rPr>
          <w:rFonts w:ascii="FrankRuehl" w:hAnsi="FrankRuehl" w:hint="cs"/>
          <w:sz w:val="22"/>
          <w:szCs w:val="22"/>
          <w:rtl/>
        </w:rPr>
        <w:t>במהלך תקופת האכשרה, למענק החד פעמי.</w:t>
      </w:r>
      <w:r w:rsidRPr="001A6F08">
        <w:rPr>
          <w:rFonts w:ascii="FrankRuehl" w:hAnsi="FrankRuehl"/>
          <w:sz w:val="22"/>
          <w:szCs w:val="22"/>
          <w:rtl/>
        </w:rPr>
        <w:t xml:space="preserve"> </w:t>
      </w:r>
    </w:p>
    <w:p w:rsidR="006F077B" w:rsidP="006F077B">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B4D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B73B6">
    <w:pPr>
      <w:pStyle w:val="Header"/>
    </w:pPr>
    <w:r>
      <w:rPr>
        <w:noProof/>
        <w:szCs w:val="24"/>
        <w:rtl/>
      </w:rPr>
      <w:drawing>
        <wp:anchor distT="0" distB="0" distL="114300" distR="114300" simplePos="0" relativeHeight="251658240" behindDoc="0" locked="0" layoutInCell="1" allowOverlap="1">
          <wp:simplePos x="0" y="0"/>
          <wp:positionH relativeFrom="column">
            <wp:posOffset>-1096976</wp:posOffset>
          </wp:positionH>
          <wp:positionV relativeFrom="paragraph">
            <wp:posOffset>-349885</wp:posOffset>
          </wp:positionV>
          <wp:extent cx="7473950" cy="1376680"/>
          <wp:effectExtent l="0" t="0" r="0" b="0"/>
          <wp:wrapNone/>
          <wp:docPr id="1" name="Picture 1" title="HozSacharKlal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tzar-chozrim_red.png"/>
                  <pic:cNvPicPr/>
                </pic:nvPicPr>
                <pic:blipFill>
                  <a:blip xmlns:r="http://schemas.openxmlformats.org/officeDocument/2006/relationships" r:embed="rId1" cstate="print">
                    <a:extLst>
                      <a:ext xmlns:a="http://schemas.openxmlformats.org/drawingml/2006/main" uri="{28A0092B-C50C-407E-A947-70E740481C1C}">
                        <a14:useLocalDpi xmlns:a14="http://schemas.microsoft.com/office/drawing/2010/main" val="0"/>
                      </a:ext>
                    </a:extLst>
                  </a:blip>
                  <a:stretch>
                    <a:fillRect/>
                  </a:stretch>
                </pic:blipFill>
                <pic:spPr>
                  <a:xfrm>
                    <a:off x="0" y="0"/>
                    <a:ext cx="7473950" cy="1376680"/>
                  </a:xfrm>
                  <a:prstGeom prst="rect">
                    <a:avLst/>
                  </a:prstGeom>
                </pic:spPr>
              </pic:pic>
            </a:graphicData>
          </a:graphic>
          <wp14:sizeRelH relativeFrom="page">
            <wp14:pctWidth>0</wp14:pctWidth>
          </wp14:sizeRelH>
          <wp14:sizeRelV relativeFrom="page">
            <wp14:pctHeight>0</wp14:pctHeight>
          </wp14:sizeRelV>
        </wp:anchor>
      </w:drawing>
    </w:r>
    <w:r w:rsidRPr="00663409">
      <w:rPr>
        <w:noProof/>
        <w:szCs w:val="24"/>
      </w:rPr>
      <mc:AlternateContent>
        <mc:Choice Requires="wps">
          <w:drawing>
            <wp:anchor distT="45720" distB="45720" distL="114300" distR="114300" simplePos="0" relativeHeight="251659264" behindDoc="0" locked="0" layoutInCell="1" allowOverlap="1">
              <wp:simplePos x="0" y="0"/>
              <wp:positionH relativeFrom="margin">
                <wp:posOffset>-1039108</wp:posOffset>
              </wp:positionH>
              <wp:positionV relativeFrom="paragraph">
                <wp:posOffset>695657</wp:posOffset>
              </wp:positionV>
              <wp:extent cx="1174115" cy="278765"/>
              <wp:effectExtent l="0" t="0" r="0" b="0"/>
              <wp:wrapSquare wrapText="bothSides"/>
              <wp:docPr id="2" name="Text Box 2"/>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1174115" cy="278765"/>
                      </a:xfrm>
                      <a:prstGeom prst="rect">
                        <a:avLst/>
                      </a:prstGeom>
                      <a:noFill/>
                      <a:ln w="9525">
                        <a:noFill/>
                        <a:miter lim="800000"/>
                        <a:headEnd/>
                        <a:tailEnd/>
                      </a:ln>
                    </wps:spPr>
                    <wps:txbx>
                      <w:txbxContent>
                        <w:p w:rsidR="00EB73B6" w:rsidRPr="00EB73B6" w:rsidP="00EB73B6">
                          <w:pPr>
                            <w:spacing w:before="0"/>
                            <w:jc w:val="left"/>
                            <w:rPr>
                              <w:sz w:val="26"/>
                            </w:rPr>
                          </w:pPr>
                          <w:r>
                            <w:rPr>
                              <w:rFonts w:hint="cs"/>
                              <w:sz w:val="26"/>
                              <w:rtl/>
                            </w:rPr>
                            <w:t>2023-1-12</w:t>
                          </w:r>
                        </w:p>
                      </w:txbxContent>
                    </wps:txbx>
                    <wps:bodyPr rot="0" vert="horz" wrap="square" lIns="91440" tIns="45720" rIns="91440" bIns="45720" anchor="t" anchorCtr="0"/>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2049" type="#_x0000_t202" style="width:92.45pt;height:21.95pt;margin-top:54.8pt;margin-left:-81.8pt;mso-height-percent:0;mso-height-relative:margin;mso-position-horizontal-relative:margin;mso-width-percent:0;mso-width-relative:margin;mso-wrap-distance-bottom:3.6pt;mso-wrap-distance-left:9pt;mso-wrap-distance-right:9pt;mso-wrap-distance-top:3.6pt;mso-wrap-style:square;position:absolute;visibility:visible;v-text-anchor:top;z-index:251660288" filled="f" stroked="f">
              <v:textbox>
                <w:txbxContent>
                  <w:p w:rsidR="00EB73B6" w:rsidRPr="00EB73B6" w:rsidP="00EB73B6">
                    <w:pPr>
                      <w:spacing w:before="0"/>
                      <w:jc w:val="left"/>
                      <w:rPr>
                        <w:sz w:val="26"/>
                      </w:rPr>
                    </w:pPr>
                    <w:r>
                      <w:rPr>
                        <w:rFonts w:hint="cs"/>
                        <w:sz w:val="26"/>
                        <w:rtl/>
                      </w:rPr>
                      <w:t>2023-1-12</w:t>
                    </w: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B4D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33F3823"/>
    <w:multiLevelType w:val="multilevel"/>
    <w:tmpl w:val="F24630E8"/>
    <w:lvl w:ilvl="0">
      <w:start w:val="1"/>
      <w:numFmt w:val="decimal"/>
      <w:lvlText w:val="%1 ."/>
      <w:lvlJc w:val="left"/>
      <w:pPr>
        <w:tabs>
          <w:tab w:val="num" w:pos="397"/>
        </w:tabs>
        <w:ind w:left="397" w:hanging="397"/>
      </w:pPr>
      <w:rPr>
        <w:rFonts w:hint="default"/>
        <w:b w:val="0"/>
        <w:bCs w:val="0"/>
      </w:rPr>
    </w:lvl>
    <w:lvl w:ilvl="1">
      <w:start w:val="1"/>
      <w:numFmt w:val="hebrew1"/>
      <w:lvlText w:val="(%2)"/>
      <w:lvlJc w:val="left"/>
      <w:pPr>
        <w:tabs>
          <w:tab w:val="num" w:pos="794"/>
        </w:tabs>
        <w:ind w:left="794" w:hanging="397"/>
      </w:pPr>
      <w:rPr>
        <w:rFonts w:hint="default"/>
        <w:b w:val="0"/>
        <w:bCs w:val="0"/>
        <w:lang w:val="en-US"/>
      </w:rPr>
    </w:lvl>
    <w:lvl w:ilvl="2">
      <w:start w:val="1"/>
      <w:numFmt w:val="decimal"/>
      <w:lvlText w:val="(%3)"/>
      <w:lvlJc w:val="right"/>
      <w:pPr>
        <w:tabs>
          <w:tab w:val="num" w:pos="1247"/>
        </w:tabs>
        <w:ind w:left="1247" w:hanging="453"/>
      </w:pPr>
      <w:rPr>
        <w:rFonts w:ascii="FrankRuehl" w:eastAsia="Arial Unicode MS" w:hAnsi="FrankRuehl" w:cs="FrankRuehl" w:hint="default"/>
        <w:b w:val="0"/>
        <w:bCs w:val="0"/>
        <w:sz w:val="26"/>
        <w:szCs w:val="26"/>
        <w:lang w:bidi="he-IL"/>
      </w:rPr>
    </w:lvl>
    <w:lvl w:ilvl="3">
      <w:start w:val="1"/>
      <w:numFmt w:val="hebrew1"/>
      <w:lvlText w:val="(%4)"/>
      <w:lvlJc w:val="left"/>
      <w:pPr>
        <w:tabs>
          <w:tab w:val="num" w:pos="1701"/>
        </w:tabs>
        <w:ind w:left="1701" w:hanging="454"/>
      </w:pPr>
      <w:rPr>
        <w:rFonts w:hint="default"/>
        <w:b w:val="0"/>
        <w:bCs w:val="0"/>
      </w:rPr>
    </w:lvl>
    <w:lvl w:ilvl="4">
      <w:start w:val="1"/>
      <w:numFmt w:val="decimal"/>
      <w:lvlText w:val="(%5)"/>
      <w:lvlJc w:val="left"/>
      <w:pPr>
        <w:tabs>
          <w:tab w:val="num" w:pos="2211"/>
        </w:tabs>
        <w:ind w:left="2211" w:hanging="510"/>
      </w:pPr>
      <w:rPr>
        <w:rFonts w:hint="default"/>
        <w:b w:val="0"/>
        <w:bCs w:val="0"/>
      </w:rPr>
    </w:lvl>
    <w:lvl w:ilvl="5">
      <w:start w:val="1"/>
      <w:numFmt w:val="hebrew1"/>
      <w:lvlText w:val="(%6)"/>
      <w:lvlJc w:val="left"/>
      <w:pPr>
        <w:tabs>
          <w:tab w:val="num" w:pos="2721"/>
        </w:tabs>
        <w:ind w:left="2721" w:hanging="510"/>
      </w:pPr>
      <w:rPr>
        <w:rFonts w:hint="default"/>
      </w:rPr>
    </w:lvl>
    <w:lvl w:ilvl="6">
      <w:start w:val="1"/>
      <w:numFmt w:val="upperLetter"/>
      <w:lvlText w:val="%7."/>
      <w:lvlJc w:val="left"/>
      <w:pPr>
        <w:tabs>
          <w:tab w:val="num" w:pos="3118"/>
        </w:tabs>
        <w:ind w:left="3118" w:hanging="397"/>
      </w:pPr>
      <w:rPr>
        <w:rFonts w:hint="default"/>
      </w:rPr>
    </w:lvl>
    <w:lvl w:ilvl="7">
      <w:start w:val="1"/>
      <w:numFmt w:val="lowerLetter"/>
      <w:lvlText w:val="%8."/>
      <w:lvlJc w:val="left"/>
      <w:pPr>
        <w:tabs>
          <w:tab w:val="num" w:pos="3685"/>
        </w:tabs>
        <w:ind w:left="3685" w:hanging="567"/>
      </w:pPr>
      <w:rPr>
        <w:rFonts w:hint="default"/>
      </w:rPr>
    </w:lvl>
    <w:lvl w:ilvl="8">
      <w:start w:val="1"/>
      <w:numFmt w:val="lowerRoman"/>
      <w:lvlText w:val="%9."/>
      <w:lvlJc w:val="left"/>
      <w:pPr>
        <w:tabs>
          <w:tab w:val="num" w:pos="4252"/>
        </w:tabs>
        <w:ind w:left="4252" w:hanging="567"/>
      </w:pPr>
      <w:rPr>
        <w:rFonts w:hint="default"/>
      </w:rPr>
    </w:lvl>
  </w:abstractNum>
  <w:abstractNum w:abstractNumId="1">
    <w:nsid w:val="10B82797"/>
    <w:multiLevelType w:val="multilevel"/>
    <w:tmpl w:val="CB2CFB36"/>
    <w:numStyleLink w:val="-"/>
  </w:abstractNum>
  <w:abstractNum w:abstractNumId="2">
    <w:nsid w:val="11B87F5A"/>
    <w:multiLevelType w:val="multilevel"/>
    <w:tmpl w:val="2C7611E6"/>
    <w:styleLink w:val="-0"/>
    <w:lvl w:ilvl="0">
      <w:start w:val="1"/>
      <w:numFmt w:val="decimal"/>
      <w:lvlText w:val="%1 ."/>
      <w:lvlJc w:val="left"/>
      <w:pPr>
        <w:tabs>
          <w:tab w:val="num" w:pos="397"/>
        </w:tabs>
        <w:ind w:left="397" w:hanging="397"/>
      </w:pPr>
    </w:lvl>
    <w:lvl w:ilvl="1">
      <w:start w:val="1"/>
      <w:numFmt w:val="hebrew1"/>
      <w:lvlText w:val="%2."/>
      <w:lvlJc w:val="left"/>
      <w:pPr>
        <w:tabs>
          <w:tab w:val="num" w:pos="794"/>
        </w:tabs>
        <w:ind w:left="794" w:hanging="397"/>
      </w:pPr>
    </w:lvl>
    <w:lvl w:ilvl="2">
      <w:start w:val="1"/>
      <w:numFmt w:val="decimal"/>
      <w:lvlText w:val="%3)"/>
      <w:lvlJc w:val="left"/>
      <w:pPr>
        <w:tabs>
          <w:tab w:val="num" w:pos="1247"/>
        </w:tabs>
        <w:ind w:left="1247" w:hanging="453"/>
      </w:pPr>
    </w:lvl>
    <w:lvl w:ilvl="3">
      <w:start w:val="1"/>
      <w:numFmt w:val="hebrew1"/>
      <w:lvlText w:val="%4)"/>
      <w:lvlJc w:val="left"/>
      <w:pPr>
        <w:tabs>
          <w:tab w:val="num" w:pos="1701"/>
        </w:tabs>
        <w:ind w:left="1701" w:hanging="454"/>
      </w:pPr>
    </w:lvl>
    <w:lvl w:ilvl="4">
      <w:start w:val="1"/>
      <w:numFmt w:val="decimal"/>
      <w:lvlText w:val="(%5)"/>
      <w:lvlJc w:val="left"/>
      <w:pPr>
        <w:tabs>
          <w:tab w:val="num" w:pos="2211"/>
        </w:tabs>
        <w:ind w:left="2211" w:hanging="510"/>
      </w:pPr>
    </w:lvl>
    <w:lvl w:ilvl="5">
      <w:start w:val="1"/>
      <w:numFmt w:val="hebrew1"/>
      <w:lvlText w:val="(%6)"/>
      <w:lvlJc w:val="left"/>
      <w:pPr>
        <w:tabs>
          <w:tab w:val="num" w:pos="2721"/>
        </w:tabs>
        <w:ind w:left="2721" w:hanging="510"/>
      </w:pPr>
    </w:lvl>
    <w:lvl w:ilvl="6">
      <w:start w:val="1"/>
      <w:numFmt w:val="upperLetter"/>
      <w:lvlText w:val="%7."/>
      <w:lvlJc w:val="left"/>
      <w:pPr>
        <w:tabs>
          <w:tab w:val="num" w:pos="3118"/>
        </w:tabs>
        <w:ind w:left="3118" w:hanging="397"/>
      </w:pPr>
    </w:lvl>
    <w:lvl w:ilvl="7">
      <w:start w:val="1"/>
      <w:numFmt w:val="lowerLetter"/>
      <w:lvlText w:val="%8."/>
      <w:lvlJc w:val="left"/>
      <w:pPr>
        <w:tabs>
          <w:tab w:val="num" w:pos="3685"/>
        </w:tabs>
        <w:ind w:left="3685" w:hanging="567"/>
      </w:pPr>
    </w:lvl>
    <w:lvl w:ilvl="8">
      <w:start w:val="1"/>
      <w:numFmt w:val="lowerRoman"/>
      <w:lvlText w:val="%9."/>
      <w:lvlJc w:val="left"/>
      <w:pPr>
        <w:tabs>
          <w:tab w:val="num" w:pos="4252"/>
        </w:tabs>
        <w:ind w:left="4252" w:hanging="567"/>
      </w:pPr>
    </w:lvl>
  </w:abstractNum>
  <w:abstractNum w:abstractNumId="3">
    <w:nsid w:val="16240D29"/>
    <w:multiLevelType w:val="hybridMultilevel"/>
    <w:tmpl w:val="397230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24690D37"/>
    <w:multiLevelType w:val="multilevel"/>
    <w:tmpl w:val="2C7611E6"/>
    <w:numStyleLink w:val="-0"/>
  </w:abstractNum>
  <w:abstractNum w:abstractNumId="5">
    <w:nsid w:val="2C7715A6"/>
    <w:multiLevelType w:val="hybridMultilevel"/>
    <w:tmpl w:val="A3E03D0C"/>
    <w:lvl w:ilvl="0">
      <w:start w:val="1"/>
      <w:numFmt w:val="decimal"/>
      <w:lvlText w:val="(%1)"/>
      <w:lvlJc w:val="left"/>
      <w:pPr>
        <w:ind w:left="1080" w:hanging="360"/>
      </w:pPr>
      <w:rPr>
        <w:rFonts w:ascii="FrankRuehl" w:hAnsi="FrankRuehl" w:cs="FrankRuehl" w:hint="default"/>
        <w:sz w:val="26"/>
        <w:szCs w:val="26"/>
      </w:rPr>
    </w:lvl>
    <w:lvl w:ilvl="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6">
    <w:nsid w:val="477D4CEE"/>
    <w:multiLevelType w:val="multilevel"/>
    <w:tmpl w:val="2C7611E6"/>
    <w:numStyleLink w:val="-0"/>
  </w:abstractNum>
  <w:abstractNum w:abstractNumId="7">
    <w:nsid w:val="52C63965"/>
    <w:multiLevelType w:val="multilevel"/>
    <w:tmpl w:val="CB2CFB36"/>
    <w:numStyleLink w:val="-"/>
  </w:abstractNum>
  <w:abstractNum w:abstractNumId="8">
    <w:nsid w:val="534431C7"/>
    <w:multiLevelType w:val="hybridMultilevel"/>
    <w:tmpl w:val="D75A5582"/>
    <w:lvl w:ilvl="0">
      <w:start w:val="1"/>
      <w:numFmt w:val="decimal"/>
      <w:lvlText w:val="%1."/>
      <w:lvlJc w:val="left"/>
      <w:pPr>
        <w:tabs>
          <w:tab w:val="num" w:pos="720"/>
        </w:tabs>
        <w:ind w:left="720" w:hanging="360"/>
      </w:pPr>
      <w:rPr>
        <w:rFonts w:ascii="Arial Narrow" w:hAnsi="Arial Narrow" w:hint="default"/>
        <w:sz w:val="28"/>
        <w:szCs w:val="28"/>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5C2D00DD"/>
    <w:multiLevelType w:val="multilevel"/>
    <w:tmpl w:val="CB2CFB36"/>
    <w:styleLink w:val="-"/>
    <w:lvl w:ilvl="0">
      <w:start w:val="1"/>
      <w:numFmt w:val="decimal"/>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num w:numId="1">
    <w:abstractNumId w:val="4"/>
  </w:num>
  <w:num w:numId="2">
    <w:abstractNumId w:val="9"/>
  </w:num>
  <w:num w:numId="3">
    <w:abstractNumId w:val="2"/>
  </w:num>
  <w:num w:numId="4">
    <w:abstractNumId w:val="3"/>
  </w:num>
  <w:num w:numId="5">
    <w:abstractNumId w:val="1"/>
  </w:num>
  <w:num w:numId="6">
    <w:abstractNumId w:val="6"/>
  </w:num>
  <w:num w:numId="7">
    <w:abstractNumId w:val="7"/>
  </w:num>
  <w:num w:numId="8">
    <w:abstractNumId w:val="0"/>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8" w:allStyles="0" w:alternateStyleNames="0" w:clearFormatting="1" w:customStyles="0" w:directFormattingOnNumbering="1" w:directFormattingOnParagraphs="1" w:directFormattingOnRuns="1" w:directFormattingOnTables="1" w:headingStyles="0" w:latentStyles="0" w:numberingStyles="0" w:stylesInUse="1" w:tableStyles="0" w:top3HeadingStyles="1" w:visibleStyles="0"/>
  <w:stylePaneSortMethod w:val="name"/>
  <w:defaultTabStop w:val="720"/>
  <w:noPunctuationKerning/>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755D"/>
    <w:rsid w:val="00014182"/>
    <w:rsid w:val="00047C97"/>
    <w:rsid w:val="000520B7"/>
    <w:rsid w:val="000568CE"/>
    <w:rsid w:val="00063A55"/>
    <w:rsid w:val="00066383"/>
    <w:rsid w:val="00080329"/>
    <w:rsid w:val="000826E4"/>
    <w:rsid w:val="00093B9D"/>
    <w:rsid w:val="0009516C"/>
    <w:rsid w:val="000B2A61"/>
    <w:rsid w:val="000C04AE"/>
    <w:rsid w:val="000E6098"/>
    <w:rsid w:val="000E632C"/>
    <w:rsid w:val="000F691B"/>
    <w:rsid w:val="0010326C"/>
    <w:rsid w:val="001611C6"/>
    <w:rsid w:val="00164B30"/>
    <w:rsid w:val="00180240"/>
    <w:rsid w:val="00180A93"/>
    <w:rsid w:val="0018292D"/>
    <w:rsid w:val="00197056"/>
    <w:rsid w:val="001A6F08"/>
    <w:rsid w:val="001A7C42"/>
    <w:rsid w:val="001B4B81"/>
    <w:rsid w:val="001C1B46"/>
    <w:rsid w:val="001C4F6D"/>
    <w:rsid w:val="001D55DD"/>
    <w:rsid w:val="001D765A"/>
    <w:rsid w:val="001E548A"/>
    <w:rsid w:val="001E5FD3"/>
    <w:rsid w:val="00222509"/>
    <w:rsid w:val="00224F04"/>
    <w:rsid w:val="0022663B"/>
    <w:rsid w:val="0024337D"/>
    <w:rsid w:val="00254F4C"/>
    <w:rsid w:val="00264425"/>
    <w:rsid w:val="00275887"/>
    <w:rsid w:val="00283ABF"/>
    <w:rsid w:val="00283C7C"/>
    <w:rsid w:val="00285AFF"/>
    <w:rsid w:val="002A54A3"/>
    <w:rsid w:val="002A7FEA"/>
    <w:rsid w:val="002B4DFB"/>
    <w:rsid w:val="002D3716"/>
    <w:rsid w:val="002D7789"/>
    <w:rsid w:val="002E38F4"/>
    <w:rsid w:val="002E67A9"/>
    <w:rsid w:val="002F0AC0"/>
    <w:rsid w:val="002F197C"/>
    <w:rsid w:val="002F3CD9"/>
    <w:rsid w:val="00325E01"/>
    <w:rsid w:val="00361114"/>
    <w:rsid w:val="0037480D"/>
    <w:rsid w:val="003840FE"/>
    <w:rsid w:val="00393C6A"/>
    <w:rsid w:val="003A1D7A"/>
    <w:rsid w:val="003B0473"/>
    <w:rsid w:val="003B3C40"/>
    <w:rsid w:val="003B6039"/>
    <w:rsid w:val="003B7F8D"/>
    <w:rsid w:val="003C3A5C"/>
    <w:rsid w:val="003C7BC8"/>
    <w:rsid w:val="003F1396"/>
    <w:rsid w:val="003F3145"/>
    <w:rsid w:val="003F3D84"/>
    <w:rsid w:val="0040055E"/>
    <w:rsid w:val="0040768C"/>
    <w:rsid w:val="00423D6A"/>
    <w:rsid w:val="00426E0E"/>
    <w:rsid w:val="004323EF"/>
    <w:rsid w:val="004410DE"/>
    <w:rsid w:val="0044663B"/>
    <w:rsid w:val="00451F2E"/>
    <w:rsid w:val="004523EB"/>
    <w:rsid w:val="00452D7A"/>
    <w:rsid w:val="00460239"/>
    <w:rsid w:val="0046358C"/>
    <w:rsid w:val="00472B9C"/>
    <w:rsid w:val="004A597F"/>
    <w:rsid w:val="004C127D"/>
    <w:rsid w:val="004C5538"/>
    <w:rsid w:val="004D59C3"/>
    <w:rsid w:val="004D65A1"/>
    <w:rsid w:val="004E479D"/>
    <w:rsid w:val="004F3773"/>
    <w:rsid w:val="005028F9"/>
    <w:rsid w:val="00505B19"/>
    <w:rsid w:val="00505D36"/>
    <w:rsid w:val="00515321"/>
    <w:rsid w:val="00515E5C"/>
    <w:rsid w:val="0051700E"/>
    <w:rsid w:val="0052747B"/>
    <w:rsid w:val="00534452"/>
    <w:rsid w:val="005371D8"/>
    <w:rsid w:val="00556BE2"/>
    <w:rsid w:val="00571276"/>
    <w:rsid w:val="00571A71"/>
    <w:rsid w:val="005A1ED1"/>
    <w:rsid w:val="005A731B"/>
    <w:rsid w:val="005D42E4"/>
    <w:rsid w:val="005E5EC9"/>
    <w:rsid w:val="00600BFA"/>
    <w:rsid w:val="00600F1F"/>
    <w:rsid w:val="00601D8B"/>
    <w:rsid w:val="00602DAD"/>
    <w:rsid w:val="006142EA"/>
    <w:rsid w:val="006144B9"/>
    <w:rsid w:val="00616045"/>
    <w:rsid w:val="00623CCF"/>
    <w:rsid w:val="006309B0"/>
    <w:rsid w:val="00633CC4"/>
    <w:rsid w:val="0065452C"/>
    <w:rsid w:val="0066664E"/>
    <w:rsid w:val="00692C69"/>
    <w:rsid w:val="006952CA"/>
    <w:rsid w:val="006A13C9"/>
    <w:rsid w:val="006A2503"/>
    <w:rsid w:val="006A5446"/>
    <w:rsid w:val="006B352E"/>
    <w:rsid w:val="006C55AF"/>
    <w:rsid w:val="006C5A69"/>
    <w:rsid w:val="006C5DFF"/>
    <w:rsid w:val="006D0744"/>
    <w:rsid w:val="006D686D"/>
    <w:rsid w:val="006D7041"/>
    <w:rsid w:val="006E17D9"/>
    <w:rsid w:val="006E5942"/>
    <w:rsid w:val="006F077B"/>
    <w:rsid w:val="006F630D"/>
    <w:rsid w:val="007044C3"/>
    <w:rsid w:val="00706164"/>
    <w:rsid w:val="00714C4E"/>
    <w:rsid w:val="00723886"/>
    <w:rsid w:val="00726852"/>
    <w:rsid w:val="00733F93"/>
    <w:rsid w:val="00734B4B"/>
    <w:rsid w:val="00735D55"/>
    <w:rsid w:val="007427EF"/>
    <w:rsid w:val="00743847"/>
    <w:rsid w:val="0074770C"/>
    <w:rsid w:val="00751B50"/>
    <w:rsid w:val="00757313"/>
    <w:rsid w:val="00757879"/>
    <w:rsid w:val="007611DA"/>
    <w:rsid w:val="0078090D"/>
    <w:rsid w:val="0078789E"/>
    <w:rsid w:val="00793E5C"/>
    <w:rsid w:val="00795D5A"/>
    <w:rsid w:val="007A373A"/>
    <w:rsid w:val="007B009C"/>
    <w:rsid w:val="007B678B"/>
    <w:rsid w:val="007D4118"/>
    <w:rsid w:val="007E2692"/>
    <w:rsid w:val="007E3E44"/>
    <w:rsid w:val="007E64AC"/>
    <w:rsid w:val="0080160A"/>
    <w:rsid w:val="0082739B"/>
    <w:rsid w:val="00851D4A"/>
    <w:rsid w:val="00864DB3"/>
    <w:rsid w:val="00867AE5"/>
    <w:rsid w:val="00870D8A"/>
    <w:rsid w:val="0089204F"/>
    <w:rsid w:val="008B39D7"/>
    <w:rsid w:val="008E77BE"/>
    <w:rsid w:val="009014E3"/>
    <w:rsid w:val="0090629A"/>
    <w:rsid w:val="00910BC9"/>
    <w:rsid w:val="00915C9A"/>
    <w:rsid w:val="00915FC2"/>
    <w:rsid w:val="00935E81"/>
    <w:rsid w:val="009576D4"/>
    <w:rsid w:val="00963945"/>
    <w:rsid w:val="00963EEE"/>
    <w:rsid w:val="00972D7E"/>
    <w:rsid w:val="00974D46"/>
    <w:rsid w:val="00986444"/>
    <w:rsid w:val="00990A24"/>
    <w:rsid w:val="0099173E"/>
    <w:rsid w:val="009A1B50"/>
    <w:rsid w:val="009B64FE"/>
    <w:rsid w:val="009D2279"/>
    <w:rsid w:val="009D3F2B"/>
    <w:rsid w:val="009E52B5"/>
    <w:rsid w:val="009F7F7A"/>
    <w:rsid w:val="00A068FB"/>
    <w:rsid w:val="00A07C5D"/>
    <w:rsid w:val="00A101F8"/>
    <w:rsid w:val="00A15876"/>
    <w:rsid w:val="00A15D5D"/>
    <w:rsid w:val="00A30921"/>
    <w:rsid w:val="00A31893"/>
    <w:rsid w:val="00A5751E"/>
    <w:rsid w:val="00A67A4F"/>
    <w:rsid w:val="00A7396A"/>
    <w:rsid w:val="00A73972"/>
    <w:rsid w:val="00A84333"/>
    <w:rsid w:val="00A84658"/>
    <w:rsid w:val="00A972D3"/>
    <w:rsid w:val="00AA4752"/>
    <w:rsid w:val="00AA7166"/>
    <w:rsid w:val="00AB4D4F"/>
    <w:rsid w:val="00AC0823"/>
    <w:rsid w:val="00AC4D42"/>
    <w:rsid w:val="00AD0167"/>
    <w:rsid w:val="00AF1C47"/>
    <w:rsid w:val="00B03E2B"/>
    <w:rsid w:val="00B041F7"/>
    <w:rsid w:val="00B10475"/>
    <w:rsid w:val="00B22087"/>
    <w:rsid w:val="00B311D4"/>
    <w:rsid w:val="00B3785A"/>
    <w:rsid w:val="00B429D7"/>
    <w:rsid w:val="00B60EE6"/>
    <w:rsid w:val="00B67385"/>
    <w:rsid w:val="00B840F6"/>
    <w:rsid w:val="00B8755D"/>
    <w:rsid w:val="00B91214"/>
    <w:rsid w:val="00B93390"/>
    <w:rsid w:val="00B93A25"/>
    <w:rsid w:val="00BB00B8"/>
    <w:rsid w:val="00BB393A"/>
    <w:rsid w:val="00BC61B0"/>
    <w:rsid w:val="00BD580A"/>
    <w:rsid w:val="00BD67E7"/>
    <w:rsid w:val="00C01906"/>
    <w:rsid w:val="00C171DC"/>
    <w:rsid w:val="00C27AC8"/>
    <w:rsid w:val="00C37F33"/>
    <w:rsid w:val="00C62C9B"/>
    <w:rsid w:val="00C84ABA"/>
    <w:rsid w:val="00C912F8"/>
    <w:rsid w:val="00CA61AF"/>
    <w:rsid w:val="00CB40A4"/>
    <w:rsid w:val="00CC356E"/>
    <w:rsid w:val="00CD6DB8"/>
    <w:rsid w:val="00CE0517"/>
    <w:rsid w:val="00CF44BB"/>
    <w:rsid w:val="00D13CCC"/>
    <w:rsid w:val="00D15BCF"/>
    <w:rsid w:val="00D33979"/>
    <w:rsid w:val="00D37442"/>
    <w:rsid w:val="00D61AC3"/>
    <w:rsid w:val="00D641D5"/>
    <w:rsid w:val="00D66453"/>
    <w:rsid w:val="00D731DA"/>
    <w:rsid w:val="00D969C1"/>
    <w:rsid w:val="00DA200B"/>
    <w:rsid w:val="00DA54F8"/>
    <w:rsid w:val="00DB6C3D"/>
    <w:rsid w:val="00DC75C9"/>
    <w:rsid w:val="00DD5320"/>
    <w:rsid w:val="00DE069A"/>
    <w:rsid w:val="00DE7CC8"/>
    <w:rsid w:val="00DF73FF"/>
    <w:rsid w:val="00E07087"/>
    <w:rsid w:val="00E41B31"/>
    <w:rsid w:val="00E45B6D"/>
    <w:rsid w:val="00E56588"/>
    <w:rsid w:val="00E62EF6"/>
    <w:rsid w:val="00E849EC"/>
    <w:rsid w:val="00E9300E"/>
    <w:rsid w:val="00E95EEF"/>
    <w:rsid w:val="00EA6729"/>
    <w:rsid w:val="00EB73B6"/>
    <w:rsid w:val="00EC303E"/>
    <w:rsid w:val="00EC4D85"/>
    <w:rsid w:val="00EF3013"/>
    <w:rsid w:val="00EF71D7"/>
    <w:rsid w:val="00F00D41"/>
    <w:rsid w:val="00F0592A"/>
    <w:rsid w:val="00F225B4"/>
    <w:rsid w:val="00F25ABF"/>
    <w:rsid w:val="00F31839"/>
    <w:rsid w:val="00F42455"/>
    <w:rsid w:val="00F509E4"/>
    <w:rsid w:val="00F74EF7"/>
    <w:rsid w:val="00F80DA7"/>
    <w:rsid w:val="00F866DE"/>
    <w:rsid w:val="00F975CB"/>
    <w:rsid w:val="00FC1F83"/>
    <w:rsid w:val="00FE3193"/>
    <w:rsid w:val="00FE3F33"/>
    <w:rsid w:val="00FF5B00"/>
  </w:rsids>
  <m:mathPr>
    <m:mathFont m:val="Cambria Math"/>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15:chartTrackingRefBased/>
  <w15:docId w15:val="{2601F3A1-44A3-48D0-9711-441A97CCA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before="2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823"/>
    <w:pPr>
      <w:bidi/>
      <w:spacing w:before="120" w:after="120" w:line="360" w:lineRule="auto"/>
      <w:jc w:val="both"/>
    </w:pPr>
    <w:rPr>
      <w:rFonts w:ascii="Times New Roman" w:hAnsi="Times New Roman" w:cs="FrankRuehl"/>
      <w:sz w:val="24"/>
      <w:szCs w:val="26"/>
    </w:rPr>
  </w:style>
  <w:style w:type="paragraph" w:styleId="Heading1">
    <w:name w:val="heading 1"/>
    <w:basedOn w:val="Normal"/>
    <w:next w:val="Normal"/>
    <w:link w:val="1"/>
    <w:uiPriority w:val="9"/>
    <w:qFormat/>
    <w:rsid w:val="003A1D7A"/>
    <w:pPr>
      <w:widowControl w:val="0"/>
      <w:spacing w:after="0"/>
      <w:outlineLvl w:val="0"/>
    </w:pPr>
    <w:rPr>
      <w:b/>
      <w:bCs/>
      <w:caps/>
      <w:spacing w:val="15"/>
      <w:sz w:val="36"/>
      <w:szCs w:val="36"/>
    </w:rPr>
  </w:style>
  <w:style w:type="paragraph" w:styleId="Heading2">
    <w:name w:val="heading 2"/>
    <w:basedOn w:val="Normal"/>
    <w:next w:val="Normal"/>
    <w:link w:val="2"/>
    <w:uiPriority w:val="9"/>
    <w:unhideWhenUsed/>
    <w:qFormat/>
    <w:rsid w:val="003A1D7A"/>
    <w:pPr>
      <w:widowControl w:val="0"/>
      <w:spacing w:after="0"/>
      <w:outlineLvl w:val="1"/>
    </w:pPr>
    <w:rPr>
      <w:b/>
      <w:bCs/>
      <w:caps/>
      <w:spacing w:val="15"/>
      <w:sz w:val="32"/>
      <w:szCs w:val="32"/>
    </w:rPr>
  </w:style>
  <w:style w:type="paragraph" w:styleId="Heading3">
    <w:name w:val="heading 3"/>
    <w:basedOn w:val="Normal"/>
    <w:next w:val="Normal"/>
    <w:link w:val="3"/>
    <w:uiPriority w:val="9"/>
    <w:unhideWhenUsed/>
    <w:qFormat/>
    <w:rsid w:val="001611C6"/>
    <w:pPr>
      <w:widowControl w:val="0"/>
      <w:bidi w:val="0"/>
      <w:spacing w:before="300" w:after="0"/>
      <w:outlineLvl w:val="2"/>
    </w:pPr>
    <w:rPr>
      <w:bCs/>
      <w:caps/>
      <w:spacing w:val="15"/>
      <w:sz w:val="28"/>
      <w:szCs w:val="28"/>
    </w:rPr>
  </w:style>
  <w:style w:type="paragraph" w:styleId="Heading4">
    <w:name w:val="heading 4"/>
    <w:basedOn w:val="Normal"/>
    <w:next w:val="Normal"/>
    <w:link w:val="4"/>
    <w:uiPriority w:val="9"/>
    <w:unhideWhenUsed/>
    <w:qFormat/>
    <w:rsid w:val="003A1D7A"/>
    <w:pPr>
      <w:bidi w:val="0"/>
      <w:spacing w:before="300" w:after="0"/>
      <w:outlineLvl w:val="3"/>
    </w:pPr>
    <w:rPr>
      <w:b/>
      <w:bCs/>
      <w:caps/>
      <w:spacing w:val="10"/>
    </w:rPr>
  </w:style>
  <w:style w:type="paragraph" w:styleId="Heading5">
    <w:name w:val="heading 5"/>
    <w:basedOn w:val="Normal"/>
    <w:next w:val="Normal"/>
    <w:link w:val="5"/>
    <w:uiPriority w:val="9"/>
    <w:unhideWhenUsed/>
    <w:qFormat/>
    <w:rsid w:val="003A1D7A"/>
    <w:pPr>
      <w:widowControl w:val="0"/>
      <w:bidi w:val="0"/>
      <w:spacing w:before="300" w:after="0"/>
      <w:outlineLvl w:val="4"/>
    </w:pPr>
    <w:rPr>
      <w:b/>
      <w:bCs/>
      <w:caps/>
      <w:spacing w:val="10"/>
    </w:rPr>
  </w:style>
  <w:style w:type="paragraph" w:styleId="Heading6">
    <w:name w:val="heading 6"/>
    <w:basedOn w:val="Normal"/>
    <w:next w:val="Normal"/>
    <w:link w:val="6"/>
    <w:uiPriority w:val="9"/>
    <w:unhideWhenUsed/>
    <w:qFormat/>
    <w:rsid w:val="00066383"/>
    <w:pPr>
      <w:widowControl w:val="0"/>
      <w:bidi w:val="0"/>
      <w:spacing w:before="300" w:after="0"/>
      <w:outlineLvl w:val="5"/>
    </w:pPr>
    <w:rPr>
      <w:b/>
      <w:bCs/>
      <w:caps/>
      <w:spacing w:val="10"/>
    </w:rPr>
  </w:style>
  <w:style w:type="paragraph" w:styleId="Heading7">
    <w:name w:val="heading 7"/>
    <w:basedOn w:val="Normal"/>
    <w:next w:val="Normal"/>
    <w:link w:val="7"/>
    <w:uiPriority w:val="9"/>
    <w:unhideWhenUsed/>
    <w:qFormat/>
    <w:rsid w:val="003A1D7A"/>
    <w:pPr>
      <w:widowControl w:val="0"/>
      <w:bidi w:val="0"/>
      <w:spacing w:before="300" w:after="0"/>
      <w:outlineLvl w:val="6"/>
    </w:pPr>
    <w:rPr>
      <w:b/>
      <w:bCs/>
      <w:caps/>
      <w:spacing w:val="10"/>
    </w:rPr>
  </w:style>
  <w:style w:type="paragraph" w:styleId="Heading8">
    <w:name w:val="heading 8"/>
    <w:basedOn w:val="Normal"/>
    <w:next w:val="Normal"/>
    <w:link w:val="8"/>
    <w:uiPriority w:val="9"/>
    <w:semiHidden/>
    <w:unhideWhenUsed/>
    <w:qFormat/>
    <w:rsid w:val="00014182"/>
    <w:pPr>
      <w:bidi w:val="0"/>
      <w:spacing w:before="300" w:after="0"/>
      <w:outlineLvl w:val="7"/>
    </w:pPr>
    <w:rPr>
      <w:caps/>
      <w:spacing w:val="10"/>
      <w:sz w:val="18"/>
      <w:szCs w:val="18"/>
    </w:rPr>
  </w:style>
  <w:style w:type="paragraph" w:styleId="Heading9">
    <w:name w:val="heading 9"/>
    <w:basedOn w:val="Normal"/>
    <w:next w:val="Normal"/>
    <w:link w:val="9"/>
    <w:uiPriority w:val="9"/>
    <w:semiHidden/>
    <w:unhideWhenUsed/>
    <w:qFormat/>
    <w:rsid w:val="00014182"/>
    <w:pPr>
      <w:bidi w:val="0"/>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1">
    <w:name w:val="כותרת 1 תו"/>
    <w:basedOn w:val="DefaultParagraphFont"/>
    <w:link w:val="Heading1"/>
    <w:uiPriority w:val="9"/>
    <w:rsid w:val="003A1D7A"/>
    <w:rPr>
      <w:rFonts w:ascii="Times New Roman" w:hAnsi="Times New Roman" w:cs="David"/>
      <w:b/>
      <w:bCs/>
      <w:caps/>
      <w:spacing w:val="15"/>
      <w:sz w:val="36"/>
      <w:szCs w:val="36"/>
    </w:rPr>
  </w:style>
  <w:style w:type="paragraph" w:styleId="Quote">
    <w:name w:val="Quote"/>
    <w:basedOn w:val="Normal"/>
    <w:next w:val="Normal"/>
    <w:link w:val="a"/>
    <w:uiPriority w:val="29"/>
    <w:qFormat/>
    <w:rsid w:val="003A1D7A"/>
    <w:pPr>
      <w:widowControl w:val="0"/>
      <w:ind w:left="567" w:right="567"/>
    </w:pPr>
    <w:rPr>
      <w:i/>
      <w:iCs/>
    </w:rPr>
  </w:style>
  <w:style w:type="character" w:customStyle="1" w:styleId="a">
    <w:name w:val="ציטוט תו"/>
    <w:basedOn w:val="DefaultParagraphFont"/>
    <w:link w:val="Quote"/>
    <w:uiPriority w:val="29"/>
    <w:rsid w:val="003A1D7A"/>
    <w:rPr>
      <w:rFonts w:ascii="Times New Roman" w:hAnsi="Times New Roman" w:cs="David"/>
      <w:i/>
      <w:iCs/>
      <w:sz w:val="24"/>
      <w:szCs w:val="24"/>
    </w:rPr>
  </w:style>
  <w:style w:type="character" w:customStyle="1" w:styleId="2">
    <w:name w:val="כותרת 2 תו"/>
    <w:basedOn w:val="DefaultParagraphFont"/>
    <w:link w:val="Heading2"/>
    <w:uiPriority w:val="9"/>
    <w:rsid w:val="003A1D7A"/>
    <w:rPr>
      <w:rFonts w:ascii="Times New Roman" w:hAnsi="Times New Roman" w:cs="David"/>
      <w:b/>
      <w:bCs/>
      <w:caps/>
      <w:spacing w:val="15"/>
      <w:sz w:val="32"/>
      <w:szCs w:val="32"/>
    </w:rPr>
  </w:style>
  <w:style w:type="character" w:customStyle="1" w:styleId="3">
    <w:name w:val="כותרת 3 תו"/>
    <w:basedOn w:val="DefaultParagraphFont"/>
    <w:link w:val="Heading3"/>
    <w:uiPriority w:val="9"/>
    <w:rsid w:val="001611C6"/>
    <w:rPr>
      <w:rFonts w:ascii="Times New Roman" w:hAnsi="Times New Roman" w:cs="David"/>
      <w:bCs/>
      <w:caps/>
      <w:spacing w:val="15"/>
      <w:sz w:val="28"/>
      <w:szCs w:val="28"/>
    </w:rPr>
  </w:style>
  <w:style w:type="character" w:customStyle="1" w:styleId="4">
    <w:name w:val="כותרת 4 תו"/>
    <w:basedOn w:val="DefaultParagraphFont"/>
    <w:link w:val="Heading4"/>
    <w:uiPriority w:val="9"/>
    <w:rsid w:val="003A1D7A"/>
    <w:rPr>
      <w:rFonts w:ascii="Times New Roman" w:hAnsi="Times New Roman" w:cs="David"/>
      <w:b/>
      <w:bCs/>
      <w:caps/>
      <w:spacing w:val="10"/>
      <w:sz w:val="24"/>
      <w:szCs w:val="24"/>
    </w:rPr>
  </w:style>
  <w:style w:type="character" w:customStyle="1" w:styleId="5">
    <w:name w:val="כותרת 5 תו"/>
    <w:basedOn w:val="DefaultParagraphFont"/>
    <w:link w:val="Heading5"/>
    <w:uiPriority w:val="9"/>
    <w:rsid w:val="003A1D7A"/>
    <w:rPr>
      <w:rFonts w:ascii="Times New Roman" w:hAnsi="Times New Roman" w:cs="David"/>
      <w:b/>
      <w:bCs/>
      <w:caps/>
      <w:spacing w:val="10"/>
      <w:sz w:val="24"/>
      <w:szCs w:val="24"/>
    </w:rPr>
  </w:style>
  <w:style w:type="character" w:customStyle="1" w:styleId="6">
    <w:name w:val="כותרת 6 תו"/>
    <w:basedOn w:val="DefaultParagraphFont"/>
    <w:link w:val="Heading6"/>
    <w:uiPriority w:val="9"/>
    <w:rsid w:val="00066383"/>
    <w:rPr>
      <w:rFonts w:ascii="Times New Roman" w:hAnsi="Times New Roman" w:cs="David"/>
      <w:b/>
      <w:bCs/>
      <w:caps/>
      <w:spacing w:val="10"/>
      <w:sz w:val="24"/>
      <w:szCs w:val="24"/>
    </w:rPr>
  </w:style>
  <w:style w:type="character" w:customStyle="1" w:styleId="7">
    <w:name w:val="כותרת 7 תו"/>
    <w:basedOn w:val="DefaultParagraphFont"/>
    <w:link w:val="Heading7"/>
    <w:uiPriority w:val="9"/>
    <w:rsid w:val="003A1D7A"/>
    <w:rPr>
      <w:rFonts w:ascii="Times New Roman" w:hAnsi="Times New Roman" w:cs="David"/>
      <w:b/>
      <w:bCs/>
      <w:caps/>
      <w:spacing w:val="10"/>
      <w:sz w:val="24"/>
      <w:szCs w:val="24"/>
    </w:rPr>
  </w:style>
  <w:style w:type="character" w:customStyle="1" w:styleId="8">
    <w:name w:val="כותרת 8 תו"/>
    <w:basedOn w:val="DefaultParagraphFont"/>
    <w:link w:val="Heading8"/>
    <w:uiPriority w:val="9"/>
    <w:semiHidden/>
    <w:rsid w:val="00014182"/>
    <w:rPr>
      <w:caps/>
      <w:spacing w:val="10"/>
      <w:sz w:val="18"/>
      <w:szCs w:val="18"/>
    </w:rPr>
  </w:style>
  <w:style w:type="character" w:customStyle="1" w:styleId="9">
    <w:name w:val="כותרת 9 תו"/>
    <w:basedOn w:val="DefaultParagraphFont"/>
    <w:link w:val="Heading9"/>
    <w:uiPriority w:val="9"/>
    <w:semiHidden/>
    <w:rsid w:val="00014182"/>
    <w:rPr>
      <w:i/>
      <w:caps/>
      <w:spacing w:val="10"/>
      <w:sz w:val="18"/>
      <w:szCs w:val="18"/>
    </w:rPr>
  </w:style>
  <w:style w:type="paragraph" w:styleId="Caption">
    <w:name w:val="caption"/>
    <w:basedOn w:val="Normal"/>
    <w:next w:val="Normal"/>
    <w:uiPriority w:val="35"/>
    <w:semiHidden/>
    <w:unhideWhenUsed/>
    <w:qFormat/>
    <w:rsid w:val="00014182"/>
    <w:pPr>
      <w:bidi w:val="0"/>
    </w:pPr>
    <w:rPr>
      <w:b/>
      <w:bCs/>
      <w:color w:val="365F91" w:themeColor="accent1" w:themeShade="BF"/>
      <w:sz w:val="16"/>
      <w:szCs w:val="16"/>
    </w:rPr>
  </w:style>
  <w:style w:type="paragraph" w:styleId="TOCHeading">
    <w:name w:val="TOC Heading"/>
    <w:basedOn w:val="Heading1"/>
    <w:next w:val="Normal"/>
    <w:uiPriority w:val="39"/>
    <w:semiHidden/>
    <w:unhideWhenUsed/>
    <w:qFormat/>
    <w:rsid w:val="00014182"/>
    <w:pPr>
      <w:bidi w:val="0"/>
      <w:outlineLvl w:val="9"/>
    </w:pPr>
    <w:rPr>
      <w:lang w:bidi="en-US"/>
    </w:rPr>
  </w:style>
  <w:style w:type="paragraph" w:styleId="TOC3">
    <w:name w:val="toc 3"/>
    <w:basedOn w:val="Normal"/>
    <w:next w:val="Normal"/>
    <w:autoRedefine/>
    <w:uiPriority w:val="39"/>
    <w:unhideWhenUsed/>
    <w:rsid w:val="00600BFA"/>
    <w:pPr>
      <w:widowControl w:val="0"/>
      <w:tabs>
        <w:tab w:val="right" w:leader="dot" w:pos="8296"/>
      </w:tabs>
      <w:spacing w:before="100" w:after="100" w:line="240" w:lineRule="auto"/>
      <w:ind w:left="482"/>
    </w:pPr>
  </w:style>
  <w:style w:type="paragraph" w:styleId="TOC1">
    <w:name w:val="toc 1"/>
    <w:basedOn w:val="Normal"/>
    <w:next w:val="Normal"/>
    <w:autoRedefine/>
    <w:uiPriority w:val="39"/>
    <w:unhideWhenUsed/>
    <w:rsid w:val="00600BFA"/>
    <w:pPr>
      <w:widowControl w:val="0"/>
      <w:tabs>
        <w:tab w:val="right" w:leader="dot" w:pos="8296"/>
      </w:tabs>
      <w:spacing w:before="100" w:after="100" w:line="240" w:lineRule="auto"/>
    </w:pPr>
  </w:style>
  <w:style w:type="paragraph" w:styleId="TOC2">
    <w:name w:val="toc 2"/>
    <w:basedOn w:val="Normal"/>
    <w:next w:val="Normal"/>
    <w:autoRedefine/>
    <w:uiPriority w:val="39"/>
    <w:unhideWhenUsed/>
    <w:rsid w:val="00600BFA"/>
    <w:pPr>
      <w:widowControl w:val="0"/>
      <w:tabs>
        <w:tab w:val="right" w:leader="dot" w:pos="8296"/>
      </w:tabs>
      <w:spacing w:before="100" w:after="100" w:line="240" w:lineRule="auto"/>
      <w:ind w:left="238"/>
    </w:pPr>
  </w:style>
  <w:style w:type="paragraph" w:styleId="TOC7">
    <w:name w:val="toc 7"/>
    <w:basedOn w:val="Normal"/>
    <w:next w:val="Normal"/>
    <w:autoRedefine/>
    <w:uiPriority w:val="39"/>
    <w:unhideWhenUsed/>
    <w:rsid w:val="00600BFA"/>
    <w:pPr>
      <w:widowControl w:val="0"/>
      <w:tabs>
        <w:tab w:val="right" w:leader="dot" w:pos="8296"/>
      </w:tabs>
      <w:spacing w:before="100" w:after="100" w:line="240" w:lineRule="auto"/>
      <w:ind w:left="1440"/>
    </w:pPr>
  </w:style>
  <w:style w:type="paragraph" w:styleId="TOC6">
    <w:name w:val="toc 6"/>
    <w:basedOn w:val="Normal"/>
    <w:next w:val="Normal"/>
    <w:autoRedefine/>
    <w:uiPriority w:val="39"/>
    <w:unhideWhenUsed/>
    <w:rsid w:val="00600BFA"/>
    <w:pPr>
      <w:widowControl w:val="0"/>
      <w:tabs>
        <w:tab w:val="right" w:leader="dot" w:pos="8296"/>
      </w:tabs>
      <w:spacing w:before="100" w:after="100" w:line="240" w:lineRule="auto"/>
      <w:ind w:left="1202"/>
      <w:contextualSpacing/>
    </w:pPr>
  </w:style>
  <w:style w:type="paragraph" w:styleId="TOC5">
    <w:name w:val="toc 5"/>
    <w:basedOn w:val="Normal"/>
    <w:next w:val="Normal"/>
    <w:autoRedefine/>
    <w:uiPriority w:val="39"/>
    <w:unhideWhenUsed/>
    <w:rsid w:val="00600BFA"/>
    <w:pPr>
      <w:widowControl w:val="0"/>
      <w:tabs>
        <w:tab w:val="right" w:leader="dot" w:pos="8296"/>
      </w:tabs>
      <w:spacing w:before="100" w:after="100" w:line="240" w:lineRule="auto"/>
      <w:ind w:left="958"/>
    </w:pPr>
  </w:style>
  <w:style w:type="paragraph" w:styleId="TOC4">
    <w:name w:val="toc 4"/>
    <w:basedOn w:val="Normal"/>
    <w:next w:val="Normal"/>
    <w:autoRedefine/>
    <w:uiPriority w:val="39"/>
    <w:unhideWhenUsed/>
    <w:rsid w:val="00600BFA"/>
    <w:pPr>
      <w:widowControl w:val="0"/>
      <w:spacing w:before="100" w:after="100" w:line="240" w:lineRule="auto"/>
      <w:ind w:left="720"/>
    </w:pPr>
  </w:style>
  <w:style w:type="paragraph" w:styleId="ListParagraph">
    <w:name w:val="List Paragraph"/>
    <w:basedOn w:val="Normal"/>
    <w:uiPriority w:val="34"/>
    <w:qFormat/>
    <w:rsid w:val="00FE3193"/>
    <w:pPr>
      <w:ind w:left="720"/>
      <w:contextualSpacing/>
    </w:pPr>
  </w:style>
  <w:style w:type="numbering" w:customStyle="1" w:styleId="-">
    <w:name w:val="משרד האוצר - מדורג"/>
    <w:uiPriority w:val="99"/>
    <w:rsid w:val="00FE3193"/>
    <w:pPr>
      <w:numPr>
        <w:numId w:val="2"/>
      </w:numPr>
    </w:pPr>
  </w:style>
  <w:style w:type="numbering" w:customStyle="1" w:styleId="-0">
    <w:name w:val="משרד האוצר - מדורג קצר"/>
    <w:uiPriority w:val="99"/>
    <w:rsid w:val="00FE3193"/>
    <w:pPr>
      <w:numPr>
        <w:numId w:val="3"/>
      </w:numPr>
    </w:pPr>
  </w:style>
  <w:style w:type="paragraph" w:styleId="Header">
    <w:name w:val="header"/>
    <w:basedOn w:val="Normal"/>
    <w:link w:val="a0"/>
    <w:uiPriority w:val="99"/>
    <w:unhideWhenUsed/>
    <w:rsid w:val="00B8755D"/>
    <w:pPr>
      <w:tabs>
        <w:tab w:val="center" w:pos="4153"/>
        <w:tab w:val="right" w:pos="8306"/>
      </w:tabs>
      <w:spacing w:before="0" w:after="0" w:line="240" w:lineRule="auto"/>
    </w:pPr>
  </w:style>
  <w:style w:type="character" w:customStyle="1" w:styleId="a0">
    <w:name w:val="כותרת עליונה תו"/>
    <w:basedOn w:val="DefaultParagraphFont"/>
    <w:link w:val="Header"/>
    <w:uiPriority w:val="99"/>
    <w:rsid w:val="00B8755D"/>
    <w:rPr>
      <w:rFonts w:ascii="Times New Roman" w:hAnsi="Times New Roman" w:cs="FrankRuehl"/>
      <w:sz w:val="24"/>
      <w:szCs w:val="26"/>
    </w:rPr>
  </w:style>
  <w:style w:type="paragraph" w:styleId="Footer">
    <w:name w:val="footer"/>
    <w:basedOn w:val="Normal"/>
    <w:link w:val="a1"/>
    <w:uiPriority w:val="99"/>
    <w:unhideWhenUsed/>
    <w:rsid w:val="00B8755D"/>
    <w:pPr>
      <w:tabs>
        <w:tab w:val="center" w:pos="4153"/>
        <w:tab w:val="right" w:pos="8306"/>
      </w:tabs>
      <w:spacing w:before="0" w:after="0" w:line="240" w:lineRule="auto"/>
    </w:pPr>
  </w:style>
  <w:style w:type="character" w:customStyle="1" w:styleId="a1">
    <w:name w:val="כותרת תחתונה תו"/>
    <w:basedOn w:val="DefaultParagraphFont"/>
    <w:link w:val="Footer"/>
    <w:uiPriority w:val="99"/>
    <w:rsid w:val="00B8755D"/>
    <w:rPr>
      <w:rFonts w:ascii="Times New Roman" w:hAnsi="Times New Roman" w:cs="FrankRuehl"/>
      <w:sz w:val="24"/>
      <w:szCs w:val="26"/>
    </w:rPr>
  </w:style>
  <w:style w:type="paragraph" w:styleId="BalloonText">
    <w:name w:val="Balloon Text"/>
    <w:basedOn w:val="Normal"/>
    <w:link w:val="a2"/>
    <w:uiPriority w:val="99"/>
    <w:semiHidden/>
    <w:unhideWhenUsed/>
    <w:rsid w:val="00DA54F8"/>
    <w:pPr>
      <w:spacing w:before="0" w:after="0" w:line="240" w:lineRule="auto"/>
    </w:pPr>
    <w:rPr>
      <w:rFonts w:ascii="Segoe UI" w:hAnsi="Segoe UI" w:cs="Segoe UI"/>
      <w:sz w:val="18"/>
      <w:szCs w:val="18"/>
    </w:rPr>
  </w:style>
  <w:style w:type="character" w:customStyle="1" w:styleId="a2">
    <w:name w:val="טקסט בלונים תו"/>
    <w:basedOn w:val="DefaultParagraphFont"/>
    <w:link w:val="BalloonText"/>
    <w:uiPriority w:val="99"/>
    <w:semiHidden/>
    <w:rsid w:val="00DA54F8"/>
    <w:rPr>
      <w:rFonts w:ascii="Segoe UI" w:hAnsi="Segoe UI" w:cs="Segoe UI"/>
      <w:sz w:val="18"/>
      <w:szCs w:val="18"/>
    </w:rPr>
  </w:style>
  <w:style w:type="table" w:styleId="TableGrid">
    <w:name w:val="Table Grid"/>
    <w:basedOn w:val="TableNormal"/>
    <w:uiPriority w:val="59"/>
    <w:rsid w:val="00A07C5D"/>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E45B6D"/>
    <w:rPr>
      <w:color w:val="0000FF"/>
      <w:u w:val="single"/>
    </w:rPr>
  </w:style>
  <w:style w:type="paragraph" w:styleId="NormalWeb">
    <w:name w:val="Normal (Web)"/>
    <w:rsid w:val="006F077B"/>
    <w:pPr>
      <w:pBdr>
        <w:top w:val="nil"/>
        <w:left w:val="nil"/>
        <w:bottom w:val="nil"/>
        <w:right w:val="nil"/>
        <w:between w:val="nil"/>
        <w:bar w:val="nil"/>
      </w:pBdr>
      <w:bidi/>
      <w:spacing w:before="100" w:after="100" w:line="240" w:lineRule="auto"/>
    </w:pPr>
    <w:rPr>
      <w:rFonts w:ascii="Arial Unicode MS" w:eastAsia="Arial Unicode MS" w:hAnsi="Arial Unicode MS" w:cs="Arial Unicode MS" w:hint="cs"/>
      <w:color w:val="000000"/>
      <w:sz w:val="24"/>
      <w:szCs w:val="24"/>
      <w:u w:color="000000"/>
      <w:bdr w:val="nil"/>
    </w:rPr>
  </w:style>
  <w:style w:type="paragraph" w:styleId="FootnoteText">
    <w:name w:val="footnote text"/>
    <w:basedOn w:val="Normal"/>
    <w:link w:val="a3"/>
    <w:rsid w:val="006F077B"/>
    <w:pPr>
      <w:spacing w:before="0" w:after="0" w:line="240" w:lineRule="auto"/>
      <w:jc w:val="left"/>
    </w:pPr>
    <w:rPr>
      <w:rFonts w:ascii="Arial Narrow" w:eastAsia="Times New Roman" w:hAnsi="Arial Narrow"/>
      <w:sz w:val="20"/>
      <w:szCs w:val="20"/>
      <w:lang w:eastAsia="he-IL"/>
    </w:rPr>
  </w:style>
  <w:style w:type="character" w:customStyle="1" w:styleId="a3">
    <w:name w:val="טקסט הערת שוליים תו"/>
    <w:basedOn w:val="DefaultParagraphFont"/>
    <w:link w:val="FootnoteText"/>
    <w:rsid w:val="006F077B"/>
    <w:rPr>
      <w:rFonts w:ascii="Arial Narrow" w:eastAsia="Times New Roman" w:hAnsi="Arial Narrow" w:cs="FrankRuehl"/>
      <w:sz w:val="20"/>
      <w:szCs w:val="20"/>
      <w:lang w:eastAsia="he-IL"/>
    </w:rPr>
  </w:style>
  <w:style w:type="character" w:styleId="FootnoteReference">
    <w:name w:val="footnote reference"/>
    <w:rsid w:val="006F077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footer2.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png" /><Relationship Id="rId3" Type="http://schemas.openxmlformats.org/officeDocument/2006/relationships/image" Target="media/image4.png" /><Relationship Id="rId4" Type="http://schemas.openxmlformats.org/officeDocument/2006/relationships/hyperlink" Target="file:///C:\Users\Sayelet\AppData\Local\Microsoft\Windows\INetCache\Content.Outlook\VBB64JWO\www.hozrimsachar.mof.gov.il" TargetMode="External" /><Relationship Id="rId5" Type="http://schemas.openxmlformats.org/officeDocument/2006/relationships/hyperlink" Target="mailto:amercal@mof.gov.il" TargetMode="External" /></Relationships>
</file>

<file path=word/_rels/header2.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925D5A-F54C-4C6A-9CF1-B9B199AAD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