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2DA0" w:rsidRDefault="00272DA0" w:rsidP="00272DA0">
      <w:pPr>
        <w:spacing w:line="360" w:lineRule="auto"/>
        <w:jc w:val="both"/>
        <w:rPr>
          <w:rFonts w:cs="David"/>
          <w:b/>
          <w:bCs/>
          <w:sz w:val="32"/>
          <w:szCs w:val="32"/>
          <w:u w:val="single"/>
          <w:rtl/>
        </w:rPr>
      </w:pPr>
      <w:r w:rsidRPr="00E9763A">
        <w:rPr>
          <w:rFonts w:cs="David" w:hint="cs"/>
          <w:b/>
          <w:bCs/>
          <w:sz w:val="32"/>
          <w:szCs w:val="32"/>
          <w:u w:val="single"/>
          <w:rtl/>
        </w:rPr>
        <w:t>תקציר ההחלטה- רקע ותמצית ההכרעה</w:t>
      </w:r>
    </w:p>
    <w:p w:rsidR="00272DA0" w:rsidRPr="00513995" w:rsidRDefault="00272DA0" w:rsidP="00272DA0">
      <w:pPr>
        <w:spacing w:line="360" w:lineRule="auto"/>
        <w:jc w:val="both"/>
        <w:rPr>
          <w:rFonts w:cs="David"/>
          <w:b/>
          <w:bCs/>
          <w:sz w:val="28"/>
          <w:szCs w:val="28"/>
          <w:u w:val="single"/>
          <w:rtl/>
        </w:rPr>
      </w:pPr>
      <w:r w:rsidRPr="00513995">
        <w:rPr>
          <w:rFonts w:cs="David" w:hint="cs"/>
          <w:b/>
          <w:bCs/>
          <w:sz w:val="28"/>
          <w:szCs w:val="28"/>
          <w:u w:val="single"/>
          <w:rtl/>
        </w:rPr>
        <w:t>הרקע</w:t>
      </w:r>
    </w:p>
    <w:p w:rsidR="00272DA0"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החלטה זו ע</w:t>
      </w:r>
      <w:r>
        <w:rPr>
          <w:rFonts w:cs="David" w:hint="cs"/>
          <w:sz w:val="24"/>
          <w:szCs w:val="24"/>
          <w:rtl/>
        </w:rPr>
        <w:t>ניינה הכרעה בטענות ההגנה לפיהן הודאות</w:t>
      </w:r>
      <w:r w:rsidRPr="00196066">
        <w:rPr>
          <w:rFonts w:cs="David" w:hint="cs"/>
          <w:sz w:val="24"/>
          <w:szCs w:val="24"/>
          <w:rtl/>
        </w:rPr>
        <w:t xml:space="preserve"> שמסרו הנאשמים במסגרת חקירתם אינן קבילות, מאחר שניתנו באופן שאינו חופשי ומרצון, ותוך פגיעה בזכויותיהם.</w:t>
      </w:r>
    </w:p>
    <w:p w:rsidR="00272DA0" w:rsidRPr="000B081C" w:rsidRDefault="00272DA0" w:rsidP="00272DA0">
      <w:pPr>
        <w:pStyle w:val="a3"/>
        <w:spacing w:line="360" w:lineRule="auto"/>
        <w:ind w:left="567"/>
        <w:jc w:val="both"/>
        <w:rPr>
          <w:rFonts w:cs="David"/>
          <w:sz w:val="16"/>
          <w:szCs w:val="16"/>
        </w:rPr>
      </w:pPr>
    </w:p>
    <w:p w:rsidR="00272DA0" w:rsidRPr="000B081C" w:rsidRDefault="00272DA0" w:rsidP="00272DA0">
      <w:pPr>
        <w:pStyle w:val="a3"/>
        <w:numPr>
          <w:ilvl w:val="0"/>
          <w:numId w:val="19"/>
        </w:numPr>
        <w:spacing w:line="360" w:lineRule="auto"/>
        <w:jc w:val="both"/>
        <w:rPr>
          <w:rFonts w:cs="David"/>
          <w:sz w:val="24"/>
          <w:szCs w:val="24"/>
        </w:rPr>
      </w:pPr>
      <w:r w:rsidRPr="000B081C">
        <w:rPr>
          <w:rFonts w:cs="David" w:hint="cs"/>
          <w:sz w:val="24"/>
          <w:szCs w:val="24"/>
          <w:rtl/>
        </w:rPr>
        <w:t>כתב-האישום מייחס לשני הנאשמים ולאחרים, חברות בארגון טרור שביקש ליצור תבערה ביטחונית על רקע לאומני ובין דתי. בנ</w:t>
      </w:r>
      <w:bookmarkStart w:id="0" w:name="_GoBack"/>
      <w:bookmarkEnd w:id="0"/>
      <w:r w:rsidRPr="000B081C">
        <w:rPr>
          <w:rFonts w:cs="David" w:hint="cs"/>
          <w:sz w:val="24"/>
          <w:szCs w:val="24"/>
          <w:rtl/>
        </w:rPr>
        <w:t xml:space="preserve">וסף, מייחס כתב-האישום לנאשמים את תכנון הפיגוע בכפר </w:t>
      </w:r>
      <w:proofErr w:type="spellStart"/>
      <w:r w:rsidRPr="000B081C">
        <w:rPr>
          <w:rFonts w:cs="David" w:hint="cs"/>
          <w:sz w:val="24"/>
          <w:szCs w:val="24"/>
          <w:rtl/>
        </w:rPr>
        <w:t>דומא</w:t>
      </w:r>
      <w:proofErr w:type="spellEnd"/>
      <w:r w:rsidRPr="000B081C">
        <w:rPr>
          <w:rFonts w:cs="David" w:hint="cs"/>
          <w:sz w:val="24"/>
          <w:szCs w:val="24"/>
          <w:rtl/>
        </w:rPr>
        <w:t xml:space="preserve">, ולנאשם 1 גם את ביצועו. כתוצאה מהפיגוע נשרפו למוות שלושה מבני משפחת </w:t>
      </w:r>
      <w:proofErr w:type="spellStart"/>
      <w:r w:rsidRPr="000B081C">
        <w:rPr>
          <w:rFonts w:cs="David" w:hint="cs"/>
          <w:sz w:val="24"/>
          <w:szCs w:val="24"/>
          <w:rtl/>
        </w:rPr>
        <w:t>דוואבשה</w:t>
      </w:r>
      <w:proofErr w:type="spellEnd"/>
      <w:r w:rsidRPr="000B081C">
        <w:rPr>
          <w:rFonts w:cs="David" w:hint="cs"/>
          <w:sz w:val="24"/>
          <w:szCs w:val="24"/>
          <w:rtl/>
        </w:rPr>
        <w:t xml:space="preserve"> וילד נוסף נפצע באורח קשה מאוד. כמו כן, מיוחסים לנאשם 2, יחד עם אחרים, ארבעה אירועי הצתה ושני אירועי ניקוב צמיגים, וזאת על רקע חברותם בארגון הטרור וממניע גזעני.</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4D7665">
        <w:rPr>
          <w:rFonts w:cs="David" w:hint="cs"/>
          <w:sz w:val="24"/>
          <w:szCs w:val="24"/>
          <w:rtl/>
        </w:rPr>
        <w:t>הנאשמים היו מנועים מלהיפגש עם עורך-דינם במשך 21 יום.</w:t>
      </w:r>
    </w:p>
    <w:p w:rsidR="00272DA0" w:rsidRPr="004D7665" w:rsidRDefault="00272DA0" w:rsidP="00272DA0">
      <w:pPr>
        <w:pStyle w:val="a3"/>
        <w:spacing w:line="360" w:lineRule="auto"/>
        <w:ind w:left="567"/>
        <w:jc w:val="both"/>
        <w:rPr>
          <w:rFonts w:cs="David"/>
          <w:sz w:val="24"/>
          <w:szCs w:val="24"/>
        </w:rPr>
      </w:pPr>
      <w:r w:rsidRPr="004D7665">
        <w:rPr>
          <w:rFonts w:cs="David" w:hint="cs"/>
          <w:sz w:val="24"/>
          <w:szCs w:val="24"/>
          <w:u w:val="single"/>
          <w:rtl/>
        </w:rPr>
        <w:t>נאשם 1</w:t>
      </w:r>
      <w:r w:rsidRPr="004D7665">
        <w:rPr>
          <w:rFonts w:cs="David" w:hint="cs"/>
          <w:sz w:val="24"/>
          <w:szCs w:val="24"/>
          <w:rtl/>
        </w:rPr>
        <w:t xml:space="preserve"> נעצר ביום 1.12.2015, ונלקח מיד לחקירת שב"כ. במשך 17 ימים, הגם שנחקר פעמים רבות, שתק באופן גורף</w:t>
      </w:r>
      <w:r>
        <w:rPr>
          <w:rFonts w:cs="David" w:hint="cs"/>
          <w:sz w:val="24"/>
          <w:szCs w:val="24"/>
          <w:rtl/>
        </w:rPr>
        <w:t>. לנאשם בוצעו שתי "</w:t>
      </w:r>
      <w:r w:rsidRPr="00C548CE">
        <w:rPr>
          <w:rFonts w:cs="David" w:hint="cs"/>
          <w:sz w:val="24"/>
          <w:szCs w:val="24"/>
          <w:u w:val="single"/>
          <w:rtl/>
        </w:rPr>
        <w:t>חקירות צורך</w:t>
      </w:r>
      <w:r>
        <w:rPr>
          <w:rFonts w:cs="David" w:hint="cs"/>
          <w:sz w:val="24"/>
          <w:szCs w:val="24"/>
          <w:rtl/>
        </w:rPr>
        <w:t xml:space="preserve">" </w:t>
      </w:r>
      <w:r>
        <w:rPr>
          <w:rFonts w:cs="David"/>
          <w:sz w:val="24"/>
          <w:szCs w:val="24"/>
          <w:rtl/>
        </w:rPr>
        <w:t>–</w:t>
      </w:r>
      <w:r>
        <w:rPr>
          <w:rFonts w:cs="David" w:hint="cs"/>
          <w:sz w:val="24"/>
          <w:szCs w:val="24"/>
          <w:rtl/>
        </w:rPr>
        <w:t xml:space="preserve"> חקירות </w:t>
      </w:r>
      <w:r w:rsidRPr="004D7665">
        <w:rPr>
          <w:rFonts w:cs="David" w:hint="cs"/>
          <w:sz w:val="24"/>
          <w:szCs w:val="24"/>
          <w:rtl/>
        </w:rPr>
        <w:t xml:space="preserve">שנערכו על-ידי חוקרי שב"כ תוך שימוש ב"אמצעים מיוחדים" הכוללים בין היתר אמצעים פיזיים. זמן קצר לאחר שהחל השימוש באמצעים אלה, בחקירת הצורך הראשונה, הודה הנאשם 1 בביצוע הפיגוע </w:t>
      </w:r>
      <w:proofErr w:type="spellStart"/>
      <w:r w:rsidRPr="004D7665">
        <w:rPr>
          <w:rFonts w:cs="David" w:hint="cs"/>
          <w:sz w:val="24"/>
          <w:szCs w:val="24"/>
          <w:rtl/>
        </w:rPr>
        <w:t>בדומא</w:t>
      </w:r>
      <w:proofErr w:type="spellEnd"/>
      <w:r w:rsidRPr="004D7665">
        <w:rPr>
          <w:rFonts w:cs="David" w:hint="cs"/>
          <w:sz w:val="24"/>
          <w:szCs w:val="24"/>
          <w:rtl/>
        </w:rPr>
        <w:t xml:space="preserve">. </w:t>
      </w:r>
    </w:p>
    <w:p w:rsidR="00272DA0" w:rsidRPr="000B081C" w:rsidRDefault="00272DA0" w:rsidP="00272DA0">
      <w:pPr>
        <w:pStyle w:val="a3"/>
        <w:spacing w:line="360" w:lineRule="auto"/>
        <w:ind w:left="567"/>
        <w:jc w:val="both"/>
        <w:rPr>
          <w:rFonts w:cs="David"/>
          <w:sz w:val="16"/>
          <w:szCs w:val="16"/>
        </w:rPr>
      </w:pPr>
    </w:p>
    <w:p w:rsidR="00272DA0" w:rsidRPr="00196066"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ל</w:t>
      </w:r>
      <w:r>
        <w:rPr>
          <w:rFonts w:cs="David" w:hint="cs"/>
          <w:sz w:val="24"/>
          <w:szCs w:val="24"/>
          <w:rtl/>
        </w:rPr>
        <w:t xml:space="preserve">אחר מכן נחקר </w:t>
      </w:r>
      <w:r w:rsidRPr="009828E2">
        <w:rPr>
          <w:rFonts w:cs="David" w:hint="cs"/>
          <w:sz w:val="24"/>
          <w:szCs w:val="24"/>
          <w:u w:val="single"/>
          <w:rtl/>
        </w:rPr>
        <w:t>חקירות עוקבות</w:t>
      </w:r>
      <w:r>
        <w:rPr>
          <w:rFonts w:cs="David" w:hint="cs"/>
          <w:sz w:val="24"/>
          <w:szCs w:val="24"/>
          <w:rtl/>
        </w:rPr>
        <w:t xml:space="preserve"> רבות </w:t>
      </w:r>
      <w:r>
        <w:rPr>
          <w:rFonts w:cs="David"/>
          <w:sz w:val="24"/>
          <w:szCs w:val="24"/>
          <w:rtl/>
        </w:rPr>
        <w:t>–</w:t>
      </w:r>
      <w:r>
        <w:rPr>
          <w:rFonts w:cs="David" w:hint="cs"/>
          <w:sz w:val="24"/>
          <w:szCs w:val="24"/>
          <w:rtl/>
        </w:rPr>
        <w:t xml:space="preserve"> חקירות בהן לא ננקטו אמצעים מיוחדים,</w:t>
      </w:r>
      <w:r w:rsidRPr="00196066">
        <w:rPr>
          <w:rFonts w:cs="David" w:hint="cs"/>
          <w:sz w:val="24"/>
          <w:szCs w:val="24"/>
          <w:rtl/>
        </w:rPr>
        <w:t xml:space="preserve"> חזר על הודאתו וביצע הוב</w:t>
      </w:r>
      <w:r>
        <w:rPr>
          <w:rFonts w:cs="David" w:hint="cs"/>
          <w:sz w:val="24"/>
          <w:szCs w:val="24"/>
          <w:rtl/>
        </w:rPr>
        <w:t xml:space="preserve">לה והצבעה. חלק מחקירותיו תועדו </w:t>
      </w:r>
      <w:r w:rsidRPr="00196066">
        <w:rPr>
          <w:rFonts w:cs="David" w:hint="cs"/>
          <w:sz w:val="24"/>
          <w:szCs w:val="24"/>
          <w:rtl/>
        </w:rPr>
        <w:t>תיעוד חזותי</w:t>
      </w:r>
      <w:r>
        <w:rPr>
          <w:rFonts w:cs="David" w:hint="cs"/>
          <w:sz w:val="24"/>
          <w:szCs w:val="24"/>
          <w:rtl/>
        </w:rPr>
        <w:t>, וזאת כצעד חריג בחקירות שב"כ בהן אין חובת תיעוד</w:t>
      </w:r>
      <w:r w:rsidRPr="00196066">
        <w:rPr>
          <w:rFonts w:cs="David" w:hint="cs"/>
          <w:sz w:val="24"/>
          <w:szCs w:val="24"/>
          <w:rtl/>
        </w:rPr>
        <w:t xml:space="preserve">. לקראת </w:t>
      </w:r>
      <w:r>
        <w:rPr>
          <w:rFonts w:cs="David" w:hint="cs"/>
          <w:sz w:val="24"/>
          <w:szCs w:val="24"/>
          <w:rtl/>
        </w:rPr>
        <w:t xml:space="preserve">סיום </w:t>
      </w:r>
      <w:r w:rsidRPr="00196066">
        <w:rPr>
          <w:rFonts w:cs="David" w:hint="cs"/>
          <w:sz w:val="24"/>
          <w:szCs w:val="24"/>
          <w:rtl/>
        </w:rPr>
        <w:t>מניעת המפגש</w:t>
      </w:r>
      <w:r>
        <w:rPr>
          <w:rFonts w:cs="David" w:hint="cs"/>
          <w:sz w:val="24"/>
          <w:szCs w:val="24"/>
          <w:rtl/>
        </w:rPr>
        <w:t xml:space="preserve"> עם עורך-דין</w:t>
      </w:r>
      <w:r w:rsidRPr="00196066">
        <w:rPr>
          <w:rFonts w:cs="David" w:hint="cs"/>
          <w:sz w:val="24"/>
          <w:szCs w:val="24"/>
          <w:rtl/>
        </w:rPr>
        <w:t xml:space="preserve">, נערכה חקירת צורך נוספת, במהלכה </w:t>
      </w:r>
      <w:r>
        <w:rPr>
          <w:rFonts w:cs="David" w:hint="cs"/>
          <w:sz w:val="24"/>
          <w:szCs w:val="24"/>
          <w:rtl/>
        </w:rPr>
        <w:t xml:space="preserve">חזר על שהודה אך לא מסר שמות של </w:t>
      </w:r>
      <w:r w:rsidRPr="00196066">
        <w:rPr>
          <w:rFonts w:cs="David" w:hint="cs"/>
          <w:sz w:val="24"/>
          <w:szCs w:val="24"/>
          <w:rtl/>
        </w:rPr>
        <w:t xml:space="preserve">שותפים </w:t>
      </w:r>
      <w:r>
        <w:rPr>
          <w:rFonts w:cs="David" w:hint="cs"/>
          <w:sz w:val="24"/>
          <w:szCs w:val="24"/>
          <w:rtl/>
        </w:rPr>
        <w:t xml:space="preserve">נוספים לביצוע הפיגוע או שמות </w:t>
      </w:r>
      <w:r w:rsidRPr="00196066">
        <w:rPr>
          <w:rFonts w:cs="David" w:hint="cs"/>
          <w:sz w:val="24"/>
          <w:szCs w:val="24"/>
          <w:rtl/>
        </w:rPr>
        <w:t>פעילים נוספים בתשתית.</w:t>
      </w:r>
    </w:p>
    <w:p w:rsidR="00272DA0" w:rsidRPr="000B081C" w:rsidRDefault="00272DA0" w:rsidP="00272DA0">
      <w:pPr>
        <w:pStyle w:val="a3"/>
        <w:spacing w:line="360" w:lineRule="auto"/>
        <w:jc w:val="both"/>
        <w:rPr>
          <w:rFonts w:cs="David"/>
          <w:sz w:val="16"/>
          <w:szCs w:val="16"/>
          <w:u w:val="single"/>
          <w:rtl/>
        </w:rPr>
      </w:pPr>
    </w:p>
    <w:p w:rsidR="00272DA0" w:rsidRDefault="00272DA0" w:rsidP="00272DA0">
      <w:pPr>
        <w:pStyle w:val="a3"/>
        <w:numPr>
          <w:ilvl w:val="0"/>
          <w:numId w:val="19"/>
        </w:numPr>
        <w:spacing w:line="360" w:lineRule="auto"/>
        <w:jc w:val="both"/>
        <w:rPr>
          <w:rFonts w:cs="David"/>
          <w:sz w:val="24"/>
          <w:szCs w:val="24"/>
        </w:rPr>
      </w:pPr>
      <w:r w:rsidRPr="007A4BEB">
        <w:rPr>
          <w:rFonts w:cs="David" w:hint="cs"/>
          <w:sz w:val="24"/>
          <w:szCs w:val="24"/>
          <w:u w:val="single"/>
          <w:rtl/>
        </w:rPr>
        <w:t>נאשם 2</w:t>
      </w:r>
      <w:r w:rsidRPr="007A4BEB">
        <w:rPr>
          <w:rFonts w:cs="David" w:hint="cs"/>
          <w:sz w:val="24"/>
          <w:szCs w:val="24"/>
          <w:rtl/>
        </w:rPr>
        <w:t>, שהיה כבן 17, נעצר ביום 25.11.2015. בתקופה הראשונה לחקירתו</w:t>
      </w:r>
      <w:r>
        <w:rPr>
          <w:rFonts w:cs="David" w:hint="cs"/>
          <w:sz w:val="24"/>
          <w:szCs w:val="24"/>
          <w:rtl/>
        </w:rPr>
        <w:t>,</w:t>
      </w:r>
      <w:r w:rsidRPr="007A4BEB">
        <w:rPr>
          <w:rFonts w:cs="David" w:hint="cs"/>
          <w:sz w:val="24"/>
          <w:szCs w:val="24"/>
          <w:rtl/>
        </w:rPr>
        <w:t xml:space="preserve"> הועבר לבית מעצר למשך שבעה ימים, במהלכם נערך תרגיל מדובבים. בבית המעצר שהו עמו מדוב</w:t>
      </w:r>
      <w:r>
        <w:rPr>
          <w:rFonts w:cs="David" w:hint="cs"/>
          <w:sz w:val="24"/>
          <w:szCs w:val="24"/>
          <w:rtl/>
        </w:rPr>
        <w:t>בים-שוטרים הנחזים להיות עצורים. התרגיל תועד כולו באודיו.</w:t>
      </w:r>
    </w:p>
    <w:p w:rsidR="00272DA0" w:rsidRPr="000B081C" w:rsidRDefault="00272DA0" w:rsidP="00272DA0">
      <w:pPr>
        <w:pStyle w:val="a3"/>
        <w:rPr>
          <w:rFonts w:cs="David"/>
          <w:sz w:val="16"/>
          <w:szCs w:val="16"/>
          <w:rtl/>
        </w:rPr>
      </w:pPr>
    </w:p>
    <w:p w:rsidR="00272DA0" w:rsidRPr="00196066"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 xml:space="preserve">במהלך התרגיל הודה </w:t>
      </w:r>
      <w:r>
        <w:rPr>
          <w:rFonts w:cs="David" w:hint="cs"/>
          <w:sz w:val="24"/>
          <w:szCs w:val="24"/>
          <w:rtl/>
        </w:rPr>
        <w:t xml:space="preserve">הנאשם 2 </w:t>
      </w:r>
      <w:r w:rsidRPr="00196066">
        <w:rPr>
          <w:rFonts w:cs="David" w:hint="cs"/>
          <w:sz w:val="24"/>
          <w:szCs w:val="24"/>
          <w:rtl/>
        </w:rPr>
        <w:t xml:space="preserve">בביצוע המעשים המיוחסים לו </w:t>
      </w:r>
      <w:proofErr w:type="spellStart"/>
      <w:r w:rsidRPr="00196066">
        <w:rPr>
          <w:rFonts w:cs="David" w:hint="cs"/>
          <w:sz w:val="24"/>
          <w:szCs w:val="24"/>
          <w:rtl/>
        </w:rPr>
        <w:t>באישומים</w:t>
      </w:r>
      <w:proofErr w:type="spellEnd"/>
      <w:r w:rsidRPr="00196066">
        <w:rPr>
          <w:rFonts w:cs="David" w:hint="cs"/>
          <w:sz w:val="24"/>
          <w:szCs w:val="24"/>
          <w:rtl/>
        </w:rPr>
        <w:t xml:space="preserve"> 3-7 וכן תיאר בה</w:t>
      </w:r>
      <w:r>
        <w:rPr>
          <w:rFonts w:cs="David" w:hint="cs"/>
          <w:sz w:val="24"/>
          <w:szCs w:val="24"/>
          <w:rtl/>
        </w:rPr>
        <w:t>רחבה את האידיאולוגיה שלו ואת דרכי הפעולה של</w:t>
      </w:r>
      <w:r w:rsidRPr="00196066">
        <w:rPr>
          <w:rFonts w:cs="David" w:hint="cs"/>
          <w:sz w:val="24"/>
          <w:szCs w:val="24"/>
          <w:rtl/>
        </w:rPr>
        <w:t xml:space="preserve"> התשתית אליה הוא משתייך. יחד עם זאת, הכחיש קשר שלו לפיגוע </w:t>
      </w:r>
      <w:proofErr w:type="spellStart"/>
      <w:r w:rsidRPr="00196066">
        <w:rPr>
          <w:rFonts w:cs="David" w:hint="cs"/>
          <w:sz w:val="24"/>
          <w:szCs w:val="24"/>
          <w:rtl/>
        </w:rPr>
        <w:t>בדומא</w:t>
      </w:r>
      <w:proofErr w:type="spellEnd"/>
      <w:r w:rsidRPr="00196066">
        <w:rPr>
          <w:rFonts w:cs="David" w:hint="cs"/>
          <w:sz w:val="24"/>
          <w:szCs w:val="24"/>
          <w:rtl/>
        </w:rPr>
        <w:t xml:space="preserve"> או ידיעה אישית על מבצעי הפיגוע.</w:t>
      </w:r>
    </w:p>
    <w:p w:rsidR="00272DA0" w:rsidRPr="00196066"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lastRenderedPageBreak/>
        <w:t xml:space="preserve">לאחר סיום תרגיל המדובבים, הועבר הנאשם לחקירה על-ידי חוקרי השב"כ. במהלך תקופה זו שמר לסירוגין על זכות השתיקה. במהלך החקירה מסר, על פי הנטען, "גרסה היפותטית", ממנה </w:t>
      </w:r>
      <w:r>
        <w:rPr>
          <w:rFonts w:cs="David" w:hint="cs"/>
          <w:sz w:val="24"/>
          <w:szCs w:val="24"/>
          <w:rtl/>
        </w:rPr>
        <w:t xml:space="preserve">מבקשת </w:t>
      </w:r>
      <w:r w:rsidRPr="00196066">
        <w:rPr>
          <w:rFonts w:cs="David" w:hint="cs"/>
          <w:sz w:val="24"/>
          <w:szCs w:val="24"/>
          <w:rtl/>
        </w:rPr>
        <w:t xml:space="preserve">המאשימה ללמוד על </w:t>
      </w:r>
      <w:r>
        <w:rPr>
          <w:rFonts w:cs="David" w:hint="cs"/>
          <w:sz w:val="24"/>
          <w:szCs w:val="24"/>
          <w:rtl/>
        </w:rPr>
        <w:t>ה</w:t>
      </w:r>
      <w:r w:rsidRPr="00196066">
        <w:rPr>
          <w:rFonts w:cs="David" w:hint="cs"/>
          <w:sz w:val="24"/>
          <w:szCs w:val="24"/>
          <w:rtl/>
        </w:rPr>
        <w:t xml:space="preserve">מעורבות שלו בתכנון הפיגוע </w:t>
      </w:r>
      <w:proofErr w:type="spellStart"/>
      <w:r w:rsidRPr="00196066">
        <w:rPr>
          <w:rFonts w:cs="David" w:hint="cs"/>
          <w:sz w:val="24"/>
          <w:szCs w:val="24"/>
          <w:rtl/>
        </w:rPr>
        <w:t>בדומא</w:t>
      </w:r>
      <w:proofErr w:type="spellEnd"/>
      <w:r w:rsidRPr="00196066">
        <w:rPr>
          <w:rFonts w:cs="David" w:hint="cs"/>
          <w:sz w:val="24"/>
          <w:szCs w:val="24"/>
          <w:rtl/>
        </w:rPr>
        <w:t>.</w:t>
      </w:r>
    </w:p>
    <w:p w:rsidR="00272DA0" w:rsidRPr="000B081C" w:rsidRDefault="00272DA0" w:rsidP="00272DA0">
      <w:pPr>
        <w:pStyle w:val="a3"/>
        <w:spacing w:line="360" w:lineRule="auto"/>
        <w:jc w:val="both"/>
        <w:rPr>
          <w:rFonts w:cs="David"/>
          <w:sz w:val="16"/>
          <w:szCs w:val="16"/>
          <w:rtl/>
        </w:rPr>
      </w:pPr>
    </w:p>
    <w:p w:rsidR="00272DA0" w:rsidRPr="00196066" w:rsidRDefault="00272DA0" w:rsidP="00272DA0">
      <w:pPr>
        <w:pStyle w:val="a3"/>
        <w:numPr>
          <w:ilvl w:val="0"/>
          <w:numId w:val="19"/>
        </w:numPr>
        <w:spacing w:line="360" w:lineRule="auto"/>
        <w:jc w:val="both"/>
        <w:rPr>
          <w:rFonts w:cs="David"/>
          <w:sz w:val="24"/>
          <w:szCs w:val="24"/>
          <w:rtl/>
        </w:rPr>
      </w:pPr>
      <w:r w:rsidRPr="00196066">
        <w:rPr>
          <w:rFonts w:cs="David" w:hint="cs"/>
          <w:sz w:val="24"/>
          <w:szCs w:val="24"/>
          <w:rtl/>
        </w:rPr>
        <w:t>בשלב השלישי של חקירתו, במהלך ארבעה ימים</w:t>
      </w:r>
      <w:r>
        <w:rPr>
          <w:rFonts w:cs="David" w:hint="cs"/>
          <w:sz w:val="24"/>
          <w:szCs w:val="24"/>
          <w:rtl/>
        </w:rPr>
        <w:t>,</w:t>
      </w:r>
      <w:r w:rsidRPr="00196066">
        <w:rPr>
          <w:rFonts w:cs="David" w:hint="cs"/>
          <w:sz w:val="24"/>
          <w:szCs w:val="24"/>
          <w:rtl/>
        </w:rPr>
        <w:t xml:space="preserve"> נחקר הנאשם שלוש חקירות צורך שכללו שימוש ב"אמצעים מיוחדים", במ</w:t>
      </w:r>
      <w:r>
        <w:rPr>
          <w:rFonts w:cs="David" w:hint="cs"/>
          <w:sz w:val="24"/>
          <w:szCs w:val="24"/>
          <w:rtl/>
        </w:rPr>
        <w:t>הלכן בסופו של דבר הודה בשותפות ב</w:t>
      </w:r>
      <w:r w:rsidRPr="00196066">
        <w:rPr>
          <w:rFonts w:cs="David" w:hint="cs"/>
          <w:sz w:val="24"/>
          <w:szCs w:val="24"/>
          <w:rtl/>
        </w:rPr>
        <w:t xml:space="preserve">תכנון הפיגוע </w:t>
      </w:r>
      <w:proofErr w:type="spellStart"/>
      <w:r w:rsidRPr="00196066">
        <w:rPr>
          <w:rFonts w:cs="David" w:hint="cs"/>
          <w:sz w:val="24"/>
          <w:szCs w:val="24"/>
          <w:rtl/>
        </w:rPr>
        <w:t>בדומא</w:t>
      </w:r>
      <w:proofErr w:type="spellEnd"/>
      <w:r w:rsidRPr="00196066">
        <w:rPr>
          <w:rFonts w:cs="David" w:hint="cs"/>
          <w:sz w:val="24"/>
          <w:szCs w:val="24"/>
          <w:rtl/>
        </w:rPr>
        <w:t xml:space="preserve"> יחד עם נאשם 1 ובביצוע שאר העבירות המיוחסות לו בכתב</w:t>
      </w:r>
      <w:r>
        <w:rPr>
          <w:rFonts w:cs="David" w:hint="cs"/>
          <w:sz w:val="24"/>
          <w:szCs w:val="24"/>
          <w:rtl/>
        </w:rPr>
        <w:t xml:space="preserve"> האישום וכן מסר שמות של פעילים</w:t>
      </w:r>
      <w:r w:rsidRPr="00196066">
        <w:rPr>
          <w:rFonts w:cs="David" w:hint="cs"/>
          <w:sz w:val="24"/>
          <w:szCs w:val="24"/>
          <w:rtl/>
        </w:rPr>
        <w:t xml:space="preserve">. בין חקירות הצורך, במהלך </w:t>
      </w:r>
      <w:r w:rsidRPr="00792E58">
        <w:rPr>
          <w:rFonts w:cs="David" w:hint="cs"/>
          <w:sz w:val="24"/>
          <w:szCs w:val="24"/>
          <w:rtl/>
        </w:rPr>
        <w:t>החקירות העוקבות</w:t>
      </w:r>
      <w:r w:rsidRPr="00196066">
        <w:rPr>
          <w:rFonts w:cs="David" w:hint="cs"/>
          <w:sz w:val="24"/>
          <w:szCs w:val="24"/>
          <w:rtl/>
        </w:rPr>
        <w:t>, הנאשם לא היה עקבי ב</w:t>
      </w:r>
      <w:r>
        <w:rPr>
          <w:rFonts w:cs="David" w:hint="cs"/>
          <w:sz w:val="24"/>
          <w:szCs w:val="24"/>
          <w:rtl/>
        </w:rPr>
        <w:t>גרסתו ב</w:t>
      </w:r>
      <w:r w:rsidRPr="00196066">
        <w:rPr>
          <w:rFonts w:cs="David" w:hint="cs"/>
          <w:sz w:val="24"/>
          <w:szCs w:val="24"/>
          <w:rtl/>
        </w:rPr>
        <w:t>אשר לקשר שלו לתכנון ה</w:t>
      </w:r>
      <w:r>
        <w:rPr>
          <w:rFonts w:cs="David" w:hint="cs"/>
          <w:sz w:val="24"/>
          <w:szCs w:val="24"/>
          <w:rtl/>
        </w:rPr>
        <w:t>פיגו</w:t>
      </w:r>
      <w:r w:rsidRPr="00196066">
        <w:rPr>
          <w:rFonts w:cs="David" w:hint="cs"/>
          <w:sz w:val="24"/>
          <w:szCs w:val="24"/>
          <w:rtl/>
        </w:rPr>
        <w:t xml:space="preserve">ע </w:t>
      </w:r>
      <w:proofErr w:type="spellStart"/>
      <w:r w:rsidRPr="00196066">
        <w:rPr>
          <w:rFonts w:cs="David" w:hint="cs"/>
          <w:sz w:val="24"/>
          <w:szCs w:val="24"/>
          <w:rtl/>
        </w:rPr>
        <w:t>בדומא</w:t>
      </w:r>
      <w:proofErr w:type="spellEnd"/>
      <w:r w:rsidRPr="00196066">
        <w:rPr>
          <w:rFonts w:cs="David" w:hint="cs"/>
          <w:sz w:val="24"/>
          <w:szCs w:val="24"/>
          <w:rtl/>
        </w:rPr>
        <w:t>, אך חזר על הודאתו באשר לשאר העבירות המיוחסות לו.</w:t>
      </w:r>
    </w:p>
    <w:p w:rsidR="00272DA0" w:rsidRPr="00513995" w:rsidRDefault="00272DA0" w:rsidP="00272DA0">
      <w:pPr>
        <w:spacing w:line="360" w:lineRule="auto"/>
        <w:jc w:val="both"/>
        <w:rPr>
          <w:rFonts w:cs="David"/>
          <w:b/>
          <w:bCs/>
          <w:sz w:val="28"/>
          <w:szCs w:val="28"/>
          <w:u w:val="single"/>
          <w:rtl/>
        </w:rPr>
      </w:pPr>
      <w:r w:rsidRPr="00513995">
        <w:rPr>
          <w:rFonts w:cs="David" w:hint="cs"/>
          <w:b/>
          <w:bCs/>
          <w:sz w:val="28"/>
          <w:szCs w:val="28"/>
          <w:u w:val="single"/>
          <w:rtl/>
        </w:rPr>
        <w:t>תמצית ההכרעה</w:t>
      </w:r>
    </w:p>
    <w:p w:rsidR="00272DA0" w:rsidRPr="00196066"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 xml:space="preserve">לאחר שמיעת העדים והנאשמים, צפייה בתיעוד החזותי של חלק מחקירותיו של נאשם 1, האזנה לתיעוד באודיו של תרגיל המדובבים של נאשם 2, עיון במוצגים ובחינת טענות הצדדים </w:t>
      </w:r>
      <w:r w:rsidRPr="00196066">
        <w:rPr>
          <w:rFonts w:cs="David"/>
          <w:sz w:val="24"/>
          <w:szCs w:val="24"/>
          <w:rtl/>
        </w:rPr>
        <w:t>–</w:t>
      </w:r>
      <w:r w:rsidRPr="00196066">
        <w:rPr>
          <w:rFonts w:cs="David" w:hint="cs"/>
          <w:sz w:val="24"/>
          <w:szCs w:val="24"/>
          <w:rtl/>
        </w:rPr>
        <w:t xml:space="preserve"> אנו מחליטים כדלקמן:</w:t>
      </w:r>
    </w:p>
    <w:p w:rsidR="00272DA0" w:rsidRPr="00196066" w:rsidRDefault="00272DA0" w:rsidP="00272DA0">
      <w:pPr>
        <w:spacing w:line="360" w:lineRule="auto"/>
        <w:jc w:val="both"/>
        <w:rPr>
          <w:rFonts w:cs="David"/>
          <w:sz w:val="24"/>
          <w:szCs w:val="24"/>
        </w:rPr>
      </w:pPr>
      <w:r w:rsidRPr="00196066">
        <w:rPr>
          <w:rFonts w:cs="David" w:hint="cs"/>
          <w:b/>
          <w:bCs/>
          <w:sz w:val="24"/>
          <w:szCs w:val="24"/>
          <w:u w:val="single"/>
          <w:rtl/>
        </w:rPr>
        <w:t>אשר לחקירות הצורך ותוצריהן</w:t>
      </w:r>
      <w:r w:rsidRPr="00196066">
        <w:rPr>
          <w:rFonts w:cs="David" w:hint="cs"/>
          <w:sz w:val="24"/>
          <w:szCs w:val="24"/>
          <w:rtl/>
        </w:rPr>
        <w:t xml:space="preserve"> </w:t>
      </w:r>
    </w:p>
    <w:p w:rsidR="00272DA0" w:rsidRDefault="00272DA0" w:rsidP="00272DA0">
      <w:pPr>
        <w:pStyle w:val="a3"/>
        <w:numPr>
          <w:ilvl w:val="0"/>
          <w:numId w:val="19"/>
        </w:numPr>
        <w:spacing w:line="360" w:lineRule="auto"/>
        <w:jc w:val="both"/>
        <w:rPr>
          <w:rFonts w:cs="David"/>
          <w:sz w:val="24"/>
          <w:szCs w:val="24"/>
        </w:rPr>
      </w:pPr>
      <w:r>
        <w:rPr>
          <w:rFonts w:cs="David" w:hint="cs"/>
          <w:sz w:val="24"/>
          <w:szCs w:val="24"/>
          <w:rtl/>
        </w:rPr>
        <w:t xml:space="preserve">הגם שהמאשימה אינה מבקשת לאמץ את התוצרים הישירים של חקירות הצורך, הרי נוכח טענות </w:t>
      </w:r>
      <w:r w:rsidRPr="00196066">
        <w:rPr>
          <w:rFonts w:cs="David" w:hint="cs"/>
          <w:sz w:val="24"/>
          <w:szCs w:val="24"/>
          <w:rtl/>
        </w:rPr>
        <w:t>ההגנה באשר להשלכות שיש לקביעה זו על ההודאות העוקבות</w:t>
      </w:r>
      <w:r>
        <w:rPr>
          <w:rFonts w:cs="David" w:hint="cs"/>
          <w:sz w:val="24"/>
          <w:szCs w:val="24"/>
          <w:rtl/>
        </w:rPr>
        <w:t>, אין מנוס מהכרעה בקבילותן של הודאות הנאשמים שניתנו בחקירות הצורך</w:t>
      </w:r>
      <w:r w:rsidRPr="00196066">
        <w:rPr>
          <w:rFonts w:cs="David" w:hint="cs"/>
          <w:sz w:val="24"/>
          <w:szCs w:val="24"/>
          <w:rtl/>
        </w:rPr>
        <w:t>;</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sidRPr="00196066">
        <w:rPr>
          <w:rFonts w:cs="David" w:hint="cs"/>
          <w:sz w:val="24"/>
          <w:szCs w:val="24"/>
          <w:u w:val="single"/>
          <w:rtl/>
        </w:rPr>
        <w:t>אשר לתחולתו של סייג הצורך</w:t>
      </w:r>
      <w:r w:rsidRPr="00196066">
        <w:rPr>
          <w:rFonts w:cs="David" w:hint="cs"/>
          <w:sz w:val="24"/>
          <w:szCs w:val="24"/>
          <w:rtl/>
        </w:rPr>
        <w:t xml:space="preserve"> - שאלות ביחס להיקפה הראוי של הגנת הצורך בהקשר של חקירות שב"כ, </w:t>
      </w:r>
      <w:r>
        <w:rPr>
          <w:rFonts w:cs="David" w:hint="cs"/>
          <w:sz w:val="24"/>
          <w:szCs w:val="24"/>
          <w:rtl/>
        </w:rPr>
        <w:t>הן שאלות נכבדות, ה</w:t>
      </w:r>
      <w:r w:rsidRPr="00196066">
        <w:rPr>
          <w:rFonts w:cs="David" w:hint="cs"/>
          <w:sz w:val="24"/>
          <w:szCs w:val="24"/>
          <w:rtl/>
        </w:rPr>
        <w:t xml:space="preserve">משיקות </w:t>
      </w:r>
      <w:r>
        <w:rPr>
          <w:rFonts w:cs="David" w:hint="cs"/>
          <w:sz w:val="24"/>
          <w:szCs w:val="24"/>
          <w:rtl/>
        </w:rPr>
        <w:t xml:space="preserve">גם </w:t>
      </w:r>
      <w:r w:rsidRPr="00196066">
        <w:rPr>
          <w:rFonts w:cs="David" w:hint="cs"/>
          <w:sz w:val="24"/>
          <w:szCs w:val="24"/>
          <w:rtl/>
        </w:rPr>
        <w:t xml:space="preserve">לשאלות מורכבות מתחום המוסר. </w:t>
      </w:r>
    </w:p>
    <w:p w:rsidR="00272DA0" w:rsidRDefault="00272DA0" w:rsidP="00272DA0">
      <w:pPr>
        <w:pStyle w:val="a3"/>
        <w:spacing w:line="360" w:lineRule="auto"/>
        <w:ind w:left="567"/>
        <w:jc w:val="both"/>
        <w:rPr>
          <w:rFonts w:cs="David"/>
          <w:sz w:val="24"/>
          <w:szCs w:val="24"/>
          <w:rtl/>
        </w:rPr>
      </w:pPr>
      <w:r w:rsidRPr="00196066">
        <w:rPr>
          <w:rFonts w:cs="David" w:hint="cs"/>
          <w:sz w:val="24"/>
          <w:szCs w:val="24"/>
          <w:rtl/>
        </w:rPr>
        <w:t>ואולם בענייננו, אין צורך להכריע האם לחוקרים עומדת הגנת הצור</w:t>
      </w:r>
      <w:r>
        <w:rPr>
          <w:rFonts w:cs="David" w:hint="cs"/>
          <w:sz w:val="24"/>
          <w:szCs w:val="24"/>
          <w:rtl/>
        </w:rPr>
        <w:t xml:space="preserve">ך. שכן, גם אם התשובה לכך חיובית (ולאור חומרתו של האיום והחשש שהיה לפגיעה בנפש וברכוש, לא מן הנמנע שכך הדבר), </w:t>
      </w:r>
      <w:r w:rsidRPr="00196066">
        <w:rPr>
          <w:rFonts w:cs="David" w:hint="cs"/>
          <w:sz w:val="24"/>
          <w:szCs w:val="24"/>
          <w:rtl/>
        </w:rPr>
        <w:t>הגנת הצורך אינה משליכה</w:t>
      </w:r>
      <w:r>
        <w:rPr>
          <w:rFonts w:cs="David" w:hint="cs"/>
          <w:sz w:val="24"/>
          <w:szCs w:val="24"/>
          <w:rtl/>
        </w:rPr>
        <w:t xml:space="preserve"> </w:t>
      </w:r>
      <w:r w:rsidRPr="00196066">
        <w:rPr>
          <w:rFonts w:cs="David" w:hint="cs"/>
          <w:sz w:val="24"/>
          <w:szCs w:val="24"/>
          <w:rtl/>
        </w:rPr>
        <w:t xml:space="preserve">על קבילות </w:t>
      </w:r>
      <w:r>
        <w:rPr>
          <w:rFonts w:cs="David" w:hint="cs"/>
          <w:sz w:val="24"/>
          <w:szCs w:val="24"/>
          <w:rtl/>
        </w:rPr>
        <w:t>התוצרים של חקירות הצורך כראיה במשפט</w:t>
      </w:r>
      <w:r w:rsidRPr="00196066">
        <w:rPr>
          <w:rFonts w:cs="David" w:hint="cs"/>
          <w:sz w:val="24"/>
          <w:szCs w:val="24"/>
          <w:rtl/>
        </w:rPr>
        <w:t>. מדובר בשתי שאלות שונות;</w:t>
      </w:r>
    </w:p>
    <w:p w:rsidR="00272DA0" w:rsidRDefault="00272DA0" w:rsidP="00272DA0">
      <w:pPr>
        <w:pStyle w:val="a3"/>
        <w:spacing w:line="360" w:lineRule="auto"/>
        <w:ind w:left="567"/>
        <w:jc w:val="both"/>
        <w:rPr>
          <w:rFonts w:cs="David"/>
          <w:sz w:val="24"/>
          <w:szCs w:val="24"/>
          <w:rtl/>
        </w:rPr>
      </w:pPr>
      <w:r w:rsidRPr="00196066">
        <w:rPr>
          <w:rFonts w:cs="David" w:hint="cs"/>
          <w:sz w:val="24"/>
          <w:szCs w:val="24"/>
          <w:rtl/>
        </w:rPr>
        <w:t>עם זאת, בענייננו נדרשת הכרעה בנושא סבירות עמדת המוצא של החוק</w:t>
      </w:r>
      <w:r>
        <w:rPr>
          <w:rFonts w:cs="David" w:hint="cs"/>
          <w:sz w:val="24"/>
          <w:szCs w:val="24"/>
          <w:rtl/>
        </w:rPr>
        <w:t xml:space="preserve">רים, עובר למעצר הנאשמים, באשר לקיומה של תשתית המרד, </w:t>
      </w:r>
      <w:r w:rsidRPr="00196066">
        <w:rPr>
          <w:rFonts w:cs="David" w:hint="cs"/>
          <w:sz w:val="24"/>
          <w:szCs w:val="24"/>
          <w:rtl/>
        </w:rPr>
        <w:t xml:space="preserve">הפיגועים המיוחסים לה והשתייכות הנאשמים לתשתית. </w:t>
      </w:r>
      <w:r>
        <w:rPr>
          <w:rFonts w:cs="David" w:hint="cs"/>
          <w:sz w:val="24"/>
          <w:szCs w:val="24"/>
          <w:rtl/>
        </w:rPr>
        <w:t xml:space="preserve">כמו </w:t>
      </w:r>
      <w:r w:rsidRPr="00196066">
        <w:rPr>
          <w:rFonts w:cs="David" w:hint="cs"/>
          <w:sz w:val="24"/>
          <w:szCs w:val="24"/>
          <w:rtl/>
        </w:rPr>
        <w:t>כן נדרשת הכרעה באשר למטרות החקירה. זאת נוכח טענות ההגנה בדבר מניעת מפגש, תרגיל המדובבים המיוחד ועוד;</w:t>
      </w:r>
    </w:p>
    <w:p w:rsidR="00272DA0" w:rsidRPr="000B081C" w:rsidRDefault="00272DA0" w:rsidP="00272DA0">
      <w:pPr>
        <w:pStyle w:val="a3"/>
        <w:spacing w:line="360" w:lineRule="auto"/>
        <w:ind w:left="567"/>
        <w:jc w:val="both"/>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u w:val="single"/>
          <w:rtl/>
        </w:rPr>
        <w:t>אשר לקיומה של תשתית המרד והפיגועים המיוחסים לה</w:t>
      </w:r>
      <w:r w:rsidRPr="00F92416">
        <w:rPr>
          <w:rFonts w:cs="David" w:hint="cs"/>
          <w:sz w:val="24"/>
          <w:szCs w:val="24"/>
          <w:rtl/>
        </w:rPr>
        <w:t xml:space="preserve"> - חוות הדעת המודיעינית שהוגשה בענ</w:t>
      </w:r>
      <w:r>
        <w:rPr>
          <w:rFonts w:cs="David" w:hint="cs"/>
          <w:sz w:val="24"/>
          <w:szCs w:val="24"/>
          <w:rtl/>
        </w:rPr>
        <w:t>י</w:t>
      </w:r>
      <w:r w:rsidRPr="00F92416">
        <w:rPr>
          <w:rFonts w:cs="David" w:hint="cs"/>
          <w:sz w:val="24"/>
          <w:szCs w:val="24"/>
          <w:rtl/>
        </w:rPr>
        <w:t>ין זה (ת/60),</w:t>
      </w:r>
      <w:r>
        <w:rPr>
          <w:rFonts w:cs="David" w:hint="cs"/>
          <w:sz w:val="24"/>
          <w:szCs w:val="24"/>
          <w:rtl/>
        </w:rPr>
        <w:t xml:space="preserve"> הינה קבילה,</w:t>
      </w:r>
      <w:r w:rsidRPr="00F92416">
        <w:rPr>
          <w:rFonts w:cs="David" w:hint="cs"/>
          <w:sz w:val="24"/>
          <w:szCs w:val="24"/>
          <w:rtl/>
        </w:rPr>
        <w:t xml:space="preserve"> תוכנה אמין ומבוסס. המסקנה לפיה שרשרת </w:t>
      </w:r>
      <w:r w:rsidRPr="00F92416">
        <w:rPr>
          <w:rFonts w:cs="David" w:hint="cs"/>
          <w:sz w:val="24"/>
          <w:szCs w:val="24"/>
          <w:rtl/>
        </w:rPr>
        <w:lastRenderedPageBreak/>
        <w:t xml:space="preserve">הפיגועים המפורטים בה, ובהם הפיגוע </w:t>
      </w:r>
      <w:proofErr w:type="spellStart"/>
      <w:r w:rsidRPr="00F92416">
        <w:rPr>
          <w:rFonts w:cs="David" w:hint="cs"/>
          <w:sz w:val="24"/>
          <w:szCs w:val="24"/>
          <w:rtl/>
        </w:rPr>
        <w:t>בדומא</w:t>
      </w:r>
      <w:proofErr w:type="spellEnd"/>
      <w:r w:rsidRPr="00F92416">
        <w:rPr>
          <w:rFonts w:cs="David" w:hint="cs"/>
          <w:sz w:val="24"/>
          <w:szCs w:val="24"/>
          <w:rtl/>
        </w:rPr>
        <w:t xml:space="preserve"> והצתת כנסיית </w:t>
      </w:r>
      <w:proofErr w:type="spellStart"/>
      <w:r w:rsidRPr="00F92416">
        <w:rPr>
          <w:rFonts w:cs="David" w:hint="cs"/>
          <w:sz w:val="24"/>
          <w:szCs w:val="24"/>
          <w:rtl/>
        </w:rPr>
        <w:t>דורמ</w:t>
      </w:r>
      <w:r>
        <w:rPr>
          <w:rFonts w:cs="David" w:hint="cs"/>
          <w:sz w:val="24"/>
          <w:szCs w:val="24"/>
          <w:rtl/>
        </w:rPr>
        <w:t>י</w:t>
      </w:r>
      <w:r w:rsidRPr="00F92416">
        <w:rPr>
          <w:rFonts w:cs="David" w:hint="cs"/>
          <w:sz w:val="24"/>
          <w:szCs w:val="24"/>
          <w:rtl/>
        </w:rPr>
        <w:t>ציון</w:t>
      </w:r>
      <w:proofErr w:type="spellEnd"/>
      <w:r w:rsidRPr="00F92416">
        <w:rPr>
          <w:rFonts w:cs="David" w:hint="cs"/>
          <w:sz w:val="24"/>
          <w:szCs w:val="24"/>
          <w:rtl/>
        </w:rPr>
        <w:t xml:space="preserve"> בוצעו ברוח תשתית המרד </w:t>
      </w:r>
      <w:r w:rsidRPr="00F92416">
        <w:rPr>
          <w:rFonts w:cs="David"/>
          <w:sz w:val="24"/>
          <w:szCs w:val="24"/>
          <w:rtl/>
        </w:rPr>
        <w:t>–</w:t>
      </w:r>
      <w:r w:rsidRPr="00F92416">
        <w:rPr>
          <w:rFonts w:cs="David" w:hint="cs"/>
          <w:sz w:val="24"/>
          <w:szCs w:val="24"/>
          <w:rtl/>
        </w:rPr>
        <w:t xml:space="preserve"> הי</w:t>
      </w:r>
      <w:r>
        <w:rPr>
          <w:rFonts w:cs="David" w:hint="cs"/>
          <w:sz w:val="24"/>
          <w:szCs w:val="24"/>
          <w:rtl/>
        </w:rPr>
        <w:t>נ</w:t>
      </w:r>
      <w:r w:rsidRPr="00F92416">
        <w:rPr>
          <w:rFonts w:cs="David" w:hint="cs"/>
          <w:sz w:val="24"/>
          <w:szCs w:val="24"/>
          <w:rtl/>
        </w:rPr>
        <w:t xml:space="preserve">ה סבירה ומתבקשת; </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Pr>
          <w:rFonts w:cs="David" w:hint="cs"/>
          <w:sz w:val="24"/>
          <w:szCs w:val="24"/>
          <w:rtl/>
        </w:rPr>
        <w:t xml:space="preserve">הפיגועים המפורטים בחוות הדעת </w:t>
      </w:r>
      <w:r w:rsidRPr="00F92416">
        <w:rPr>
          <w:rFonts w:cs="David" w:hint="cs"/>
          <w:sz w:val="24"/>
          <w:szCs w:val="24"/>
          <w:rtl/>
        </w:rPr>
        <w:t xml:space="preserve">מלמדים על חומרתו של האיום </w:t>
      </w:r>
      <w:r>
        <w:rPr>
          <w:rFonts w:cs="David" w:hint="cs"/>
          <w:sz w:val="24"/>
          <w:szCs w:val="24"/>
          <w:rtl/>
        </w:rPr>
        <w:t xml:space="preserve">הנשקף </w:t>
      </w:r>
      <w:r w:rsidRPr="00F92416">
        <w:rPr>
          <w:rFonts w:cs="David" w:hint="cs"/>
          <w:sz w:val="24"/>
          <w:szCs w:val="24"/>
          <w:rtl/>
        </w:rPr>
        <w:t>מתשתית המרד, שהמשך פעילותה עלול היה להביא לפגיעה בנפש וברכוש, באופן ההופך את התשתית ליעד ראוי לסיכול;</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rtl/>
        </w:rPr>
        <w:t>ההנחה של חוקרי השב"כ לפיה הנאשמים</w:t>
      </w:r>
      <w:r>
        <w:rPr>
          <w:rFonts w:cs="David" w:hint="cs"/>
          <w:sz w:val="24"/>
          <w:szCs w:val="24"/>
          <w:rtl/>
        </w:rPr>
        <w:t xml:space="preserve"> (וביתר שאת </w:t>
      </w:r>
      <w:r w:rsidRPr="00F92416">
        <w:rPr>
          <w:rFonts w:cs="David" w:hint="cs"/>
          <w:sz w:val="24"/>
          <w:szCs w:val="24"/>
          <w:rtl/>
        </w:rPr>
        <w:t>נאשם 2), משתייכים לתשתית המרד, הינה סבירה</w:t>
      </w:r>
      <w:r>
        <w:rPr>
          <w:rFonts w:cs="David" w:hint="cs"/>
          <w:sz w:val="24"/>
          <w:szCs w:val="24"/>
          <w:rtl/>
        </w:rPr>
        <w:t xml:space="preserve">, </w:t>
      </w:r>
      <w:r w:rsidRPr="00F92416">
        <w:rPr>
          <w:rFonts w:cs="David" w:hint="cs"/>
          <w:sz w:val="24"/>
          <w:szCs w:val="24"/>
          <w:rtl/>
        </w:rPr>
        <w:t>מעוגנת</w:t>
      </w:r>
      <w:r>
        <w:rPr>
          <w:rFonts w:cs="David" w:hint="cs"/>
          <w:sz w:val="24"/>
          <w:szCs w:val="24"/>
          <w:rtl/>
        </w:rPr>
        <w:t xml:space="preserve"> בחומר הראיות שהוצג בפנינו והתו</w:t>
      </w:r>
      <w:r w:rsidRPr="00F92416">
        <w:rPr>
          <w:rFonts w:cs="David" w:hint="cs"/>
          <w:sz w:val="24"/>
          <w:szCs w:val="24"/>
          <w:rtl/>
        </w:rPr>
        <w:t xml:space="preserve">סף לשאר החומרים המודיעיניים שהיו בידיעת החוקרים עובר לחקירות הנאשמים. בנוסף, נמצא לכך אישוש בחומר הראיות שנצבר במהלך החקירות לאחר מעצר הנאשמים; </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rtl/>
        </w:rPr>
        <w:t>מטרות החקירה היו בעלות אופי סיכולי, גם אם הן כללו שאלות על השתתפות הנאשמים באירועי העבר בכלל, והפיג</w:t>
      </w:r>
      <w:r>
        <w:rPr>
          <w:rFonts w:cs="David" w:hint="cs"/>
          <w:sz w:val="24"/>
          <w:szCs w:val="24"/>
          <w:rtl/>
        </w:rPr>
        <w:t xml:space="preserve">וע </w:t>
      </w:r>
      <w:proofErr w:type="spellStart"/>
      <w:r>
        <w:rPr>
          <w:rFonts w:cs="David" w:hint="cs"/>
          <w:sz w:val="24"/>
          <w:szCs w:val="24"/>
          <w:rtl/>
        </w:rPr>
        <w:t>בדומא</w:t>
      </w:r>
      <w:proofErr w:type="spellEnd"/>
      <w:r>
        <w:rPr>
          <w:rFonts w:cs="David" w:hint="cs"/>
          <w:sz w:val="24"/>
          <w:szCs w:val="24"/>
          <w:rtl/>
        </w:rPr>
        <w:t xml:space="preserve"> בפרט. שכן, לצורך סיכולן של </w:t>
      </w:r>
      <w:proofErr w:type="spellStart"/>
      <w:r>
        <w:rPr>
          <w:rFonts w:cs="David" w:hint="cs"/>
          <w:sz w:val="24"/>
          <w:szCs w:val="24"/>
          <w:rtl/>
        </w:rPr>
        <w:t>תוכניות</w:t>
      </w:r>
      <w:proofErr w:type="spellEnd"/>
      <w:r>
        <w:rPr>
          <w:rFonts w:cs="David" w:hint="cs"/>
          <w:sz w:val="24"/>
          <w:szCs w:val="24"/>
          <w:rtl/>
        </w:rPr>
        <w:t xml:space="preserve"> עתידיות,</w:t>
      </w:r>
      <w:r w:rsidRPr="00F92416">
        <w:rPr>
          <w:rFonts w:cs="David" w:hint="cs"/>
          <w:sz w:val="24"/>
          <w:szCs w:val="24"/>
          <w:rtl/>
        </w:rPr>
        <w:t xml:space="preserve"> נדרשו החוקרים לפעול לפענוח פיגועים שבוצעו על ידי חברי התשתית</w:t>
      </w:r>
      <w:r>
        <w:rPr>
          <w:rFonts w:cs="David" w:hint="cs"/>
          <w:sz w:val="24"/>
          <w:szCs w:val="24"/>
          <w:rtl/>
        </w:rPr>
        <w:t xml:space="preserve"> בעבר</w:t>
      </w:r>
      <w:r w:rsidRPr="00F92416">
        <w:rPr>
          <w:rFonts w:cs="David" w:hint="cs"/>
          <w:sz w:val="24"/>
          <w:szCs w:val="24"/>
          <w:rtl/>
        </w:rPr>
        <w:t xml:space="preserve">, כשהפיגוע </w:t>
      </w:r>
      <w:proofErr w:type="spellStart"/>
      <w:r w:rsidRPr="00F92416">
        <w:rPr>
          <w:rFonts w:cs="David" w:hint="cs"/>
          <w:sz w:val="24"/>
          <w:szCs w:val="24"/>
          <w:rtl/>
        </w:rPr>
        <w:t>בדומא</w:t>
      </w:r>
      <w:proofErr w:type="spellEnd"/>
      <w:r w:rsidRPr="00F92416">
        <w:rPr>
          <w:rFonts w:cs="David" w:hint="cs"/>
          <w:sz w:val="24"/>
          <w:szCs w:val="24"/>
          <w:rtl/>
        </w:rPr>
        <w:t xml:space="preserve"> הוא הבולט ביותר, לחקור, להגיע למודיעין מיטבי על חברי התשתית</w:t>
      </w:r>
      <w:r>
        <w:rPr>
          <w:rFonts w:cs="David" w:hint="cs"/>
          <w:sz w:val="24"/>
          <w:szCs w:val="24"/>
          <w:rtl/>
        </w:rPr>
        <w:t>,</w:t>
      </w:r>
      <w:r w:rsidRPr="00F92416">
        <w:rPr>
          <w:rFonts w:cs="David" w:hint="cs"/>
          <w:sz w:val="24"/>
          <w:szCs w:val="24"/>
          <w:rtl/>
        </w:rPr>
        <w:t xml:space="preserve"> על מנת </w:t>
      </w:r>
      <w:proofErr w:type="spellStart"/>
      <w:r w:rsidRPr="00F92416">
        <w:rPr>
          <w:rFonts w:cs="David" w:hint="cs"/>
          <w:sz w:val="24"/>
          <w:szCs w:val="24"/>
          <w:rtl/>
        </w:rPr>
        <w:t>לעוצרם</w:t>
      </w:r>
      <w:proofErr w:type="spellEnd"/>
      <w:r w:rsidRPr="00F92416">
        <w:rPr>
          <w:rFonts w:cs="David" w:hint="cs"/>
          <w:sz w:val="24"/>
          <w:szCs w:val="24"/>
          <w:rtl/>
        </w:rPr>
        <w:t xml:space="preserve">, לסכל </w:t>
      </w:r>
      <w:r>
        <w:rPr>
          <w:rFonts w:cs="David" w:hint="cs"/>
          <w:sz w:val="24"/>
          <w:szCs w:val="24"/>
          <w:rtl/>
        </w:rPr>
        <w:t xml:space="preserve">את המשך </w:t>
      </w:r>
      <w:r w:rsidRPr="00F92416">
        <w:rPr>
          <w:rFonts w:cs="David" w:hint="cs"/>
          <w:sz w:val="24"/>
          <w:szCs w:val="24"/>
          <w:rtl/>
        </w:rPr>
        <w:t xml:space="preserve">פעילותם ולקבל פרטים אודות תכנונים עתידיים של התשתית; </w:t>
      </w:r>
    </w:p>
    <w:p w:rsidR="00272DA0" w:rsidRPr="000B081C" w:rsidRDefault="00272DA0" w:rsidP="00272DA0">
      <w:pPr>
        <w:pStyle w:val="a3"/>
        <w:rPr>
          <w:rFonts w:cs="David"/>
          <w:sz w:val="16"/>
          <w:szCs w:val="16"/>
          <w:u w:val="single"/>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u w:val="single"/>
          <w:rtl/>
        </w:rPr>
        <w:t>אשר לאמצעים המיוחדים</w:t>
      </w:r>
      <w:r w:rsidRPr="00F92416">
        <w:rPr>
          <w:rFonts w:cs="David" w:hint="cs"/>
          <w:sz w:val="24"/>
          <w:szCs w:val="24"/>
          <w:rtl/>
        </w:rPr>
        <w:t xml:space="preserve"> שננקטו בחקירות הצורך נגד הנאשמים,</w:t>
      </w:r>
      <w:r>
        <w:rPr>
          <w:rFonts w:cs="David" w:hint="cs"/>
          <w:sz w:val="24"/>
          <w:szCs w:val="24"/>
          <w:rtl/>
        </w:rPr>
        <w:t xml:space="preserve"> משכם ומספרם הינם כמפורט בפרפרזות</w:t>
      </w:r>
      <w:r w:rsidRPr="00F92416">
        <w:rPr>
          <w:rFonts w:cs="David" w:hint="cs"/>
          <w:sz w:val="24"/>
          <w:szCs w:val="24"/>
          <w:rtl/>
        </w:rPr>
        <w:t xml:space="preserve"> (ת/1, ת/2);</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Pr>
          <w:rFonts w:cs="David" w:hint="cs"/>
          <w:sz w:val="24"/>
          <w:szCs w:val="24"/>
          <w:rtl/>
        </w:rPr>
        <w:t>האמצעים הללו</w:t>
      </w:r>
      <w:r w:rsidRPr="00F92416">
        <w:rPr>
          <w:rFonts w:cs="David" w:hint="cs"/>
          <w:sz w:val="24"/>
          <w:szCs w:val="24"/>
          <w:rtl/>
        </w:rPr>
        <w:t xml:space="preserve"> פגעו פגיעה חמורה בזכות היסוד של הנאשמים לשמירה על שלמות הגוף והנפש. כמו כן נפגע כבודם של הנאשמים</w:t>
      </w:r>
      <w:r>
        <w:rPr>
          <w:rFonts w:cs="David" w:hint="cs"/>
          <w:sz w:val="24"/>
          <w:szCs w:val="24"/>
          <w:rtl/>
        </w:rPr>
        <w:t>;</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rtl/>
        </w:rPr>
        <w:t xml:space="preserve">השימוש באמצעים המיוחדים שהופעלו בחקירות הצורך, בענייננו, בין אם קיימת לחוקרים הגנת הצורך ובין אם לאו, הינו פסול במובנו של סעיף 12 לפקודת הראיות. מדובר באמצעים שפגעו </w:t>
      </w:r>
      <w:r>
        <w:rPr>
          <w:rFonts w:cs="David" w:hint="cs"/>
          <w:sz w:val="24"/>
          <w:szCs w:val="24"/>
          <w:rtl/>
        </w:rPr>
        <w:t>בנאשמים</w:t>
      </w:r>
      <w:r w:rsidRPr="00F92416">
        <w:rPr>
          <w:rFonts w:cs="David" w:hint="cs"/>
          <w:sz w:val="24"/>
          <w:szCs w:val="24"/>
          <w:rtl/>
        </w:rPr>
        <w:t xml:space="preserve"> באופן שהוגדר בהלכת </w:t>
      </w:r>
      <w:r w:rsidRPr="00F92416">
        <w:rPr>
          <w:rFonts w:cs="David" w:hint="cs"/>
          <w:b/>
          <w:bCs/>
          <w:sz w:val="24"/>
          <w:szCs w:val="24"/>
          <w:rtl/>
        </w:rPr>
        <w:t>מועדי</w:t>
      </w:r>
      <w:r>
        <w:rPr>
          <w:rFonts w:cs="David" w:hint="cs"/>
          <w:sz w:val="24"/>
          <w:szCs w:val="24"/>
          <w:rtl/>
        </w:rPr>
        <w:t xml:space="preserve"> (ע"פ 115/82 </w:t>
      </w:r>
      <w:r>
        <w:rPr>
          <w:rFonts w:cs="David" w:hint="cs"/>
          <w:b/>
          <w:bCs/>
          <w:sz w:val="24"/>
          <w:szCs w:val="24"/>
          <w:rtl/>
        </w:rPr>
        <w:t xml:space="preserve">מועדי נ' מדינת </w:t>
      </w:r>
      <w:r w:rsidRPr="003F195F">
        <w:rPr>
          <w:rFonts w:cs="David" w:hint="cs"/>
          <w:b/>
          <w:bCs/>
          <w:sz w:val="24"/>
          <w:szCs w:val="24"/>
          <w:rtl/>
        </w:rPr>
        <w:t>ישראל</w:t>
      </w:r>
      <w:r>
        <w:rPr>
          <w:rFonts w:cs="David" w:hint="cs"/>
          <w:sz w:val="24"/>
          <w:szCs w:val="24"/>
          <w:rtl/>
        </w:rPr>
        <w:t xml:space="preserve">, פ"ד לח(1) 197 (1984)). </w:t>
      </w:r>
      <w:r w:rsidRPr="00F92416">
        <w:rPr>
          <w:rFonts w:cs="David" w:hint="cs"/>
          <w:sz w:val="24"/>
          <w:szCs w:val="24"/>
          <w:rtl/>
        </w:rPr>
        <w:t xml:space="preserve">הפגיעה מחייבת פסילת </w:t>
      </w:r>
      <w:r>
        <w:rPr>
          <w:rFonts w:cs="David" w:hint="cs"/>
          <w:sz w:val="24"/>
          <w:szCs w:val="24"/>
          <w:rtl/>
        </w:rPr>
        <w:t xml:space="preserve">כל </w:t>
      </w:r>
      <w:r w:rsidRPr="00F92416">
        <w:rPr>
          <w:rFonts w:cs="David" w:hint="cs"/>
          <w:sz w:val="24"/>
          <w:szCs w:val="24"/>
          <w:rtl/>
        </w:rPr>
        <w:t xml:space="preserve">ההודאות </w:t>
      </w:r>
      <w:r>
        <w:rPr>
          <w:rFonts w:cs="David" w:hint="cs"/>
          <w:sz w:val="24"/>
          <w:szCs w:val="24"/>
          <w:rtl/>
        </w:rPr>
        <w:t>שנגבו בחקירות הצורך, אף  מבלי לבחון את השפעתם</w:t>
      </w:r>
      <w:r w:rsidRPr="00F92416">
        <w:rPr>
          <w:rFonts w:cs="David" w:hint="cs"/>
          <w:sz w:val="24"/>
          <w:szCs w:val="24"/>
          <w:rtl/>
        </w:rPr>
        <w:t xml:space="preserve"> </w:t>
      </w:r>
      <w:r w:rsidRPr="00F92416">
        <w:rPr>
          <w:rFonts w:cs="David" w:hint="cs"/>
          <w:sz w:val="24"/>
          <w:szCs w:val="24"/>
          <w:u w:val="single"/>
          <w:rtl/>
        </w:rPr>
        <w:t>בפועל</w:t>
      </w:r>
      <w:r w:rsidRPr="00F92416">
        <w:rPr>
          <w:rFonts w:cs="David" w:hint="cs"/>
          <w:sz w:val="24"/>
          <w:szCs w:val="24"/>
          <w:rtl/>
        </w:rPr>
        <w:t xml:space="preserve"> של האמצעים על חופשיות רצונם של הנחקרים, אף ש</w:t>
      </w:r>
      <w:r>
        <w:rPr>
          <w:rFonts w:cs="David" w:hint="cs"/>
          <w:sz w:val="24"/>
          <w:szCs w:val="24"/>
          <w:rtl/>
        </w:rPr>
        <w:t xml:space="preserve">גם דבר זה </w:t>
      </w:r>
      <w:r w:rsidRPr="00F92416">
        <w:rPr>
          <w:rFonts w:cs="David" w:hint="cs"/>
          <w:sz w:val="24"/>
          <w:szCs w:val="24"/>
          <w:rtl/>
        </w:rPr>
        <w:t>הוכח</w:t>
      </w:r>
      <w:r>
        <w:rPr>
          <w:rFonts w:cs="David" w:hint="cs"/>
          <w:sz w:val="24"/>
          <w:szCs w:val="24"/>
          <w:rtl/>
        </w:rPr>
        <w:t>, מעבר לדרוש</w:t>
      </w:r>
      <w:r w:rsidRPr="00F92416">
        <w:rPr>
          <w:rFonts w:cs="David" w:hint="cs"/>
          <w:sz w:val="24"/>
          <w:szCs w:val="24"/>
          <w:rtl/>
        </w:rPr>
        <w:t>;</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rtl/>
        </w:rPr>
        <w:t xml:space="preserve">לפיכך, בענייננו, </w:t>
      </w:r>
      <w:r w:rsidRPr="00F92416">
        <w:rPr>
          <w:rFonts w:cs="David" w:hint="cs"/>
          <w:sz w:val="24"/>
          <w:szCs w:val="24"/>
          <w:u w:val="single"/>
          <w:rtl/>
        </w:rPr>
        <w:t>יש לפסול את כל ההודאות שנגבו במהלך חקירות הצורך של כל אחד מהנאשמים, מכ</w:t>
      </w:r>
      <w:r>
        <w:rPr>
          <w:rFonts w:cs="David" w:hint="cs"/>
          <w:sz w:val="24"/>
          <w:szCs w:val="24"/>
          <w:u w:val="single"/>
          <w:rtl/>
        </w:rPr>
        <w:t>ו</w:t>
      </w:r>
      <w:r w:rsidRPr="00F92416">
        <w:rPr>
          <w:rFonts w:cs="David" w:hint="cs"/>
          <w:sz w:val="24"/>
          <w:szCs w:val="24"/>
          <w:u w:val="single"/>
          <w:rtl/>
        </w:rPr>
        <w:t>ח סעיף 12 לפקודת הראיות;</w:t>
      </w:r>
      <w:r w:rsidRPr="00F92416">
        <w:rPr>
          <w:rFonts w:cs="David" w:hint="cs"/>
          <w:sz w:val="24"/>
          <w:szCs w:val="24"/>
          <w:rtl/>
        </w:rPr>
        <w:t xml:space="preserve"> </w:t>
      </w:r>
    </w:p>
    <w:p w:rsidR="00272DA0" w:rsidRDefault="00272DA0" w:rsidP="00272DA0">
      <w:pPr>
        <w:pStyle w:val="a3"/>
        <w:spacing w:line="360" w:lineRule="auto"/>
        <w:ind w:left="567"/>
        <w:jc w:val="both"/>
        <w:rPr>
          <w:rFonts w:cs="David"/>
          <w:sz w:val="24"/>
          <w:szCs w:val="24"/>
        </w:rPr>
      </w:pPr>
      <w:r w:rsidRPr="00DE25A4">
        <w:rPr>
          <w:rFonts w:cs="David" w:hint="cs"/>
          <w:sz w:val="24"/>
          <w:szCs w:val="24"/>
          <w:rtl/>
        </w:rPr>
        <w:t>יודגש כי קביעה זו אינה קביעה גורפת אודות תוצרי חקירות צורך באשר הן. מדובר בהכרעה הנוגעת לענייננו בלבד, ונובעת מהנסיבות העובדתיות המיוחדות שפורטו בהחלטה. לא בכדי אף התביעה אינה מבקשת לאמץ את התוצרים הישירים של חקירות הצורך</w:t>
      </w:r>
      <w:r>
        <w:rPr>
          <w:rFonts w:cs="David" w:hint="cs"/>
          <w:sz w:val="24"/>
          <w:szCs w:val="24"/>
          <w:rtl/>
        </w:rPr>
        <w:t>;</w:t>
      </w:r>
    </w:p>
    <w:p w:rsidR="00272DA0" w:rsidRPr="00BD2534" w:rsidRDefault="00272DA0" w:rsidP="00272DA0">
      <w:pPr>
        <w:pStyle w:val="a3"/>
        <w:rPr>
          <w:rFonts w:cs="David"/>
          <w:sz w:val="24"/>
          <w:szCs w:val="24"/>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rtl/>
        </w:rPr>
        <w:lastRenderedPageBreak/>
        <w:t xml:space="preserve">נוכח תוצאה זו, אין צורך להכריע בשאלה האם האמצעים המיוחדים שהופעלו עולים כדי </w:t>
      </w:r>
      <w:r w:rsidRPr="00F92416">
        <w:rPr>
          <w:rFonts w:cs="David" w:hint="cs"/>
          <w:sz w:val="24"/>
          <w:szCs w:val="24"/>
          <w:u w:val="single"/>
          <w:rtl/>
        </w:rPr>
        <w:t>עינויים</w:t>
      </w:r>
      <w:r w:rsidRPr="00F92416">
        <w:rPr>
          <w:rFonts w:cs="David" w:hint="cs"/>
          <w:sz w:val="24"/>
          <w:szCs w:val="24"/>
          <w:rtl/>
        </w:rPr>
        <w:t xml:space="preserve">, כהגדרת מונח זה בדין הבינלאומי או בפסיקה הישראלית; </w:t>
      </w:r>
    </w:p>
    <w:p w:rsidR="00272DA0" w:rsidRPr="000B081C" w:rsidRDefault="00272DA0" w:rsidP="00272DA0">
      <w:pPr>
        <w:pStyle w:val="a3"/>
        <w:spacing w:line="360" w:lineRule="auto"/>
        <w:ind w:left="567"/>
        <w:jc w:val="both"/>
        <w:rPr>
          <w:rFonts w:cs="David"/>
          <w:sz w:val="16"/>
          <w:szCs w:val="16"/>
        </w:rPr>
      </w:pPr>
    </w:p>
    <w:p w:rsidR="00272DA0" w:rsidRPr="00F92416" w:rsidRDefault="00272DA0" w:rsidP="00272DA0">
      <w:pPr>
        <w:pStyle w:val="a3"/>
        <w:numPr>
          <w:ilvl w:val="0"/>
          <w:numId w:val="19"/>
        </w:numPr>
        <w:spacing w:line="360" w:lineRule="auto"/>
        <w:jc w:val="both"/>
        <w:rPr>
          <w:rFonts w:cs="David"/>
          <w:sz w:val="24"/>
          <w:szCs w:val="24"/>
        </w:rPr>
      </w:pPr>
      <w:r w:rsidRPr="00F92416">
        <w:rPr>
          <w:rFonts w:cs="David" w:hint="cs"/>
          <w:sz w:val="24"/>
          <w:szCs w:val="24"/>
          <w:rtl/>
        </w:rPr>
        <w:t xml:space="preserve">נוכח מסקנה זו, אין צורך לפנות ליישום </w:t>
      </w:r>
      <w:r w:rsidRPr="00F92416">
        <w:rPr>
          <w:rFonts w:cs="David" w:hint="cs"/>
          <w:sz w:val="24"/>
          <w:szCs w:val="24"/>
          <w:u w:val="single"/>
          <w:rtl/>
        </w:rPr>
        <w:t>דוקטרינת הפסילה הפסיקתית</w:t>
      </w:r>
      <w:r w:rsidRPr="00F92416">
        <w:rPr>
          <w:rFonts w:cs="David" w:hint="cs"/>
          <w:sz w:val="24"/>
          <w:szCs w:val="24"/>
          <w:rtl/>
        </w:rPr>
        <w:t xml:space="preserve"> על חקירות הצורך. יחד עם זאת, אין מקום לקבוע באופן גור</w:t>
      </w:r>
      <w:r>
        <w:rPr>
          <w:rFonts w:cs="David" w:hint="cs"/>
          <w:sz w:val="24"/>
          <w:szCs w:val="24"/>
          <w:rtl/>
        </w:rPr>
        <w:t xml:space="preserve">ף כי הודאות שנגבו במהלך חקירות </w:t>
      </w:r>
      <w:r w:rsidRPr="00F92416">
        <w:rPr>
          <w:rFonts w:cs="David" w:hint="cs"/>
          <w:sz w:val="24"/>
          <w:szCs w:val="24"/>
          <w:rtl/>
        </w:rPr>
        <w:t xml:space="preserve">צורך, </w:t>
      </w:r>
      <w:r>
        <w:rPr>
          <w:rFonts w:cs="David" w:hint="cs"/>
          <w:sz w:val="24"/>
          <w:szCs w:val="24"/>
          <w:rtl/>
        </w:rPr>
        <w:t xml:space="preserve">בהכרח </w:t>
      </w:r>
      <w:r w:rsidRPr="00F92416">
        <w:rPr>
          <w:rFonts w:cs="David" w:hint="cs"/>
          <w:sz w:val="24"/>
          <w:szCs w:val="24"/>
          <w:rtl/>
        </w:rPr>
        <w:t>פסולות כראיה בהתאם לדוקטרינה זו. ככל שיש נסיבות המצדיקות יישום הדוקטרינה על חקירות צורך, הדבר מצריך בחינה של מגוון רחב של שיקולים. על כל מקרה להיבחן</w:t>
      </w:r>
      <w:r>
        <w:rPr>
          <w:rFonts w:cs="David" w:hint="cs"/>
          <w:sz w:val="24"/>
          <w:szCs w:val="24"/>
          <w:rtl/>
        </w:rPr>
        <w:t xml:space="preserve"> </w:t>
      </w:r>
      <w:r w:rsidRPr="00F92416">
        <w:rPr>
          <w:rFonts w:cs="David" w:hint="cs"/>
          <w:sz w:val="24"/>
          <w:szCs w:val="24"/>
          <w:rtl/>
        </w:rPr>
        <w:t xml:space="preserve">לפי מכלול נסיבותיו; </w:t>
      </w:r>
    </w:p>
    <w:p w:rsidR="00272DA0" w:rsidRPr="00F92416" w:rsidRDefault="00272DA0" w:rsidP="00272DA0">
      <w:pPr>
        <w:spacing w:line="360" w:lineRule="auto"/>
        <w:jc w:val="both"/>
        <w:rPr>
          <w:rFonts w:cs="David"/>
          <w:sz w:val="24"/>
          <w:szCs w:val="24"/>
        </w:rPr>
      </w:pPr>
      <w:r w:rsidRPr="00F92416">
        <w:rPr>
          <w:rFonts w:cs="David" w:hint="cs"/>
          <w:b/>
          <w:bCs/>
          <w:sz w:val="24"/>
          <w:szCs w:val="24"/>
          <w:u w:val="single"/>
          <w:rtl/>
        </w:rPr>
        <w:t>אשר לחקירות העוקבות של נאשם 1</w:t>
      </w:r>
      <w:r w:rsidRPr="00F92416">
        <w:rPr>
          <w:rFonts w:cs="David" w:hint="cs"/>
          <w:sz w:val="24"/>
          <w:szCs w:val="24"/>
          <w:rtl/>
        </w:rPr>
        <w:t xml:space="preserve"> </w:t>
      </w:r>
    </w:p>
    <w:p w:rsidR="00272DA0" w:rsidRPr="00AE21BD" w:rsidRDefault="00272DA0" w:rsidP="00272DA0">
      <w:pPr>
        <w:pStyle w:val="a3"/>
        <w:numPr>
          <w:ilvl w:val="0"/>
          <w:numId w:val="19"/>
        </w:numPr>
        <w:spacing w:line="360" w:lineRule="auto"/>
        <w:jc w:val="both"/>
        <w:rPr>
          <w:rFonts w:cs="David"/>
          <w:sz w:val="24"/>
          <w:szCs w:val="24"/>
          <w:rtl/>
        </w:rPr>
      </w:pPr>
      <w:r w:rsidRPr="00AE21BD">
        <w:rPr>
          <w:rFonts w:cs="David" w:hint="cs"/>
          <w:sz w:val="24"/>
          <w:szCs w:val="24"/>
          <w:rtl/>
        </w:rPr>
        <w:t xml:space="preserve">אין מקום לקבוע כלל או חזקה משפטית, לפיהם כל הודאה עוקבת שנמסרה לאחר הודאה שנגבתה אגב הפעלת אמצעים אלימים, הינה פסולה. אין גם מקום לקבוע כלל לפיו ניתוק הקשר בין ההודאה בחקירת הצורך לבין ההודאות העוקבות, מחייב קיומו של אירוע חיצוני, כגון מפגש עם עורך-דין </w:t>
      </w:r>
      <w:proofErr w:type="spellStart"/>
      <w:r w:rsidRPr="00AE21BD">
        <w:rPr>
          <w:rFonts w:cs="David" w:hint="cs"/>
          <w:sz w:val="24"/>
          <w:szCs w:val="24"/>
          <w:rtl/>
        </w:rPr>
        <w:t>וכיוצ"ב</w:t>
      </w:r>
      <w:proofErr w:type="spellEnd"/>
      <w:r w:rsidRPr="00AE21BD">
        <w:rPr>
          <w:rFonts w:cs="David" w:hint="cs"/>
          <w:sz w:val="24"/>
          <w:szCs w:val="24"/>
          <w:rtl/>
        </w:rPr>
        <w:t xml:space="preserve">. אלה כללים שאינם מתיישבים עם הפסיקה בנושא סעיף 12 לפקודת הראיות ובפרט עם פסק הדין בעניין </w:t>
      </w:r>
      <w:r w:rsidRPr="00AE21BD">
        <w:rPr>
          <w:rFonts w:cs="David" w:hint="cs"/>
          <w:b/>
          <w:bCs/>
          <w:sz w:val="24"/>
          <w:szCs w:val="24"/>
          <w:rtl/>
        </w:rPr>
        <w:t>אל סיד</w:t>
      </w:r>
      <w:r>
        <w:rPr>
          <w:rFonts w:cs="David" w:hint="cs"/>
          <w:b/>
          <w:bCs/>
          <w:sz w:val="24"/>
          <w:szCs w:val="24"/>
          <w:rtl/>
        </w:rPr>
        <w:t xml:space="preserve"> </w:t>
      </w:r>
      <w:r>
        <w:rPr>
          <w:rFonts w:cs="David" w:hint="cs"/>
          <w:sz w:val="24"/>
          <w:szCs w:val="24"/>
          <w:rtl/>
        </w:rPr>
        <w:t>(</w:t>
      </w:r>
      <w:r w:rsidRPr="0071620B">
        <w:rPr>
          <w:rFonts w:cs="David" w:hint="cs"/>
          <w:sz w:val="24"/>
          <w:szCs w:val="24"/>
          <w:rtl/>
        </w:rPr>
        <w:t xml:space="preserve">ע"פ 1776/06 </w:t>
      </w:r>
      <w:r w:rsidRPr="0071620B">
        <w:rPr>
          <w:rFonts w:cs="David" w:hint="cs"/>
          <w:b/>
          <w:bCs/>
          <w:sz w:val="24"/>
          <w:szCs w:val="24"/>
          <w:rtl/>
        </w:rPr>
        <w:t>אל סיד נ' מדינת ישראל</w:t>
      </w:r>
      <w:r w:rsidRPr="0071620B">
        <w:rPr>
          <w:rFonts w:cs="David" w:hint="cs"/>
          <w:sz w:val="24"/>
          <w:szCs w:val="24"/>
          <w:rtl/>
        </w:rPr>
        <w:t xml:space="preserve"> (5.9.2011)</w:t>
      </w:r>
      <w:r>
        <w:rPr>
          <w:rFonts w:cs="David" w:hint="cs"/>
          <w:sz w:val="24"/>
          <w:szCs w:val="24"/>
          <w:rtl/>
        </w:rPr>
        <w:t>)</w:t>
      </w:r>
      <w:r w:rsidRPr="00AE21BD">
        <w:rPr>
          <w:rFonts w:cs="David" w:hint="cs"/>
          <w:sz w:val="24"/>
          <w:szCs w:val="24"/>
          <w:rtl/>
        </w:rPr>
        <w:t xml:space="preserve">; </w:t>
      </w:r>
    </w:p>
    <w:p w:rsidR="00272DA0" w:rsidRPr="000B081C" w:rsidRDefault="00272DA0" w:rsidP="00272DA0">
      <w:pPr>
        <w:pStyle w:val="a3"/>
        <w:spacing w:line="360" w:lineRule="auto"/>
        <w:ind w:left="567"/>
        <w:jc w:val="both"/>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u w:val="single"/>
          <w:rtl/>
        </w:rPr>
        <w:t xml:space="preserve">אשר להודאה </w:t>
      </w:r>
      <w:r>
        <w:rPr>
          <w:rFonts w:cs="David" w:hint="cs"/>
          <w:sz w:val="24"/>
          <w:szCs w:val="24"/>
          <w:u w:val="single"/>
          <w:rtl/>
        </w:rPr>
        <w:t>העוקבת</w:t>
      </w:r>
      <w:r w:rsidRPr="00F92416">
        <w:rPr>
          <w:rFonts w:cs="David" w:hint="cs"/>
          <w:sz w:val="24"/>
          <w:szCs w:val="24"/>
          <w:u w:val="single"/>
          <w:rtl/>
        </w:rPr>
        <w:t>, לפני התיעוד החזותי</w:t>
      </w:r>
      <w:r>
        <w:rPr>
          <w:rFonts w:cs="David" w:hint="cs"/>
          <w:sz w:val="24"/>
          <w:szCs w:val="24"/>
          <w:rtl/>
        </w:rPr>
        <w:t xml:space="preserve">, </w:t>
      </w:r>
      <w:r w:rsidRPr="00F92416">
        <w:rPr>
          <w:rFonts w:cs="David" w:hint="cs"/>
          <w:sz w:val="24"/>
          <w:szCs w:val="24"/>
          <w:rtl/>
        </w:rPr>
        <w:t>שמבקשת המאשימה לקבל</w:t>
      </w:r>
      <w:r>
        <w:rPr>
          <w:rFonts w:cs="David" w:hint="cs"/>
          <w:sz w:val="24"/>
          <w:szCs w:val="24"/>
          <w:rtl/>
        </w:rPr>
        <w:t xml:space="preserve"> (חקירה מיום 19.12.2015 בבוקר)</w:t>
      </w:r>
      <w:r w:rsidRPr="00F92416">
        <w:rPr>
          <w:rFonts w:cs="David" w:hint="cs"/>
          <w:sz w:val="24"/>
          <w:szCs w:val="24"/>
          <w:rtl/>
        </w:rPr>
        <w:t>, לא ניתן לומר כי המאשימה</w:t>
      </w:r>
      <w:r>
        <w:rPr>
          <w:rFonts w:cs="David" w:hint="cs"/>
          <w:sz w:val="24"/>
          <w:szCs w:val="24"/>
          <w:rtl/>
        </w:rPr>
        <w:t xml:space="preserve"> עמדה בנטל המוטל עליה להוכיח כי</w:t>
      </w:r>
      <w:r w:rsidRPr="00F92416">
        <w:rPr>
          <w:rFonts w:cs="David" w:hint="cs"/>
          <w:sz w:val="24"/>
          <w:szCs w:val="24"/>
          <w:rtl/>
        </w:rPr>
        <w:t xml:space="preserve"> היא ניתנה באופן חופשי ומרצון. </w:t>
      </w:r>
      <w:proofErr w:type="spellStart"/>
      <w:r w:rsidRPr="00F92416">
        <w:rPr>
          <w:rFonts w:cs="David" w:hint="cs"/>
          <w:sz w:val="24"/>
          <w:szCs w:val="24"/>
          <w:rtl/>
        </w:rPr>
        <w:t>משהזכ"ד</w:t>
      </w:r>
      <w:proofErr w:type="spellEnd"/>
      <w:r w:rsidRPr="00F92416">
        <w:rPr>
          <w:rFonts w:cs="David" w:hint="cs"/>
          <w:sz w:val="24"/>
          <w:szCs w:val="24"/>
          <w:rtl/>
        </w:rPr>
        <w:t xml:space="preserve"> המלא לא הוצג לנו, משלא נית</w:t>
      </w:r>
      <w:r>
        <w:rPr>
          <w:rFonts w:cs="David" w:hint="cs"/>
          <w:sz w:val="24"/>
          <w:szCs w:val="24"/>
          <w:rtl/>
        </w:rPr>
        <w:t>נה תמונה מלאה על מהלך החקירה, ומ</w:t>
      </w:r>
      <w:r w:rsidRPr="00F92416">
        <w:rPr>
          <w:rFonts w:cs="David" w:hint="cs"/>
          <w:sz w:val="24"/>
          <w:szCs w:val="24"/>
          <w:rtl/>
        </w:rPr>
        <w:t>שאף החוקר לא י</w:t>
      </w:r>
      <w:r>
        <w:rPr>
          <w:rFonts w:cs="David" w:hint="cs"/>
          <w:sz w:val="24"/>
          <w:szCs w:val="24"/>
          <w:rtl/>
        </w:rPr>
        <w:t xml:space="preserve">דע לתאר את תגובת הנאשם לנאמר בה </w:t>
      </w:r>
      <w:r>
        <w:rPr>
          <w:rFonts w:cs="David"/>
          <w:sz w:val="24"/>
          <w:szCs w:val="24"/>
          <w:rtl/>
        </w:rPr>
        <w:t>–</w:t>
      </w:r>
      <w:r>
        <w:rPr>
          <w:rFonts w:cs="David" w:hint="cs"/>
          <w:sz w:val="24"/>
          <w:szCs w:val="24"/>
          <w:rtl/>
        </w:rPr>
        <w:t xml:space="preserve"> אין בידי בית-</w:t>
      </w:r>
      <w:r w:rsidRPr="00F92416">
        <w:rPr>
          <w:rFonts w:cs="David" w:hint="cs"/>
          <w:sz w:val="24"/>
          <w:szCs w:val="24"/>
          <w:rtl/>
        </w:rPr>
        <w:t>המשפט כלים לשל</w:t>
      </w:r>
      <w:r>
        <w:rPr>
          <w:rFonts w:cs="David" w:hint="cs"/>
          <w:sz w:val="24"/>
          <w:szCs w:val="24"/>
          <w:rtl/>
        </w:rPr>
        <w:t>ול את גרסת הנאשם, ולו מחמת הספק;</w:t>
      </w:r>
    </w:p>
    <w:p w:rsidR="00272DA0" w:rsidRDefault="00272DA0" w:rsidP="00272DA0">
      <w:pPr>
        <w:pStyle w:val="a3"/>
        <w:spacing w:line="360" w:lineRule="auto"/>
        <w:ind w:left="567"/>
        <w:jc w:val="both"/>
        <w:rPr>
          <w:rFonts w:cs="David"/>
          <w:sz w:val="24"/>
          <w:szCs w:val="24"/>
          <w:rtl/>
        </w:rPr>
      </w:pPr>
      <w:r w:rsidRPr="00AE21BD">
        <w:rPr>
          <w:rFonts w:cs="David" w:hint="cs"/>
          <w:sz w:val="24"/>
          <w:szCs w:val="24"/>
          <w:u w:val="single"/>
          <w:rtl/>
        </w:rPr>
        <w:t>לפיכך</w:t>
      </w:r>
      <w:r>
        <w:rPr>
          <w:rFonts w:cs="David" w:hint="cs"/>
          <w:sz w:val="24"/>
          <w:szCs w:val="24"/>
          <w:rtl/>
        </w:rPr>
        <w:t xml:space="preserve">, </w:t>
      </w:r>
      <w:r w:rsidRPr="00AE21BD">
        <w:rPr>
          <w:rFonts w:cs="David" w:hint="cs"/>
          <w:sz w:val="24"/>
          <w:szCs w:val="24"/>
          <w:u w:val="single"/>
          <w:rtl/>
        </w:rPr>
        <w:t xml:space="preserve">למרות שמדובר בהודאה עוקבת שניתנה לאחר חקירת הצורך, ובה לא ננקטו אמצעים מיוחדים </w:t>
      </w:r>
      <w:r w:rsidRPr="00AE21BD">
        <w:rPr>
          <w:rFonts w:cs="David"/>
          <w:sz w:val="24"/>
          <w:szCs w:val="24"/>
          <w:u w:val="single"/>
          <w:rtl/>
        </w:rPr>
        <w:t>–</w:t>
      </w:r>
      <w:r w:rsidRPr="00AE21BD">
        <w:rPr>
          <w:rFonts w:cs="David" w:hint="cs"/>
          <w:sz w:val="24"/>
          <w:szCs w:val="24"/>
          <w:u w:val="single"/>
          <w:rtl/>
        </w:rPr>
        <w:t xml:space="preserve"> אין מקום לקבלה כראיה</w:t>
      </w:r>
      <w:r>
        <w:rPr>
          <w:rFonts w:cs="David" w:hint="cs"/>
          <w:sz w:val="24"/>
          <w:szCs w:val="24"/>
          <w:rtl/>
        </w:rPr>
        <w:t>.</w:t>
      </w:r>
    </w:p>
    <w:p w:rsidR="00272DA0" w:rsidRPr="000B081C" w:rsidRDefault="00272DA0" w:rsidP="00272DA0">
      <w:pPr>
        <w:pStyle w:val="a3"/>
        <w:spacing w:line="360" w:lineRule="auto"/>
        <w:ind w:left="567"/>
        <w:jc w:val="both"/>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F92416">
        <w:rPr>
          <w:rFonts w:cs="David" w:hint="cs"/>
          <w:sz w:val="24"/>
          <w:szCs w:val="24"/>
          <w:u w:val="single"/>
          <w:rtl/>
        </w:rPr>
        <w:t xml:space="preserve">אשר להודאות </w:t>
      </w:r>
      <w:r>
        <w:rPr>
          <w:rFonts w:cs="David" w:hint="cs"/>
          <w:sz w:val="24"/>
          <w:szCs w:val="24"/>
          <w:u w:val="single"/>
          <w:rtl/>
        </w:rPr>
        <w:t xml:space="preserve">העוקבות </w:t>
      </w:r>
      <w:r w:rsidRPr="00F92416">
        <w:rPr>
          <w:rFonts w:cs="David" w:hint="cs"/>
          <w:sz w:val="24"/>
          <w:szCs w:val="24"/>
          <w:u w:val="single"/>
          <w:rtl/>
        </w:rPr>
        <w:t xml:space="preserve">שנמסרו </w:t>
      </w:r>
      <w:r>
        <w:rPr>
          <w:rFonts w:cs="David" w:hint="cs"/>
          <w:sz w:val="24"/>
          <w:szCs w:val="24"/>
          <w:u w:val="single"/>
          <w:rtl/>
        </w:rPr>
        <w:t xml:space="preserve">החל מהחקירה המתועדת הראשונה (36 שעות לאחר סיום חקירת הצורך), </w:t>
      </w:r>
      <w:r w:rsidRPr="00F92416">
        <w:rPr>
          <w:rFonts w:cs="David" w:hint="cs"/>
          <w:sz w:val="24"/>
          <w:szCs w:val="24"/>
          <w:u w:val="single"/>
          <w:rtl/>
        </w:rPr>
        <w:t xml:space="preserve">ועד </w:t>
      </w:r>
      <w:r>
        <w:rPr>
          <w:rFonts w:cs="David" w:hint="cs"/>
          <w:sz w:val="24"/>
          <w:szCs w:val="24"/>
          <w:u w:val="single"/>
          <w:rtl/>
        </w:rPr>
        <w:t xml:space="preserve">לפני חקירת הצורך </w:t>
      </w:r>
      <w:proofErr w:type="spellStart"/>
      <w:r>
        <w:rPr>
          <w:rFonts w:cs="David" w:hint="cs"/>
          <w:sz w:val="24"/>
          <w:szCs w:val="24"/>
          <w:u w:val="single"/>
          <w:rtl/>
        </w:rPr>
        <w:t>השניה</w:t>
      </w:r>
      <w:proofErr w:type="spellEnd"/>
      <w:r w:rsidRPr="00F92416">
        <w:rPr>
          <w:rFonts w:cs="David" w:hint="cs"/>
          <w:sz w:val="24"/>
          <w:szCs w:val="24"/>
          <w:rtl/>
        </w:rPr>
        <w:t xml:space="preserve"> </w:t>
      </w:r>
      <w:r w:rsidRPr="00F92416">
        <w:rPr>
          <w:rFonts w:cs="David"/>
          <w:sz w:val="24"/>
          <w:szCs w:val="24"/>
          <w:rtl/>
        </w:rPr>
        <w:t>–</w:t>
      </w:r>
      <w:r w:rsidRPr="00F92416">
        <w:rPr>
          <w:rFonts w:cs="David" w:hint="cs"/>
          <w:sz w:val="24"/>
          <w:szCs w:val="24"/>
          <w:rtl/>
        </w:rPr>
        <w:t xml:space="preserve"> אלה נ</w:t>
      </w:r>
      <w:r>
        <w:rPr>
          <w:rFonts w:cs="David" w:hint="cs"/>
          <w:sz w:val="24"/>
          <w:szCs w:val="24"/>
          <w:rtl/>
        </w:rPr>
        <w:t>יתנו מרצונו החופשי של הנאשם 1.</w:t>
      </w:r>
    </w:p>
    <w:p w:rsidR="00272DA0" w:rsidRDefault="00272DA0" w:rsidP="00272DA0">
      <w:pPr>
        <w:pStyle w:val="a3"/>
        <w:spacing w:line="360" w:lineRule="auto"/>
        <w:ind w:left="567"/>
        <w:jc w:val="both"/>
        <w:rPr>
          <w:rFonts w:cs="David"/>
          <w:sz w:val="24"/>
          <w:szCs w:val="24"/>
          <w:rtl/>
        </w:rPr>
      </w:pPr>
      <w:r w:rsidRPr="00F92416">
        <w:rPr>
          <w:rFonts w:cs="David" w:hint="cs"/>
          <w:sz w:val="24"/>
          <w:szCs w:val="24"/>
          <w:u w:val="single"/>
          <w:rtl/>
        </w:rPr>
        <w:t>התיעוד החזותי</w:t>
      </w:r>
      <w:r w:rsidRPr="00F92416">
        <w:rPr>
          <w:rFonts w:cs="David" w:hint="cs"/>
          <w:sz w:val="24"/>
          <w:szCs w:val="24"/>
          <w:rtl/>
        </w:rPr>
        <w:t xml:space="preserve"> במהלך החקירות </w:t>
      </w:r>
      <w:r>
        <w:rPr>
          <w:rFonts w:cs="David" w:hint="cs"/>
          <w:sz w:val="24"/>
          <w:szCs w:val="24"/>
          <w:rtl/>
        </w:rPr>
        <w:t xml:space="preserve">הללו </w:t>
      </w:r>
      <w:r w:rsidRPr="00F92416">
        <w:rPr>
          <w:rFonts w:cs="David" w:hint="cs"/>
          <w:sz w:val="24"/>
          <w:szCs w:val="24"/>
          <w:rtl/>
        </w:rPr>
        <w:t>ו</w:t>
      </w:r>
      <w:r>
        <w:rPr>
          <w:rFonts w:cs="David" w:hint="cs"/>
          <w:sz w:val="24"/>
          <w:szCs w:val="24"/>
          <w:rtl/>
        </w:rPr>
        <w:t xml:space="preserve">כן </w:t>
      </w:r>
      <w:r w:rsidRPr="00F92416">
        <w:rPr>
          <w:rFonts w:cs="David" w:hint="cs"/>
          <w:sz w:val="24"/>
          <w:szCs w:val="24"/>
          <w:rtl/>
        </w:rPr>
        <w:t>בהובלה והצבעה, סיפקו כלי חשוב ביותר להתר</w:t>
      </w:r>
      <w:r>
        <w:rPr>
          <w:rFonts w:cs="David" w:hint="cs"/>
          <w:sz w:val="24"/>
          <w:szCs w:val="24"/>
          <w:rtl/>
        </w:rPr>
        <w:t xml:space="preserve">שמות בלתי אמצעית מהאווירה בחקירות </w:t>
      </w:r>
      <w:r w:rsidRPr="00F92416">
        <w:rPr>
          <w:rFonts w:cs="David" w:hint="cs"/>
          <w:sz w:val="24"/>
          <w:szCs w:val="24"/>
          <w:rtl/>
        </w:rPr>
        <w:t>ומהתנהלות הנאשם. התיעוד ממחיש כי ההודאות ניתנו מרצון ומתוך בחירה מודעת של הנאשם במה להודות ובמה לכפור. זאת ועוד, התיעוד חשף את אופן מסירת הדברים במדויק</w:t>
      </w:r>
      <w:r>
        <w:rPr>
          <w:rFonts w:cs="David" w:hint="cs"/>
          <w:sz w:val="24"/>
          <w:szCs w:val="24"/>
          <w:rtl/>
        </w:rPr>
        <w:t xml:space="preserve"> ובמלואם, ומשליך גם על תוצרי החקירות המאוחרות שלא תועדו</w:t>
      </w:r>
      <w:r w:rsidRPr="00F92416">
        <w:rPr>
          <w:rFonts w:cs="David" w:hint="cs"/>
          <w:sz w:val="24"/>
          <w:szCs w:val="24"/>
          <w:rtl/>
        </w:rPr>
        <w:t>;</w:t>
      </w:r>
    </w:p>
    <w:p w:rsidR="00272DA0" w:rsidRPr="000B081C" w:rsidRDefault="00272DA0" w:rsidP="00272DA0">
      <w:pPr>
        <w:pStyle w:val="a3"/>
        <w:spacing w:line="360" w:lineRule="auto"/>
        <w:ind w:left="567"/>
        <w:jc w:val="both"/>
        <w:rPr>
          <w:rFonts w:cs="David"/>
          <w:sz w:val="16"/>
          <w:szCs w:val="16"/>
          <w:u w:val="single"/>
          <w:rtl/>
        </w:rPr>
      </w:pPr>
    </w:p>
    <w:p w:rsidR="00272DA0" w:rsidRPr="00E65542" w:rsidRDefault="00272DA0" w:rsidP="00272DA0">
      <w:pPr>
        <w:pStyle w:val="a3"/>
        <w:numPr>
          <w:ilvl w:val="0"/>
          <w:numId w:val="19"/>
        </w:numPr>
        <w:spacing w:line="360" w:lineRule="auto"/>
        <w:jc w:val="both"/>
        <w:rPr>
          <w:rFonts w:cs="David"/>
          <w:sz w:val="24"/>
          <w:szCs w:val="24"/>
          <w:u w:val="single"/>
        </w:rPr>
      </w:pPr>
      <w:r w:rsidRPr="00F92416">
        <w:rPr>
          <w:rFonts w:cs="David" w:hint="cs"/>
          <w:sz w:val="24"/>
          <w:szCs w:val="24"/>
          <w:rtl/>
        </w:rPr>
        <w:lastRenderedPageBreak/>
        <w:t xml:space="preserve">צפייה </w:t>
      </w:r>
      <w:r w:rsidRPr="00F92416">
        <w:rPr>
          <w:rFonts w:cs="David" w:hint="cs"/>
          <w:sz w:val="24"/>
          <w:szCs w:val="24"/>
          <w:u w:val="single"/>
          <w:rtl/>
        </w:rPr>
        <w:t>בחקירה הראשונה המתועדת</w:t>
      </w:r>
      <w:r w:rsidRPr="00F92416">
        <w:rPr>
          <w:rFonts w:cs="David" w:hint="cs"/>
          <w:sz w:val="24"/>
          <w:szCs w:val="24"/>
          <w:rtl/>
        </w:rPr>
        <w:t xml:space="preserve">, התבוננות בשפת גופו של הנאשם, האזנה לדבריו, לטון הדיבור שלו ושל החוקר </w:t>
      </w:r>
      <w:proofErr w:type="spellStart"/>
      <w:r w:rsidRPr="00F92416">
        <w:rPr>
          <w:rFonts w:cs="David" w:hint="cs"/>
          <w:sz w:val="24"/>
          <w:szCs w:val="24"/>
          <w:rtl/>
        </w:rPr>
        <w:t>מיגל</w:t>
      </w:r>
      <w:proofErr w:type="spellEnd"/>
      <w:r w:rsidRPr="00F92416">
        <w:rPr>
          <w:rFonts w:cs="David" w:hint="cs"/>
          <w:sz w:val="24"/>
          <w:szCs w:val="24"/>
          <w:rtl/>
        </w:rPr>
        <w:t xml:space="preserve"> - מלמדים כי ההודא</w:t>
      </w:r>
      <w:r>
        <w:rPr>
          <w:rFonts w:cs="David" w:hint="cs"/>
          <w:sz w:val="24"/>
          <w:szCs w:val="24"/>
          <w:rtl/>
        </w:rPr>
        <w:t xml:space="preserve">ה נמסרה מרצונו החופשי של הנאשם. </w:t>
      </w:r>
      <w:r w:rsidRPr="00F92416">
        <w:rPr>
          <w:rFonts w:cs="David" w:hint="cs"/>
          <w:sz w:val="24"/>
          <w:szCs w:val="24"/>
          <w:rtl/>
        </w:rPr>
        <w:t xml:space="preserve">הנאשם לא נראה כמי שחושש </w:t>
      </w:r>
      <w:proofErr w:type="spellStart"/>
      <w:r w:rsidRPr="00F92416">
        <w:rPr>
          <w:rFonts w:cs="David" w:hint="cs"/>
          <w:sz w:val="24"/>
          <w:szCs w:val="24"/>
          <w:rtl/>
        </w:rPr>
        <w:t>ממיגל</w:t>
      </w:r>
      <w:proofErr w:type="spellEnd"/>
      <w:r w:rsidRPr="00F92416">
        <w:rPr>
          <w:rFonts w:cs="David" w:hint="cs"/>
          <w:sz w:val="24"/>
          <w:szCs w:val="24"/>
          <w:rtl/>
        </w:rPr>
        <w:t xml:space="preserve"> ושפת גופו אינה משדרת כי מדובר בנחקר מפוחד. הנאשם לא מתמסר מיד לחוקר ומסרב לכתוב בעצמו את גרסתו. הנאשם לא מהסס לנהל משא ומתן בנוגע למשך החקירה, מבלי שנשמע איום מפורש או משתמע בדברי </w:t>
      </w:r>
      <w:proofErr w:type="spellStart"/>
      <w:r w:rsidRPr="00F92416">
        <w:rPr>
          <w:rFonts w:cs="David" w:hint="cs"/>
          <w:sz w:val="24"/>
          <w:szCs w:val="24"/>
          <w:rtl/>
        </w:rPr>
        <w:t>מיגל</w:t>
      </w:r>
      <w:proofErr w:type="spellEnd"/>
      <w:r w:rsidRPr="00F92416">
        <w:rPr>
          <w:rFonts w:cs="David" w:hint="cs"/>
          <w:sz w:val="24"/>
          <w:szCs w:val="24"/>
          <w:rtl/>
        </w:rPr>
        <w:t xml:space="preserve">. הנאשם מוסר גרסה מפורטת מאוד, סדורה, כוללת פרטים </w:t>
      </w:r>
      <w:r>
        <w:rPr>
          <w:rFonts w:cs="David" w:hint="cs"/>
          <w:sz w:val="24"/>
          <w:szCs w:val="24"/>
          <w:rtl/>
        </w:rPr>
        <w:t>שחלקם שוליים, ברצף, במשך כחצי שע</w:t>
      </w:r>
      <w:r w:rsidRPr="00F92416">
        <w:rPr>
          <w:rFonts w:cs="David" w:hint="cs"/>
          <w:sz w:val="24"/>
          <w:szCs w:val="24"/>
          <w:rtl/>
        </w:rPr>
        <w:t>ה</w:t>
      </w:r>
      <w:r>
        <w:rPr>
          <w:rFonts w:cs="David" w:hint="cs"/>
          <w:sz w:val="24"/>
          <w:szCs w:val="24"/>
          <w:rtl/>
        </w:rPr>
        <w:t>,</w:t>
      </w:r>
      <w:r w:rsidRPr="00F92416">
        <w:rPr>
          <w:rFonts w:cs="David" w:hint="cs"/>
          <w:sz w:val="24"/>
          <w:szCs w:val="24"/>
          <w:rtl/>
        </w:rPr>
        <w:t xml:space="preserve"> ובמענה לשאלות </w:t>
      </w:r>
      <w:r>
        <w:rPr>
          <w:rFonts w:cs="David" w:hint="cs"/>
          <w:sz w:val="24"/>
          <w:szCs w:val="24"/>
          <w:rtl/>
        </w:rPr>
        <w:t>"</w:t>
      </w:r>
      <w:r w:rsidRPr="00F92416">
        <w:rPr>
          <w:rFonts w:cs="David" w:hint="cs"/>
          <w:sz w:val="24"/>
          <w:szCs w:val="24"/>
          <w:rtl/>
        </w:rPr>
        <w:t>פתוחות</w:t>
      </w:r>
      <w:r>
        <w:rPr>
          <w:rFonts w:cs="David" w:hint="cs"/>
          <w:sz w:val="24"/>
          <w:szCs w:val="24"/>
          <w:rtl/>
        </w:rPr>
        <w:t>"</w:t>
      </w:r>
      <w:r w:rsidRPr="00F92416">
        <w:rPr>
          <w:rFonts w:cs="David" w:hint="cs"/>
          <w:sz w:val="24"/>
          <w:szCs w:val="24"/>
          <w:rtl/>
        </w:rPr>
        <w:t xml:space="preserve">. </w:t>
      </w:r>
      <w:proofErr w:type="spellStart"/>
      <w:r w:rsidRPr="00F92416">
        <w:rPr>
          <w:rFonts w:cs="David" w:hint="cs"/>
          <w:sz w:val="24"/>
          <w:szCs w:val="24"/>
          <w:rtl/>
        </w:rPr>
        <w:t>כשמיגל</w:t>
      </w:r>
      <w:proofErr w:type="spellEnd"/>
      <w:r w:rsidRPr="00F92416">
        <w:rPr>
          <w:rFonts w:cs="David" w:hint="cs"/>
          <w:sz w:val="24"/>
          <w:szCs w:val="24"/>
          <w:rtl/>
        </w:rPr>
        <w:t xml:space="preserve"> יוצא מהחדר והנאשם נותר לבדו, הוא מזמ</w:t>
      </w:r>
      <w:r>
        <w:rPr>
          <w:rFonts w:cs="David" w:hint="cs"/>
          <w:sz w:val="24"/>
          <w:szCs w:val="24"/>
          <w:rtl/>
        </w:rPr>
        <w:t>זם לעצמו ונראה</w:t>
      </w:r>
      <w:r w:rsidRPr="00F92416">
        <w:rPr>
          <w:rFonts w:cs="David" w:hint="cs"/>
          <w:sz w:val="24"/>
          <w:szCs w:val="24"/>
          <w:rtl/>
        </w:rPr>
        <w:t xml:space="preserve"> נינוח למדי</w:t>
      </w:r>
      <w:r>
        <w:rPr>
          <w:rFonts w:cs="David" w:hint="cs"/>
          <w:sz w:val="24"/>
          <w:szCs w:val="24"/>
          <w:rtl/>
        </w:rPr>
        <w:t>;</w:t>
      </w:r>
    </w:p>
    <w:p w:rsidR="00272DA0" w:rsidRPr="000B081C" w:rsidRDefault="00272DA0" w:rsidP="00272DA0">
      <w:pPr>
        <w:pStyle w:val="a3"/>
        <w:spacing w:line="360" w:lineRule="auto"/>
        <w:ind w:left="567"/>
        <w:jc w:val="both"/>
        <w:rPr>
          <w:rFonts w:cs="David"/>
          <w:sz w:val="16"/>
          <w:szCs w:val="16"/>
          <w:u w:val="single"/>
        </w:rPr>
      </w:pPr>
    </w:p>
    <w:p w:rsidR="00272DA0" w:rsidRPr="00E65542"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rtl/>
        </w:rPr>
        <w:t>סירובו העקבי של הנאשם להעלות את דבריו על הכתב, לחתום על מסמך או להשיב לשאלות חוקרי המשטרה שכותבים את דבריו במדויק (בשונה מחוקרי השב"כ</w:t>
      </w:r>
      <w:r>
        <w:rPr>
          <w:rFonts w:cs="David" w:hint="cs"/>
          <w:sz w:val="24"/>
          <w:szCs w:val="24"/>
          <w:rtl/>
        </w:rPr>
        <w:t xml:space="preserve"> שכותבים את עיקרם בלבד</w:t>
      </w:r>
      <w:r w:rsidRPr="00E65542">
        <w:rPr>
          <w:rFonts w:cs="David" w:hint="cs"/>
          <w:sz w:val="24"/>
          <w:szCs w:val="24"/>
          <w:rtl/>
        </w:rPr>
        <w:t xml:space="preserve">), מתיישב עם הבנתו כי אלה מהווים ראיה משמעותית יותר נגדו, והוא מבקש, באופן מחושב, להימנע מלספק זאת; </w:t>
      </w:r>
    </w:p>
    <w:p w:rsidR="00272DA0" w:rsidRPr="000B081C" w:rsidRDefault="00272DA0" w:rsidP="00272DA0">
      <w:pPr>
        <w:pStyle w:val="a3"/>
        <w:rPr>
          <w:rFonts w:cs="David"/>
          <w:sz w:val="16"/>
          <w:szCs w:val="16"/>
          <w:rtl/>
        </w:rPr>
      </w:pPr>
    </w:p>
    <w:p w:rsidR="00272DA0" w:rsidRPr="00E65542"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rtl/>
        </w:rPr>
        <w:t xml:space="preserve">יכולותיו וכישוריו של </w:t>
      </w:r>
      <w:proofErr w:type="spellStart"/>
      <w:r w:rsidRPr="00E65542">
        <w:rPr>
          <w:rFonts w:cs="David" w:hint="cs"/>
          <w:sz w:val="24"/>
          <w:szCs w:val="24"/>
          <w:rtl/>
        </w:rPr>
        <w:t>מיגל</w:t>
      </w:r>
      <w:proofErr w:type="spellEnd"/>
      <w:r w:rsidRPr="00E65542">
        <w:rPr>
          <w:rFonts w:cs="David" w:hint="cs"/>
          <w:sz w:val="24"/>
          <w:szCs w:val="24"/>
          <w:rtl/>
        </w:rPr>
        <w:t xml:space="preserve"> כחוקר וכמי שהיטיב להכיר את נפשו ודרך מחשבתו של הנאשם, הם שפעלו ושכנעו את הנאשם </w:t>
      </w:r>
      <w:r>
        <w:rPr>
          <w:rFonts w:cs="David" w:hint="cs"/>
          <w:sz w:val="24"/>
          <w:szCs w:val="24"/>
          <w:rtl/>
        </w:rPr>
        <w:t xml:space="preserve">1 </w:t>
      </w:r>
      <w:r w:rsidRPr="00E65542">
        <w:rPr>
          <w:rFonts w:cs="David" w:hint="cs"/>
          <w:sz w:val="24"/>
          <w:szCs w:val="24"/>
          <w:rtl/>
        </w:rPr>
        <w:t xml:space="preserve">לשתף פעולה דווקא </w:t>
      </w:r>
      <w:proofErr w:type="spellStart"/>
      <w:r w:rsidRPr="00E65542">
        <w:rPr>
          <w:rFonts w:cs="David" w:hint="cs"/>
          <w:sz w:val="24"/>
          <w:szCs w:val="24"/>
          <w:rtl/>
        </w:rPr>
        <w:t>עימו</w:t>
      </w:r>
      <w:proofErr w:type="spellEnd"/>
      <w:r w:rsidRPr="00E65542">
        <w:rPr>
          <w:rFonts w:cs="David" w:hint="cs"/>
          <w:sz w:val="24"/>
          <w:szCs w:val="24"/>
          <w:rtl/>
        </w:rPr>
        <w:t xml:space="preserve">, ולא איום מפורש או משתמע או חשש מפני הפעלה בשנית של האמצעים המיוחדים; </w:t>
      </w:r>
    </w:p>
    <w:p w:rsidR="00272DA0" w:rsidRPr="000B081C" w:rsidRDefault="00272DA0" w:rsidP="00272DA0">
      <w:pPr>
        <w:pStyle w:val="a3"/>
        <w:rPr>
          <w:rFonts w:cs="David"/>
          <w:sz w:val="16"/>
          <w:szCs w:val="16"/>
          <w:rtl/>
        </w:rPr>
      </w:pPr>
    </w:p>
    <w:p w:rsidR="00272DA0" w:rsidRPr="00E65542"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rtl/>
        </w:rPr>
        <w:t xml:space="preserve">צפייה בתיעוד </w:t>
      </w:r>
      <w:r w:rsidRPr="00E65542">
        <w:rPr>
          <w:rFonts w:cs="David" w:hint="cs"/>
          <w:sz w:val="24"/>
          <w:szCs w:val="24"/>
          <w:u w:val="single"/>
          <w:rtl/>
        </w:rPr>
        <w:t>ההובלה וההצבעה</w:t>
      </w:r>
      <w:r w:rsidRPr="00E65542">
        <w:rPr>
          <w:rFonts w:cs="David" w:hint="cs"/>
          <w:sz w:val="24"/>
          <w:szCs w:val="24"/>
          <w:rtl/>
        </w:rPr>
        <w:t xml:space="preserve"> שביצע הנאשם, מלמדת כי הוא שיתף פעולה במהלך זה באופן מלא ואף מעבר לנדרש. הוא מוסר פרטים רבים, חלקם שוליים, מיוזמתו ומבלי שנשאל על כך. </w:t>
      </w:r>
      <w:r>
        <w:rPr>
          <w:rFonts w:cs="David" w:hint="cs"/>
          <w:sz w:val="24"/>
          <w:szCs w:val="24"/>
          <w:rtl/>
        </w:rPr>
        <w:t xml:space="preserve">גם </w:t>
      </w:r>
      <w:r w:rsidRPr="00E65542">
        <w:rPr>
          <w:rFonts w:cs="David" w:hint="cs"/>
          <w:sz w:val="24"/>
          <w:szCs w:val="24"/>
          <w:rtl/>
        </w:rPr>
        <w:t>סירובו של הנאשם להסתיר את פאותיו במהלך ההובלה בזירה, והסברו לכך, מעידים כי הוא מבצע את ההצבעה מתוך בחירה, בגאווה מסוימת ומבלי רצון להסתיר את זה</w:t>
      </w:r>
      <w:r>
        <w:rPr>
          <w:rFonts w:cs="David" w:hint="cs"/>
          <w:sz w:val="24"/>
          <w:szCs w:val="24"/>
          <w:rtl/>
        </w:rPr>
        <w:t>ותו היהודית הגאה. אף הנאשם עצמו</w:t>
      </w:r>
      <w:r w:rsidRPr="00E65542">
        <w:rPr>
          <w:rFonts w:cs="David" w:hint="cs"/>
          <w:sz w:val="24"/>
          <w:szCs w:val="24"/>
          <w:rtl/>
        </w:rPr>
        <w:t xml:space="preserve"> לא שלל בעדותו, כי הרושם המתקבל מצפיה בתיעוד</w:t>
      </w:r>
      <w:r>
        <w:rPr>
          <w:rFonts w:cs="David" w:hint="cs"/>
          <w:sz w:val="24"/>
          <w:szCs w:val="24"/>
          <w:rtl/>
        </w:rPr>
        <w:t xml:space="preserve"> הינו שהדבר נעשה מרצונו החופשי;</w:t>
      </w:r>
    </w:p>
    <w:p w:rsidR="00272DA0" w:rsidRPr="000B081C" w:rsidRDefault="00272DA0" w:rsidP="00272DA0">
      <w:pPr>
        <w:pStyle w:val="a3"/>
        <w:rPr>
          <w:rFonts w:cs="David"/>
          <w:sz w:val="16"/>
          <w:szCs w:val="16"/>
          <w:rtl/>
        </w:rPr>
      </w:pPr>
    </w:p>
    <w:p w:rsidR="00272DA0" w:rsidRPr="00E65542"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rtl/>
        </w:rPr>
        <w:t>יודגש כי מעדות הנאשם בבית המשפט עולה, כי אף לשיטתו, הי</w:t>
      </w:r>
      <w:r>
        <w:rPr>
          <w:rFonts w:cs="David" w:hint="cs"/>
          <w:sz w:val="24"/>
          <w:szCs w:val="24"/>
          <w:rtl/>
        </w:rPr>
        <w:t>י</w:t>
      </w:r>
      <w:r w:rsidRPr="00E65542">
        <w:rPr>
          <w:rFonts w:cs="David" w:hint="cs"/>
          <w:sz w:val="24"/>
          <w:szCs w:val="24"/>
          <w:rtl/>
        </w:rPr>
        <w:t>תה לו יכולת בחירה והוא בחר באופן</w:t>
      </w:r>
      <w:r>
        <w:rPr>
          <w:rFonts w:cs="David" w:hint="cs"/>
          <w:sz w:val="24"/>
          <w:szCs w:val="24"/>
          <w:rtl/>
        </w:rPr>
        <w:t xml:space="preserve"> מחושב להודות בחלקו בפיגוע </w:t>
      </w:r>
      <w:proofErr w:type="spellStart"/>
      <w:r>
        <w:rPr>
          <w:rFonts w:cs="David" w:hint="cs"/>
          <w:sz w:val="24"/>
          <w:szCs w:val="24"/>
          <w:rtl/>
        </w:rPr>
        <w:t>בדומא</w:t>
      </w:r>
      <w:proofErr w:type="spellEnd"/>
      <w:r w:rsidRPr="00E65542">
        <w:rPr>
          <w:rFonts w:cs="David" w:hint="cs"/>
          <w:sz w:val="24"/>
          <w:szCs w:val="24"/>
          <w:rtl/>
        </w:rPr>
        <w:t xml:space="preserve"> ולא מעבר לכך;</w:t>
      </w:r>
    </w:p>
    <w:p w:rsidR="00272DA0" w:rsidRPr="000B081C" w:rsidRDefault="00272DA0" w:rsidP="00272DA0">
      <w:pPr>
        <w:pStyle w:val="a3"/>
        <w:rPr>
          <w:rFonts w:cs="David"/>
          <w:sz w:val="16"/>
          <w:szCs w:val="16"/>
          <w:rtl/>
        </w:rPr>
      </w:pPr>
    </w:p>
    <w:p w:rsidR="00272DA0" w:rsidRPr="00E65542"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u w:val="single"/>
          <w:rtl/>
        </w:rPr>
        <w:t>אשר לבחינת ההודאות העוקבות לפי דוקטרינת הפסילה הפסיקתית</w:t>
      </w:r>
      <w:r w:rsidRPr="00E65542">
        <w:rPr>
          <w:rFonts w:cs="David" w:hint="cs"/>
          <w:sz w:val="24"/>
          <w:szCs w:val="24"/>
          <w:rtl/>
        </w:rPr>
        <w:t xml:space="preserve"> - </w:t>
      </w:r>
      <w:r w:rsidRPr="00E65542">
        <w:rPr>
          <w:rFonts w:cs="David" w:hint="cs"/>
          <w:sz w:val="24"/>
          <w:szCs w:val="24"/>
          <w:u w:val="single"/>
          <w:rtl/>
        </w:rPr>
        <w:t xml:space="preserve">מניעת המפגש </w:t>
      </w:r>
      <w:r w:rsidRPr="00E65542">
        <w:rPr>
          <w:rFonts w:cs="David" w:hint="cs"/>
          <w:sz w:val="24"/>
          <w:szCs w:val="24"/>
          <w:rtl/>
        </w:rPr>
        <w:t>בין הנאשם לעורך דינו,</w:t>
      </w:r>
      <w:r>
        <w:rPr>
          <w:rFonts w:cs="David" w:hint="cs"/>
          <w:sz w:val="24"/>
          <w:szCs w:val="24"/>
          <w:rtl/>
        </w:rPr>
        <w:t xml:space="preserve"> </w:t>
      </w:r>
      <w:r w:rsidRPr="00E65542">
        <w:rPr>
          <w:rFonts w:cs="David" w:hint="cs"/>
          <w:sz w:val="24"/>
          <w:szCs w:val="24"/>
          <w:rtl/>
        </w:rPr>
        <w:t xml:space="preserve">נעשתה כדין ומתוך שיקולים סיכוליים כנים, אף אם פענוח הפיגוע </w:t>
      </w:r>
      <w:proofErr w:type="spellStart"/>
      <w:r w:rsidRPr="00E65542">
        <w:rPr>
          <w:rFonts w:cs="David" w:hint="cs"/>
          <w:sz w:val="24"/>
          <w:szCs w:val="24"/>
          <w:rtl/>
        </w:rPr>
        <w:t>בדומא</w:t>
      </w:r>
      <w:proofErr w:type="spellEnd"/>
      <w:r w:rsidRPr="00E65542">
        <w:rPr>
          <w:rFonts w:cs="David" w:hint="cs"/>
          <w:sz w:val="24"/>
          <w:szCs w:val="24"/>
          <w:rtl/>
        </w:rPr>
        <w:t xml:space="preserve"> היה חלק </w:t>
      </w:r>
      <w:r>
        <w:rPr>
          <w:rFonts w:cs="David" w:hint="cs"/>
          <w:sz w:val="24"/>
          <w:szCs w:val="24"/>
          <w:rtl/>
        </w:rPr>
        <w:t xml:space="preserve">חשוב </w:t>
      </w:r>
      <w:r w:rsidRPr="00E65542">
        <w:rPr>
          <w:rFonts w:cs="David" w:hint="cs"/>
          <w:sz w:val="24"/>
          <w:szCs w:val="24"/>
          <w:rtl/>
        </w:rPr>
        <w:t>ממט</w:t>
      </w:r>
      <w:r>
        <w:rPr>
          <w:rFonts w:cs="David" w:hint="cs"/>
          <w:sz w:val="24"/>
          <w:szCs w:val="24"/>
          <w:rtl/>
        </w:rPr>
        <w:t>רות החקירה. מניעת המפגש נבחנה גם על-ידי ערכאות השיפוט השונות. על כן מניעת המפגש אינה</w:t>
      </w:r>
      <w:r w:rsidRPr="00E65542">
        <w:rPr>
          <w:rFonts w:cs="David" w:hint="cs"/>
          <w:sz w:val="24"/>
          <w:szCs w:val="24"/>
          <w:rtl/>
        </w:rPr>
        <w:t xml:space="preserve"> מהווה עילה לפסילת ההודאות שניתנו במהלכה; </w:t>
      </w:r>
    </w:p>
    <w:p w:rsidR="00272DA0" w:rsidRPr="000B081C" w:rsidRDefault="00272DA0" w:rsidP="00272DA0">
      <w:pPr>
        <w:pStyle w:val="a3"/>
        <w:spacing w:line="360" w:lineRule="auto"/>
        <w:ind w:left="567"/>
        <w:jc w:val="both"/>
        <w:rPr>
          <w:rFonts w:cs="David"/>
          <w:sz w:val="24"/>
          <w:szCs w:val="24"/>
          <w:u w:val="single"/>
        </w:rPr>
      </w:pPr>
    </w:p>
    <w:p w:rsidR="00272DA0" w:rsidRPr="00E65542"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rtl/>
        </w:rPr>
        <w:t xml:space="preserve">גם </w:t>
      </w:r>
      <w:r w:rsidRPr="00E65542">
        <w:rPr>
          <w:rFonts w:cs="David" w:hint="cs"/>
          <w:sz w:val="24"/>
          <w:szCs w:val="24"/>
          <w:u w:val="single"/>
          <w:rtl/>
        </w:rPr>
        <w:t>העדר האזהרה</w:t>
      </w:r>
      <w:r w:rsidRPr="00E65542">
        <w:rPr>
          <w:rFonts w:cs="David" w:hint="cs"/>
          <w:sz w:val="24"/>
          <w:szCs w:val="24"/>
          <w:rtl/>
        </w:rPr>
        <w:t xml:space="preserve"> בכל חקירה וחקירה ומסירת דף הזכויות רק ביום הרביעי למעצר, </w:t>
      </w:r>
      <w:r>
        <w:rPr>
          <w:rFonts w:cs="David" w:hint="cs"/>
          <w:sz w:val="24"/>
          <w:szCs w:val="24"/>
          <w:rtl/>
        </w:rPr>
        <w:t xml:space="preserve">אינם </w:t>
      </w:r>
      <w:r w:rsidRPr="00E65542">
        <w:rPr>
          <w:rFonts w:cs="David" w:hint="cs"/>
          <w:sz w:val="24"/>
          <w:szCs w:val="24"/>
          <w:rtl/>
        </w:rPr>
        <w:t xml:space="preserve">מגיעים כדי פגם הפוגע </w:t>
      </w:r>
      <w:r>
        <w:rPr>
          <w:rFonts w:cs="David" w:hint="cs"/>
          <w:sz w:val="24"/>
          <w:szCs w:val="24"/>
          <w:rtl/>
        </w:rPr>
        <w:t xml:space="preserve">פגיעה מהותית </w:t>
      </w:r>
      <w:r w:rsidRPr="00E65542">
        <w:rPr>
          <w:rFonts w:cs="David" w:hint="cs"/>
          <w:sz w:val="24"/>
          <w:szCs w:val="24"/>
          <w:rtl/>
        </w:rPr>
        <w:t xml:space="preserve">בזכותו של הנאשם להליך הוגן, במידה המצדיקה </w:t>
      </w:r>
      <w:r w:rsidRPr="00E65542">
        <w:rPr>
          <w:rFonts w:cs="David" w:hint="cs"/>
          <w:sz w:val="24"/>
          <w:szCs w:val="24"/>
          <w:rtl/>
        </w:rPr>
        <w:lastRenderedPageBreak/>
        <w:t>פסילת ההודאה. מה עוד שהנאשם עשה שימוש בזכות השתיקה גם בימים שקדמו לקבלת דף הזכויות</w:t>
      </w:r>
      <w:r>
        <w:rPr>
          <w:rFonts w:cs="David" w:hint="cs"/>
          <w:sz w:val="24"/>
          <w:szCs w:val="24"/>
          <w:rtl/>
        </w:rPr>
        <w:t xml:space="preserve"> ועד חקירת הצורך הראשונה</w:t>
      </w:r>
      <w:r w:rsidRPr="00E65542">
        <w:rPr>
          <w:rFonts w:cs="David" w:hint="cs"/>
          <w:sz w:val="24"/>
          <w:szCs w:val="24"/>
          <w:rtl/>
        </w:rPr>
        <w:t xml:space="preserve">; </w:t>
      </w:r>
    </w:p>
    <w:p w:rsidR="00272DA0" w:rsidRPr="000B081C" w:rsidRDefault="00272DA0" w:rsidP="00272DA0">
      <w:pPr>
        <w:pStyle w:val="a3"/>
        <w:rPr>
          <w:rFonts w:cs="David"/>
          <w:sz w:val="16"/>
          <w:szCs w:val="16"/>
          <w:u w:val="single"/>
          <w:rtl/>
        </w:rPr>
      </w:pPr>
    </w:p>
    <w:p w:rsidR="00272DA0" w:rsidRPr="003278D1" w:rsidRDefault="00272DA0" w:rsidP="00272DA0">
      <w:pPr>
        <w:pStyle w:val="a3"/>
        <w:numPr>
          <w:ilvl w:val="0"/>
          <w:numId w:val="19"/>
        </w:numPr>
        <w:spacing w:line="360" w:lineRule="auto"/>
        <w:jc w:val="both"/>
        <w:rPr>
          <w:rFonts w:cs="David"/>
          <w:sz w:val="24"/>
          <w:szCs w:val="24"/>
          <w:u w:val="single"/>
        </w:rPr>
      </w:pPr>
      <w:r w:rsidRPr="00E65542">
        <w:rPr>
          <w:rFonts w:cs="David" w:hint="cs"/>
          <w:sz w:val="24"/>
          <w:szCs w:val="24"/>
          <w:u w:val="single"/>
          <w:rtl/>
        </w:rPr>
        <w:t>ההודאות העוקבות כ"ראיה נגזרת</w:t>
      </w:r>
      <w:r w:rsidRPr="00E65542">
        <w:rPr>
          <w:rFonts w:cs="David" w:hint="cs"/>
          <w:sz w:val="24"/>
          <w:szCs w:val="24"/>
          <w:rtl/>
        </w:rPr>
        <w:t xml:space="preserve">" </w:t>
      </w:r>
      <w:r>
        <w:rPr>
          <w:rFonts w:cs="David" w:hint="cs"/>
          <w:sz w:val="24"/>
          <w:szCs w:val="24"/>
          <w:rtl/>
        </w:rPr>
        <w:t xml:space="preserve">(ראיית המקור הינה התוצרים של חקירת הצורך, וההודאות העוקבות הינן "הראיה הנגזרת"). בחינה זו ברוח ההלכה בעניין </w:t>
      </w:r>
      <w:r w:rsidRPr="00E65542">
        <w:rPr>
          <w:rFonts w:cs="David" w:hint="cs"/>
          <w:b/>
          <w:bCs/>
          <w:sz w:val="24"/>
          <w:szCs w:val="24"/>
          <w:rtl/>
        </w:rPr>
        <w:t>פרחי</w:t>
      </w:r>
      <w:r>
        <w:rPr>
          <w:rFonts w:cs="David" w:hint="cs"/>
          <w:b/>
          <w:bCs/>
          <w:sz w:val="24"/>
          <w:szCs w:val="24"/>
          <w:rtl/>
        </w:rPr>
        <w:t xml:space="preserve"> </w:t>
      </w:r>
      <w:r>
        <w:rPr>
          <w:rFonts w:cs="David" w:hint="cs"/>
          <w:sz w:val="24"/>
          <w:szCs w:val="24"/>
          <w:rtl/>
        </w:rPr>
        <w:t>(ע</w:t>
      </w:r>
      <w:r w:rsidRPr="0091054F">
        <w:rPr>
          <w:rFonts w:cs="David"/>
          <w:sz w:val="24"/>
          <w:szCs w:val="24"/>
          <w:rtl/>
        </w:rPr>
        <w:t>"פ 4988/08</w:t>
      </w:r>
      <w:r w:rsidRPr="0091054F">
        <w:rPr>
          <w:rFonts w:cs="David" w:hint="cs"/>
          <w:sz w:val="24"/>
          <w:szCs w:val="24"/>
          <w:rtl/>
        </w:rPr>
        <w:t xml:space="preserve"> </w:t>
      </w:r>
      <w:r w:rsidRPr="0091054F">
        <w:rPr>
          <w:rFonts w:cs="David" w:hint="cs"/>
          <w:b/>
          <w:bCs/>
          <w:sz w:val="24"/>
          <w:szCs w:val="24"/>
          <w:rtl/>
        </w:rPr>
        <w:t>פרחי נ' מדינת ישראל</w:t>
      </w:r>
      <w:r w:rsidRPr="0091054F">
        <w:rPr>
          <w:rFonts w:cs="David" w:hint="cs"/>
          <w:sz w:val="24"/>
          <w:szCs w:val="24"/>
          <w:rtl/>
        </w:rPr>
        <w:t>, פ"ד סה(1) 626</w:t>
      </w:r>
      <w:r w:rsidRPr="0091054F">
        <w:rPr>
          <w:rFonts w:cs="David" w:hint="cs"/>
          <w:b/>
          <w:bCs/>
          <w:sz w:val="24"/>
          <w:szCs w:val="24"/>
          <w:rtl/>
        </w:rPr>
        <w:t xml:space="preserve"> </w:t>
      </w:r>
      <w:r w:rsidRPr="0091054F">
        <w:rPr>
          <w:rFonts w:cs="David" w:hint="cs"/>
          <w:sz w:val="24"/>
          <w:szCs w:val="24"/>
          <w:rtl/>
        </w:rPr>
        <w:t>(1.8.2011)</w:t>
      </w:r>
      <w:r>
        <w:rPr>
          <w:rFonts w:cs="David" w:hint="cs"/>
          <w:sz w:val="24"/>
          <w:szCs w:val="24"/>
          <w:rtl/>
        </w:rPr>
        <w:t xml:space="preserve">), </w:t>
      </w:r>
      <w:r w:rsidRPr="00E65542">
        <w:rPr>
          <w:rFonts w:cs="David" w:hint="cs"/>
          <w:sz w:val="24"/>
          <w:szCs w:val="24"/>
          <w:rtl/>
        </w:rPr>
        <w:t xml:space="preserve">מובילה אף היא למסקנה כי קבלת ההודאות </w:t>
      </w:r>
      <w:r>
        <w:rPr>
          <w:rFonts w:cs="David" w:hint="cs"/>
          <w:sz w:val="24"/>
          <w:szCs w:val="24"/>
          <w:rtl/>
        </w:rPr>
        <w:t xml:space="preserve">העוקבות </w:t>
      </w:r>
      <w:r w:rsidRPr="00E65542">
        <w:rPr>
          <w:rFonts w:cs="David" w:hint="cs"/>
          <w:sz w:val="24"/>
          <w:szCs w:val="24"/>
          <w:rtl/>
        </w:rPr>
        <w:t xml:space="preserve">אינה פוגעת </w:t>
      </w:r>
      <w:r>
        <w:rPr>
          <w:rFonts w:cs="David" w:hint="cs"/>
          <w:sz w:val="24"/>
          <w:szCs w:val="24"/>
          <w:rtl/>
        </w:rPr>
        <w:t xml:space="preserve">פגיעה מהותית </w:t>
      </w:r>
      <w:r w:rsidRPr="00E65542">
        <w:rPr>
          <w:rFonts w:cs="David" w:hint="cs"/>
          <w:sz w:val="24"/>
          <w:szCs w:val="24"/>
          <w:rtl/>
        </w:rPr>
        <w:t xml:space="preserve">בזכותו של הנאשם להליך הוגן. את הזיקה </w:t>
      </w:r>
      <w:r>
        <w:rPr>
          <w:rFonts w:cs="David" w:hint="cs"/>
          <w:sz w:val="24"/>
          <w:szCs w:val="24"/>
          <w:rtl/>
        </w:rPr>
        <w:t xml:space="preserve">בין הראיה המקורית לראיה הנגזרת </w:t>
      </w:r>
      <w:r w:rsidRPr="00E65542">
        <w:rPr>
          <w:rFonts w:cs="David" w:hint="cs"/>
          <w:sz w:val="24"/>
          <w:szCs w:val="24"/>
          <w:rtl/>
        </w:rPr>
        <w:t xml:space="preserve">יש לבחון על פי המבחן של קשר </w:t>
      </w:r>
      <w:r>
        <w:rPr>
          <w:rFonts w:cs="David" w:hint="cs"/>
          <w:sz w:val="24"/>
          <w:szCs w:val="24"/>
          <w:rtl/>
        </w:rPr>
        <w:t xml:space="preserve">סיבתי </w:t>
      </w:r>
      <w:r w:rsidRPr="00E65542">
        <w:rPr>
          <w:rFonts w:cs="David" w:hint="cs"/>
          <w:sz w:val="24"/>
          <w:szCs w:val="24"/>
          <w:rtl/>
        </w:rPr>
        <w:t xml:space="preserve">עובדתי, אך גם </w:t>
      </w:r>
      <w:r>
        <w:rPr>
          <w:rFonts w:cs="David" w:hint="cs"/>
          <w:sz w:val="24"/>
          <w:szCs w:val="24"/>
          <w:rtl/>
        </w:rPr>
        <w:t>ב</w:t>
      </w:r>
      <w:r w:rsidRPr="00E65542">
        <w:rPr>
          <w:rFonts w:cs="David" w:hint="cs"/>
          <w:sz w:val="24"/>
          <w:szCs w:val="24"/>
          <w:rtl/>
        </w:rPr>
        <w:t>מבחן של קשר סיבתי משפטי שמשמעו בחינת שיקולים רחבים יותר</w:t>
      </w:r>
      <w:r>
        <w:rPr>
          <w:rFonts w:cs="David" w:hint="cs"/>
          <w:sz w:val="24"/>
          <w:szCs w:val="24"/>
          <w:rtl/>
        </w:rPr>
        <w:t>, שכן מדובר בדוקטרינה יחסית העורכת איזון בין שיקולים שונים</w:t>
      </w:r>
      <w:r w:rsidRPr="00E65542">
        <w:rPr>
          <w:rFonts w:cs="David" w:hint="cs"/>
          <w:sz w:val="24"/>
          <w:szCs w:val="24"/>
          <w:rtl/>
        </w:rPr>
        <w:t xml:space="preserve">. </w:t>
      </w:r>
    </w:p>
    <w:p w:rsidR="00272DA0" w:rsidRPr="00E65542" w:rsidRDefault="00272DA0" w:rsidP="00272DA0">
      <w:pPr>
        <w:pStyle w:val="a3"/>
        <w:spacing w:line="360" w:lineRule="auto"/>
        <w:ind w:left="567"/>
        <w:jc w:val="both"/>
        <w:rPr>
          <w:rFonts w:cs="David"/>
          <w:sz w:val="24"/>
          <w:szCs w:val="24"/>
          <w:u w:val="single"/>
        </w:rPr>
      </w:pPr>
      <w:r w:rsidRPr="00E65542">
        <w:rPr>
          <w:rFonts w:cs="David" w:hint="cs"/>
          <w:sz w:val="24"/>
          <w:szCs w:val="24"/>
          <w:rtl/>
        </w:rPr>
        <w:t>בענייננו</w:t>
      </w:r>
      <w:r>
        <w:rPr>
          <w:rFonts w:cs="David" w:hint="cs"/>
          <w:sz w:val="24"/>
          <w:szCs w:val="24"/>
          <w:rtl/>
        </w:rPr>
        <w:t>,</w:t>
      </w:r>
      <w:r w:rsidRPr="00E65542">
        <w:rPr>
          <w:rFonts w:cs="David" w:hint="cs"/>
          <w:sz w:val="24"/>
          <w:szCs w:val="24"/>
          <w:rtl/>
        </w:rPr>
        <w:t xml:space="preserve"> מדובר בהודאות שנגבו בנסיבות שונות לחלוטין, על ידי חוקרים שונים, באווירה אחרת</w:t>
      </w:r>
      <w:r>
        <w:rPr>
          <w:rFonts w:cs="David" w:hint="cs"/>
          <w:sz w:val="24"/>
          <w:szCs w:val="24"/>
          <w:rtl/>
        </w:rPr>
        <w:t>, וקיים ביניהן</w:t>
      </w:r>
      <w:r w:rsidRPr="00E65542">
        <w:rPr>
          <w:rFonts w:cs="David" w:hint="cs"/>
          <w:sz w:val="24"/>
          <w:szCs w:val="24"/>
          <w:rtl/>
        </w:rPr>
        <w:t xml:space="preserve"> פער זמנים משמעותי. הזיקה בין הראיות אינה מצדיקה פסילת הראיות הנגזרות</w:t>
      </w:r>
      <w:r>
        <w:rPr>
          <w:rFonts w:cs="David" w:hint="cs"/>
          <w:sz w:val="24"/>
          <w:szCs w:val="24"/>
          <w:rtl/>
        </w:rPr>
        <w:t>,</w:t>
      </w:r>
      <w:r w:rsidRPr="00E65542">
        <w:rPr>
          <w:rFonts w:cs="David" w:hint="cs"/>
          <w:sz w:val="24"/>
          <w:szCs w:val="24"/>
          <w:rtl/>
        </w:rPr>
        <w:t xml:space="preserve"> וזאת גם נוכח </w:t>
      </w:r>
      <w:r w:rsidRPr="00B04469">
        <w:rPr>
          <w:rFonts w:cs="David" w:hint="cs"/>
          <w:sz w:val="24"/>
          <w:szCs w:val="24"/>
          <w:rtl/>
        </w:rPr>
        <w:t>שיקולים רחבים יותר המצדיקים קבלתן, ובהם מיצוי הדין עם אלה המעוניינים לפגוע בביטחון המדינה ובשלומם של אחרים;</w:t>
      </w:r>
    </w:p>
    <w:p w:rsidR="00272DA0" w:rsidRPr="000B081C" w:rsidRDefault="00272DA0" w:rsidP="00272DA0">
      <w:pPr>
        <w:pStyle w:val="a3"/>
        <w:rPr>
          <w:rFonts w:cs="David"/>
          <w:sz w:val="16"/>
          <w:szCs w:val="16"/>
          <w:u w:val="single"/>
          <w:rtl/>
        </w:rPr>
      </w:pPr>
    </w:p>
    <w:p w:rsidR="00272DA0" w:rsidRPr="00E65542" w:rsidRDefault="00272DA0" w:rsidP="00272DA0">
      <w:pPr>
        <w:pStyle w:val="a3"/>
        <w:numPr>
          <w:ilvl w:val="0"/>
          <w:numId w:val="19"/>
        </w:numPr>
        <w:spacing w:line="360" w:lineRule="auto"/>
        <w:jc w:val="both"/>
        <w:rPr>
          <w:rFonts w:cs="David"/>
          <w:sz w:val="24"/>
          <w:szCs w:val="24"/>
          <w:u w:val="single"/>
          <w:rtl/>
        </w:rPr>
      </w:pPr>
      <w:r w:rsidRPr="00E65542">
        <w:rPr>
          <w:rFonts w:cs="David" w:hint="cs"/>
          <w:sz w:val="24"/>
          <w:szCs w:val="24"/>
          <w:u w:val="single"/>
          <w:rtl/>
        </w:rPr>
        <w:t>ל</w:t>
      </w:r>
      <w:r>
        <w:rPr>
          <w:rFonts w:cs="David" w:hint="cs"/>
          <w:sz w:val="24"/>
          <w:szCs w:val="24"/>
          <w:u w:val="single"/>
          <w:rtl/>
        </w:rPr>
        <w:t xml:space="preserve">פיכך הודאותיו העוקבות של נאשם 1, שנמסרו החל מהחקירה המתועדת הראשונה (36 שעות לאחר סיום חקירת הצורך הראשונה) ועד לפני תחילתה של חקירת הצורך השנייה </w:t>
      </w:r>
      <w:r>
        <w:rPr>
          <w:rFonts w:cs="David"/>
          <w:sz w:val="24"/>
          <w:szCs w:val="24"/>
          <w:u w:val="single"/>
          <w:rtl/>
        </w:rPr>
        <w:t>–</w:t>
      </w:r>
      <w:r>
        <w:rPr>
          <w:rFonts w:cs="David" w:hint="cs"/>
          <w:sz w:val="24"/>
          <w:szCs w:val="24"/>
          <w:u w:val="single"/>
          <w:rtl/>
        </w:rPr>
        <w:t xml:space="preserve"> קבילות, הן לפי סעיף 12 לפקודת הראיות</w:t>
      </w:r>
      <w:r w:rsidRPr="00E65542">
        <w:rPr>
          <w:rFonts w:cs="David" w:hint="cs"/>
          <w:sz w:val="24"/>
          <w:szCs w:val="24"/>
          <w:u w:val="single"/>
          <w:rtl/>
        </w:rPr>
        <w:t xml:space="preserve"> </w:t>
      </w:r>
      <w:r>
        <w:rPr>
          <w:rFonts w:cs="David" w:hint="cs"/>
          <w:sz w:val="24"/>
          <w:szCs w:val="24"/>
          <w:u w:val="single"/>
          <w:rtl/>
        </w:rPr>
        <w:t xml:space="preserve">והן </w:t>
      </w:r>
      <w:r w:rsidRPr="00E65542">
        <w:rPr>
          <w:rFonts w:cs="David" w:hint="cs"/>
          <w:sz w:val="24"/>
          <w:szCs w:val="24"/>
          <w:u w:val="single"/>
          <w:rtl/>
        </w:rPr>
        <w:t>על פי דוקטרינת הפסילה הפסיקתית, גם בהתחשב בפגמים הנטענים שנפלו במהלך החקירות</w:t>
      </w:r>
      <w:r>
        <w:rPr>
          <w:rFonts w:cs="David" w:hint="cs"/>
          <w:sz w:val="24"/>
          <w:szCs w:val="24"/>
          <w:u w:val="single"/>
          <w:rtl/>
        </w:rPr>
        <w:t xml:space="preserve"> הללו</w:t>
      </w:r>
      <w:r w:rsidRPr="00E65542">
        <w:rPr>
          <w:rFonts w:cs="David" w:hint="cs"/>
          <w:sz w:val="24"/>
          <w:szCs w:val="24"/>
          <w:u w:val="single"/>
          <w:rtl/>
        </w:rPr>
        <w:t xml:space="preserve"> וגם בבחינתן כ"ראיה נגזרת". </w:t>
      </w:r>
    </w:p>
    <w:p w:rsidR="00272DA0" w:rsidRPr="00E65542" w:rsidRDefault="00272DA0" w:rsidP="00272DA0">
      <w:pPr>
        <w:spacing w:line="360" w:lineRule="auto"/>
        <w:ind w:left="720" w:hanging="720"/>
        <w:jc w:val="both"/>
        <w:rPr>
          <w:rFonts w:cs="David"/>
          <w:sz w:val="24"/>
          <w:szCs w:val="24"/>
          <w:u w:val="single"/>
          <w:rtl/>
        </w:rPr>
      </w:pPr>
      <w:r w:rsidRPr="00196066">
        <w:rPr>
          <w:rFonts w:cs="David" w:hint="cs"/>
          <w:b/>
          <w:bCs/>
          <w:sz w:val="24"/>
          <w:szCs w:val="24"/>
          <w:u w:val="single"/>
          <w:rtl/>
        </w:rPr>
        <w:t>אשר לקבילות הודאות נאשם 2 בתרגיל המדובבים</w:t>
      </w:r>
    </w:p>
    <w:p w:rsidR="00272DA0" w:rsidRDefault="00272DA0" w:rsidP="00272DA0">
      <w:pPr>
        <w:pStyle w:val="a3"/>
        <w:numPr>
          <w:ilvl w:val="0"/>
          <w:numId w:val="19"/>
        </w:numPr>
        <w:spacing w:line="360" w:lineRule="auto"/>
        <w:jc w:val="both"/>
        <w:rPr>
          <w:rFonts w:cs="David"/>
          <w:sz w:val="24"/>
          <w:szCs w:val="24"/>
        </w:rPr>
      </w:pPr>
      <w:r>
        <w:rPr>
          <w:rFonts w:cs="David" w:hint="cs"/>
          <w:sz w:val="24"/>
          <w:szCs w:val="24"/>
          <w:rtl/>
        </w:rPr>
        <w:t xml:space="preserve">את השפעת פעולות החקירה השונות על הנאשם 2 יש לבחון, בין היתר, בהתחשב </w:t>
      </w:r>
      <w:proofErr w:type="spellStart"/>
      <w:r>
        <w:rPr>
          <w:rFonts w:cs="David" w:hint="cs"/>
          <w:sz w:val="24"/>
          <w:szCs w:val="24"/>
          <w:rtl/>
        </w:rPr>
        <w:t>בקטינותו</w:t>
      </w:r>
      <w:proofErr w:type="spellEnd"/>
      <w:r>
        <w:rPr>
          <w:rFonts w:cs="David" w:hint="cs"/>
          <w:sz w:val="24"/>
          <w:szCs w:val="24"/>
          <w:rtl/>
        </w:rPr>
        <w:t>, ובעיקר בהתרשמות הבלתי אמצעית ממנו, במהלך דיונים רבים בהליך זה וכן בהאזנה לשיחות רבות בתרגיל המדובבים. מדובר בנאשם נבון ביותר, ניחן בזיכרון מצוין, זריזות מחשבה ויכולת ניתוח. הנאשם מסוגל להתמודד עם מצבי לחץ, יש לו יכולת לבצע מניפולציות ו"לזגזג" בניסיון לרצות את מי שהוא חפץ לרצותם;</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 xml:space="preserve">תרגיל המדובבים שנערך לנאשם 2 (בו הודה במיוחס לו </w:t>
      </w:r>
      <w:proofErr w:type="spellStart"/>
      <w:r w:rsidRPr="00196066">
        <w:rPr>
          <w:rFonts w:cs="David" w:hint="cs"/>
          <w:sz w:val="24"/>
          <w:szCs w:val="24"/>
          <w:rtl/>
        </w:rPr>
        <w:t>באישומים</w:t>
      </w:r>
      <w:proofErr w:type="spellEnd"/>
      <w:r w:rsidRPr="00196066">
        <w:rPr>
          <w:rFonts w:cs="David" w:hint="cs"/>
          <w:sz w:val="24"/>
          <w:szCs w:val="24"/>
          <w:rtl/>
        </w:rPr>
        <w:t xml:space="preserve"> 3-7),</w:t>
      </w:r>
      <w:r>
        <w:rPr>
          <w:rFonts w:cs="David" w:hint="cs"/>
          <w:sz w:val="24"/>
          <w:szCs w:val="24"/>
          <w:rtl/>
        </w:rPr>
        <w:t xml:space="preserve"> הינו </w:t>
      </w:r>
      <w:r w:rsidRPr="00196066">
        <w:rPr>
          <w:rFonts w:cs="David" w:hint="cs"/>
          <w:sz w:val="24"/>
          <w:szCs w:val="24"/>
          <w:rtl/>
        </w:rPr>
        <w:t xml:space="preserve">מתוחכם, מורכב ומתוכנן בקפידה מראש, כלל מעורבים רבים ונמשך על </w:t>
      </w:r>
      <w:r w:rsidRPr="00F012D1">
        <w:rPr>
          <w:rFonts w:cs="David" w:hint="cs"/>
          <w:sz w:val="24"/>
          <w:szCs w:val="24"/>
          <w:rtl/>
        </w:rPr>
        <w:t>פני ש</w:t>
      </w:r>
      <w:r>
        <w:rPr>
          <w:rFonts w:cs="David" w:hint="cs"/>
          <w:sz w:val="24"/>
          <w:szCs w:val="24"/>
          <w:rtl/>
        </w:rPr>
        <w:t>בעה</w:t>
      </w:r>
      <w:r w:rsidRPr="00196066">
        <w:rPr>
          <w:rFonts w:cs="David" w:hint="cs"/>
          <w:sz w:val="24"/>
          <w:szCs w:val="24"/>
          <w:rtl/>
        </w:rPr>
        <w:t xml:space="preserve"> ימים. גם אם הי</w:t>
      </w:r>
      <w:r>
        <w:rPr>
          <w:rFonts w:cs="David" w:hint="cs"/>
          <w:sz w:val="24"/>
          <w:szCs w:val="24"/>
          <w:rtl/>
        </w:rPr>
        <w:t>י</w:t>
      </w:r>
      <w:r w:rsidRPr="00196066">
        <w:rPr>
          <w:rFonts w:cs="David" w:hint="cs"/>
          <w:sz w:val="24"/>
          <w:szCs w:val="24"/>
          <w:rtl/>
        </w:rPr>
        <w:t>תה אווירת לחץ שהלכה וגברה עד כדי עוינות, גם א</w:t>
      </w:r>
      <w:r>
        <w:rPr>
          <w:rFonts w:cs="David" w:hint="cs"/>
          <w:sz w:val="24"/>
          <w:szCs w:val="24"/>
          <w:rtl/>
        </w:rPr>
        <w:t xml:space="preserve">ם נעשה שימוש בדיבוב פעיל ועצים </w:t>
      </w:r>
      <w:r w:rsidRPr="00196066">
        <w:rPr>
          <w:rFonts w:cs="David" w:hint="cs"/>
          <w:sz w:val="24"/>
          <w:szCs w:val="24"/>
          <w:rtl/>
        </w:rPr>
        <w:t xml:space="preserve">של מספר מדובבים ואף בשים לב </w:t>
      </w:r>
      <w:proofErr w:type="spellStart"/>
      <w:r w:rsidRPr="00196066">
        <w:rPr>
          <w:rFonts w:cs="David" w:hint="cs"/>
          <w:sz w:val="24"/>
          <w:szCs w:val="24"/>
          <w:rtl/>
        </w:rPr>
        <w:t>לקטינותו</w:t>
      </w:r>
      <w:proofErr w:type="spellEnd"/>
      <w:r w:rsidRPr="00196066">
        <w:rPr>
          <w:rFonts w:cs="David" w:hint="cs"/>
          <w:sz w:val="24"/>
          <w:szCs w:val="24"/>
          <w:rtl/>
        </w:rPr>
        <w:t xml:space="preserve"> של הנאשם</w:t>
      </w:r>
      <w:r>
        <w:rPr>
          <w:rFonts w:cs="David" w:hint="cs"/>
          <w:sz w:val="24"/>
          <w:szCs w:val="24"/>
          <w:rtl/>
        </w:rPr>
        <w:t xml:space="preserve"> </w:t>
      </w:r>
      <w:r w:rsidRPr="00196066">
        <w:rPr>
          <w:rFonts w:cs="David" w:hint="cs"/>
          <w:sz w:val="24"/>
          <w:szCs w:val="24"/>
          <w:rtl/>
        </w:rPr>
        <w:t xml:space="preserve">- אין המדובר בתחבולה נפסדת, </w:t>
      </w:r>
      <w:r>
        <w:rPr>
          <w:rFonts w:cs="David" w:hint="cs"/>
          <w:sz w:val="24"/>
          <w:szCs w:val="24"/>
          <w:rtl/>
        </w:rPr>
        <w:t xml:space="preserve">שיש בה כדי לפסול את ההודאות, </w:t>
      </w:r>
      <w:r w:rsidRPr="00196066">
        <w:rPr>
          <w:rFonts w:cs="David" w:hint="cs"/>
          <w:sz w:val="24"/>
          <w:szCs w:val="24"/>
          <w:rtl/>
        </w:rPr>
        <w:t xml:space="preserve">אלא לכל היותר מדובר בתחבולה </w:t>
      </w:r>
      <w:r>
        <w:rPr>
          <w:rFonts w:cs="David" w:hint="cs"/>
          <w:sz w:val="24"/>
          <w:szCs w:val="24"/>
          <w:rtl/>
        </w:rPr>
        <w:t xml:space="preserve">מותרת שמכונה בפסיקה </w:t>
      </w:r>
      <w:r w:rsidRPr="00196066">
        <w:rPr>
          <w:rFonts w:cs="David" w:hint="cs"/>
          <w:sz w:val="24"/>
          <w:szCs w:val="24"/>
          <w:rtl/>
        </w:rPr>
        <w:t>"נסבלת";</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sidRPr="00E65542">
        <w:rPr>
          <w:rFonts w:cs="David" w:hint="cs"/>
          <w:sz w:val="24"/>
          <w:szCs w:val="24"/>
          <w:rtl/>
        </w:rPr>
        <w:lastRenderedPageBreak/>
        <w:t>במהלך התרגיל לא הושמעו כלפי הנאשם א</w:t>
      </w:r>
      <w:r>
        <w:rPr>
          <w:rFonts w:cs="David" w:hint="cs"/>
          <w:sz w:val="24"/>
          <w:szCs w:val="24"/>
          <w:rtl/>
        </w:rPr>
        <w:t>יומים מפורשים או מרומזים. בניגוד לטענת ההגנה, הנאשם לא נשמע בשום שלב בוכה, ולא היה</w:t>
      </w:r>
      <w:r w:rsidRPr="00E65542">
        <w:rPr>
          <w:rFonts w:cs="David" w:hint="cs"/>
          <w:sz w:val="24"/>
          <w:szCs w:val="24"/>
          <w:rtl/>
        </w:rPr>
        <w:t xml:space="preserve"> באמצעים שננקטו כדי לשלול </w:t>
      </w:r>
      <w:r w:rsidRPr="00E65542">
        <w:rPr>
          <w:rFonts w:cs="David" w:hint="cs"/>
          <w:sz w:val="24"/>
          <w:szCs w:val="24"/>
          <w:u w:val="single"/>
          <w:rtl/>
        </w:rPr>
        <w:t>בפועל</w:t>
      </w:r>
      <w:r>
        <w:rPr>
          <w:rFonts w:cs="David" w:hint="cs"/>
          <w:sz w:val="24"/>
          <w:szCs w:val="24"/>
          <w:rtl/>
        </w:rPr>
        <w:t xml:space="preserve"> את רצונו החופשי</w:t>
      </w:r>
      <w:r w:rsidRPr="00E65542">
        <w:rPr>
          <w:rFonts w:cs="David" w:hint="cs"/>
          <w:sz w:val="24"/>
          <w:szCs w:val="24"/>
          <w:rtl/>
        </w:rPr>
        <w:t xml:space="preserve"> במסירת ההודאה. אין גם מקום לקבוע כי קבלת ההודאה </w:t>
      </w:r>
      <w:r>
        <w:rPr>
          <w:rFonts w:cs="David" w:hint="cs"/>
          <w:sz w:val="24"/>
          <w:szCs w:val="24"/>
          <w:rtl/>
        </w:rPr>
        <w:t xml:space="preserve">כראיה </w:t>
      </w:r>
      <w:r w:rsidRPr="00E65542">
        <w:rPr>
          <w:rFonts w:cs="David" w:hint="cs"/>
          <w:sz w:val="24"/>
          <w:szCs w:val="24"/>
          <w:rtl/>
        </w:rPr>
        <w:t>במשפט תביא לפגיעה משמעותית בזכותו של הנאשם ל</w:t>
      </w:r>
      <w:r>
        <w:rPr>
          <w:rFonts w:cs="David" w:hint="cs"/>
          <w:sz w:val="24"/>
          <w:szCs w:val="24"/>
          <w:rtl/>
        </w:rPr>
        <w:t>הליך הוגן;</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E65542">
        <w:rPr>
          <w:rFonts w:cs="David" w:hint="cs"/>
          <w:sz w:val="24"/>
          <w:szCs w:val="24"/>
          <w:rtl/>
        </w:rPr>
        <w:t>האזנה לקלטות המתעדות את התרגיל, טון הדיבור של הדוברים, נימת הק</w:t>
      </w:r>
      <w:r>
        <w:rPr>
          <w:rFonts w:cs="David" w:hint="cs"/>
          <w:sz w:val="24"/>
          <w:szCs w:val="24"/>
          <w:rtl/>
        </w:rPr>
        <w:t>ול והאינטונציה, כמו גם ה</w:t>
      </w:r>
      <w:r w:rsidRPr="00E65542">
        <w:rPr>
          <w:rFonts w:cs="David" w:hint="cs"/>
          <w:sz w:val="24"/>
          <w:szCs w:val="24"/>
          <w:rtl/>
        </w:rPr>
        <w:t>התרשמות הבלתי א</w:t>
      </w:r>
      <w:r>
        <w:rPr>
          <w:rFonts w:cs="David" w:hint="cs"/>
          <w:sz w:val="24"/>
          <w:szCs w:val="24"/>
          <w:rtl/>
        </w:rPr>
        <w:t xml:space="preserve">מצעית מהנאשם </w:t>
      </w:r>
      <w:r>
        <w:rPr>
          <w:rFonts w:cs="David"/>
          <w:sz w:val="24"/>
          <w:szCs w:val="24"/>
          <w:rtl/>
        </w:rPr>
        <w:t>–</w:t>
      </w:r>
      <w:r>
        <w:rPr>
          <w:rFonts w:cs="David" w:hint="cs"/>
          <w:sz w:val="24"/>
          <w:szCs w:val="24"/>
          <w:rtl/>
        </w:rPr>
        <w:t xml:space="preserve"> מלמדים </w:t>
      </w:r>
      <w:r w:rsidRPr="00E65542">
        <w:rPr>
          <w:rFonts w:cs="David" w:hint="cs"/>
          <w:sz w:val="24"/>
          <w:szCs w:val="24"/>
          <w:rtl/>
        </w:rPr>
        <w:t xml:space="preserve">כי למרות אווירת הלחץ, הנאשם </w:t>
      </w:r>
      <w:r>
        <w:rPr>
          <w:rFonts w:cs="David" w:hint="cs"/>
          <w:sz w:val="24"/>
          <w:szCs w:val="24"/>
          <w:rtl/>
        </w:rPr>
        <w:t xml:space="preserve">2 </w:t>
      </w:r>
      <w:r w:rsidRPr="00E65542">
        <w:rPr>
          <w:rFonts w:cs="David" w:hint="cs"/>
          <w:sz w:val="24"/>
          <w:szCs w:val="24"/>
          <w:rtl/>
        </w:rPr>
        <w:t>נותר מחושב וזהיר. הוא מרבה לדבר ביוזמתו ובפתיחות על נו</w:t>
      </w:r>
      <w:r>
        <w:rPr>
          <w:rFonts w:cs="David" w:hint="cs"/>
          <w:sz w:val="24"/>
          <w:szCs w:val="24"/>
          <w:rtl/>
        </w:rPr>
        <w:t>שאים שאינם מפלילים אותו, ולצד זאת</w:t>
      </w:r>
      <w:r w:rsidRPr="00E65542">
        <w:rPr>
          <w:rFonts w:cs="David" w:hint="cs"/>
          <w:sz w:val="24"/>
          <w:szCs w:val="24"/>
          <w:rtl/>
        </w:rPr>
        <w:t xml:space="preserve"> זהיר ומחושב בכל הנוגע להפללתו. במבחן התוצאה, חרף האווירה ששררה, הנאשם עמד על שלו בנושא המהותי אודותיו נשאל (הפיגוע </w:t>
      </w:r>
      <w:proofErr w:type="spellStart"/>
      <w:r w:rsidRPr="00E65542">
        <w:rPr>
          <w:rFonts w:cs="David" w:hint="cs"/>
          <w:sz w:val="24"/>
          <w:szCs w:val="24"/>
          <w:rtl/>
        </w:rPr>
        <w:t>בדומא</w:t>
      </w:r>
      <w:proofErr w:type="spellEnd"/>
      <w:r w:rsidRPr="00E65542">
        <w:rPr>
          <w:rFonts w:cs="David" w:hint="cs"/>
          <w:sz w:val="24"/>
          <w:szCs w:val="24"/>
          <w:rtl/>
        </w:rPr>
        <w:t>), ועמד על סירובו לחשוף שותפים;</w:t>
      </w:r>
    </w:p>
    <w:p w:rsidR="00272DA0" w:rsidRPr="00E43D37" w:rsidRDefault="00272DA0" w:rsidP="00272DA0">
      <w:pPr>
        <w:pStyle w:val="a3"/>
        <w:spacing w:line="360" w:lineRule="auto"/>
        <w:ind w:left="567"/>
        <w:jc w:val="both"/>
        <w:rPr>
          <w:rFonts w:cs="David"/>
          <w:sz w:val="24"/>
          <w:szCs w:val="24"/>
          <w:rtl/>
        </w:rPr>
      </w:pPr>
      <w:r w:rsidRPr="00E43D37">
        <w:rPr>
          <w:rFonts w:cs="David" w:hint="cs"/>
          <w:sz w:val="24"/>
          <w:szCs w:val="24"/>
          <w:rtl/>
        </w:rPr>
        <w:t xml:space="preserve">לפיכך, </w:t>
      </w:r>
      <w:r w:rsidRPr="00E43D37">
        <w:rPr>
          <w:rFonts w:cs="David" w:hint="cs"/>
          <w:sz w:val="24"/>
          <w:szCs w:val="24"/>
          <w:u w:val="single"/>
          <w:rtl/>
        </w:rPr>
        <w:t>ההודאות שמסר הנאשם</w:t>
      </w:r>
      <w:r>
        <w:rPr>
          <w:rFonts w:cs="David" w:hint="cs"/>
          <w:sz w:val="24"/>
          <w:szCs w:val="24"/>
          <w:u w:val="single"/>
          <w:rtl/>
        </w:rPr>
        <w:t xml:space="preserve"> 2 במהלך תרגיל המדובבים, קבילות.</w:t>
      </w:r>
    </w:p>
    <w:p w:rsidR="00272DA0" w:rsidRDefault="00272DA0" w:rsidP="00272DA0">
      <w:pPr>
        <w:spacing w:line="360" w:lineRule="auto"/>
        <w:jc w:val="both"/>
        <w:rPr>
          <w:rFonts w:cs="David"/>
          <w:sz w:val="24"/>
          <w:szCs w:val="24"/>
          <w:rtl/>
        </w:rPr>
      </w:pPr>
      <w:r w:rsidRPr="00196066">
        <w:rPr>
          <w:rFonts w:cs="David" w:hint="cs"/>
          <w:b/>
          <w:bCs/>
          <w:sz w:val="24"/>
          <w:szCs w:val="24"/>
          <w:u w:val="single"/>
          <w:rtl/>
        </w:rPr>
        <w:t>אשר לחקירות הנאשם</w:t>
      </w:r>
      <w:r>
        <w:rPr>
          <w:rFonts w:cs="David" w:hint="cs"/>
          <w:b/>
          <w:bCs/>
          <w:sz w:val="24"/>
          <w:szCs w:val="24"/>
          <w:u w:val="single"/>
          <w:rtl/>
        </w:rPr>
        <w:t xml:space="preserve"> </w:t>
      </w:r>
      <w:r w:rsidRPr="00196066">
        <w:rPr>
          <w:rFonts w:cs="David" w:hint="cs"/>
          <w:b/>
          <w:bCs/>
          <w:sz w:val="24"/>
          <w:szCs w:val="24"/>
          <w:u w:val="single"/>
          <w:rtl/>
        </w:rPr>
        <w:t>2 לפני חקירת הצורך הראשונה</w:t>
      </w:r>
    </w:p>
    <w:p w:rsidR="00272DA0" w:rsidRPr="00BC5779" w:rsidRDefault="00272DA0" w:rsidP="00272DA0">
      <w:pPr>
        <w:pStyle w:val="a3"/>
        <w:numPr>
          <w:ilvl w:val="0"/>
          <w:numId w:val="19"/>
        </w:numPr>
        <w:spacing w:line="360" w:lineRule="auto"/>
        <w:jc w:val="both"/>
        <w:rPr>
          <w:rFonts w:cs="David"/>
          <w:sz w:val="24"/>
          <w:szCs w:val="24"/>
        </w:rPr>
      </w:pPr>
      <w:r w:rsidRPr="00BC5779">
        <w:rPr>
          <w:rFonts w:cs="David" w:hint="cs"/>
          <w:sz w:val="24"/>
          <w:szCs w:val="24"/>
          <w:rtl/>
        </w:rPr>
        <w:t>בשלב זה של החקירה, לאחר שנחשפה בפני הנאשם זהות המדובבים והעובדה שהשיחות הוקלטו, הנאשם כלכל את צעדיו, בחר מתי לשוחח עם חוקריו ובאלו נושאים ולמעשה נמנע מלמסור מידע מפליל מפורש אודות פעילותו. הפגמים שנפלו בחקירות אלה, אליהם הפנתה ההגנה, אינם משליכים על קבילות האמרות. מידת השפעתם על הנאשם לא הייתה משמעותית, אם בכלל;</w:t>
      </w:r>
    </w:p>
    <w:p w:rsidR="00272DA0" w:rsidRPr="000B081C" w:rsidRDefault="00272DA0" w:rsidP="00272DA0">
      <w:pPr>
        <w:pStyle w:val="a3"/>
        <w:rPr>
          <w:rFonts w:cs="David"/>
          <w:sz w:val="16"/>
          <w:szCs w:val="16"/>
          <w:rtl/>
        </w:rPr>
      </w:pPr>
    </w:p>
    <w:p w:rsidR="00272DA0" w:rsidRPr="004A5815" w:rsidRDefault="00272DA0" w:rsidP="00272DA0">
      <w:pPr>
        <w:pStyle w:val="a3"/>
        <w:numPr>
          <w:ilvl w:val="0"/>
          <w:numId w:val="19"/>
        </w:numPr>
        <w:spacing w:line="360" w:lineRule="auto"/>
        <w:jc w:val="both"/>
        <w:rPr>
          <w:rFonts w:cs="David"/>
          <w:sz w:val="24"/>
          <w:szCs w:val="24"/>
          <w:rtl/>
        </w:rPr>
      </w:pPr>
      <w:r w:rsidRPr="004A5815">
        <w:rPr>
          <w:rFonts w:cs="David" w:hint="cs"/>
          <w:sz w:val="24"/>
          <w:szCs w:val="24"/>
          <w:rtl/>
        </w:rPr>
        <w:t>עיקר טיעו</w:t>
      </w:r>
      <w:r>
        <w:rPr>
          <w:rFonts w:cs="David" w:hint="cs"/>
          <w:sz w:val="24"/>
          <w:szCs w:val="24"/>
          <w:rtl/>
        </w:rPr>
        <w:t>ני ההגנה מקומם</w:t>
      </w:r>
      <w:r w:rsidRPr="004A5815">
        <w:rPr>
          <w:rFonts w:cs="David" w:hint="cs"/>
          <w:sz w:val="24"/>
          <w:szCs w:val="24"/>
          <w:rtl/>
        </w:rPr>
        <w:t xml:space="preserve"> בשלב הערכת משקלן </w:t>
      </w:r>
      <w:r>
        <w:rPr>
          <w:rFonts w:cs="David" w:hint="cs"/>
          <w:sz w:val="24"/>
          <w:szCs w:val="24"/>
          <w:rtl/>
        </w:rPr>
        <w:t xml:space="preserve">של האמרות ומשמעותה של ה"גרסה </w:t>
      </w:r>
      <w:r w:rsidRPr="004A5815">
        <w:rPr>
          <w:rFonts w:cs="David" w:hint="cs"/>
          <w:sz w:val="24"/>
          <w:szCs w:val="24"/>
          <w:rtl/>
        </w:rPr>
        <w:t xml:space="preserve">ההיפותטית", </w:t>
      </w:r>
      <w:r>
        <w:rPr>
          <w:rFonts w:cs="David" w:hint="cs"/>
          <w:sz w:val="24"/>
          <w:szCs w:val="24"/>
          <w:rtl/>
        </w:rPr>
        <w:t>ואינם נוגעים</w:t>
      </w:r>
      <w:r w:rsidRPr="004A5815">
        <w:rPr>
          <w:rFonts w:cs="David" w:hint="cs"/>
          <w:sz w:val="24"/>
          <w:szCs w:val="24"/>
          <w:rtl/>
        </w:rPr>
        <w:t xml:space="preserve"> לקבילותן;</w:t>
      </w:r>
    </w:p>
    <w:p w:rsidR="00272DA0" w:rsidRPr="00E43D37" w:rsidRDefault="00272DA0" w:rsidP="00272DA0">
      <w:pPr>
        <w:pStyle w:val="a3"/>
        <w:spacing w:line="360" w:lineRule="auto"/>
        <w:ind w:left="567"/>
        <w:jc w:val="both"/>
        <w:rPr>
          <w:rFonts w:cs="David"/>
          <w:sz w:val="24"/>
          <w:szCs w:val="24"/>
          <w:rtl/>
        </w:rPr>
      </w:pPr>
      <w:r>
        <w:rPr>
          <w:rFonts w:cs="David" w:hint="cs"/>
          <w:sz w:val="24"/>
          <w:szCs w:val="24"/>
          <w:u w:val="single"/>
          <w:rtl/>
        </w:rPr>
        <w:t xml:space="preserve">לפיכך האמרות שמסר </w:t>
      </w:r>
      <w:r w:rsidRPr="00E43D37">
        <w:rPr>
          <w:rFonts w:cs="David" w:hint="cs"/>
          <w:sz w:val="24"/>
          <w:szCs w:val="24"/>
          <w:u w:val="single"/>
          <w:rtl/>
        </w:rPr>
        <w:t xml:space="preserve">נאשם </w:t>
      </w:r>
      <w:r>
        <w:rPr>
          <w:rFonts w:cs="David" w:hint="cs"/>
          <w:sz w:val="24"/>
          <w:szCs w:val="24"/>
          <w:u w:val="single"/>
          <w:rtl/>
        </w:rPr>
        <w:t xml:space="preserve">2 </w:t>
      </w:r>
      <w:r w:rsidRPr="00E43D37">
        <w:rPr>
          <w:rFonts w:cs="David" w:hint="cs"/>
          <w:sz w:val="24"/>
          <w:szCs w:val="24"/>
          <w:u w:val="single"/>
          <w:rtl/>
        </w:rPr>
        <w:t>במה</w:t>
      </w:r>
      <w:r>
        <w:rPr>
          <w:rFonts w:cs="David" w:hint="cs"/>
          <w:sz w:val="24"/>
          <w:szCs w:val="24"/>
          <w:u w:val="single"/>
          <w:rtl/>
        </w:rPr>
        <w:t>לך החקירות ב</w:t>
      </w:r>
      <w:r w:rsidRPr="00E43D37">
        <w:rPr>
          <w:rFonts w:cs="David" w:hint="cs"/>
          <w:sz w:val="24"/>
          <w:szCs w:val="24"/>
          <w:u w:val="single"/>
          <w:rtl/>
        </w:rPr>
        <w:t>של</w:t>
      </w:r>
      <w:r>
        <w:rPr>
          <w:rFonts w:cs="David" w:hint="cs"/>
          <w:sz w:val="24"/>
          <w:szCs w:val="24"/>
          <w:u w:val="single"/>
          <w:rtl/>
        </w:rPr>
        <w:t>ב שקדם לחקירות הצורך, קבילות.</w:t>
      </w:r>
    </w:p>
    <w:p w:rsidR="00272DA0" w:rsidRPr="00196066" w:rsidRDefault="00272DA0" w:rsidP="00272DA0">
      <w:pPr>
        <w:spacing w:line="360" w:lineRule="auto"/>
        <w:jc w:val="both"/>
        <w:rPr>
          <w:rFonts w:cs="David"/>
          <w:b/>
          <w:bCs/>
          <w:sz w:val="24"/>
          <w:szCs w:val="24"/>
          <w:u w:val="single"/>
          <w:rtl/>
        </w:rPr>
      </w:pPr>
      <w:r>
        <w:rPr>
          <w:rFonts w:cs="David" w:hint="cs"/>
          <w:b/>
          <w:bCs/>
          <w:sz w:val="24"/>
          <w:szCs w:val="24"/>
          <w:u w:val="single"/>
          <w:rtl/>
        </w:rPr>
        <w:t>אשר לחקירות העוקבות של נאשם 2 שנערכו בין שלוש חקירות הצורך</w:t>
      </w:r>
    </w:p>
    <w:p w:rsidR="00272DA0"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 xml:space="preserve">ההודאות </w:t>
      </w:r>
      <w:r>
        <w:rPr>
          <w:rFonts w:cs="David" w:hint="cs"/>
          <w:sz w:val="24"/>
          <w:szCs w:val="24"/>
          <w:rtl/>
        </w:rPr>
        <w:t xml:space="preserve">העוקבות </w:t>
      </w:r>
      <w:r w:rsidRPr="00196066">
        <w:rPr>
          <w:rFonts w:cs="David" w:hint="cs"/>
          <w:sz w:val="24"/>
          <w:szCs w:val="24"/>
          <w:rtl/>
        </w:rPr>
        <w:t>שמבקשת המאש</w:t>
      </w:r>
      <w:r>
        <w:rPr>
          <w:rFonts w:cs="David" w:hint="cs"/>
          <w:sz w:val="24"/>
          <w:szCs w:val="24"/>
          <w:rtl/>
        </w:rPr>
        <w:t>ימה להכשיר ניתנו במהלך תקופה בת</w:t>
      </w:r>
      <w:r w:rsidRPr="00196066">
        <w:rPr>
          <w:rFonts w:cs="David" w:hint="cs"/>
          <w:sz w:val="24"/>
          <w:szCs w:val="24"/>
          <w:rtl/>
        </w:rPr>
        <w:t xml:space="preserve"> ארבעה ימים ב</w:t>
      </w:r>
      <w:r>
        <w:rPr>
          <w:rFonts w:cs="David" w:hint="cs"/>
          <w:sz w:val="24"/>
          <w:szCs w:val="24"/>
          <w:rtl/>
        </w:rPr>
        <w:t>מהלכ</w:t>
      </w:r>
      <w:r w:rsidRPr="00196066">
        <w:rPr>
          <w:rFonts w:cs="David" w:hint="cs"/>
          <w:sz w:val="24"/>
          <w:szCs w:val="24"/>
          <w:rtl/>
        </w:rPr>
        <w:t>ה נחקר הנאשם שלוש חקיר</w:t>
      </w:r>
      <w:r>
        <w:rPr>
          <w:rFonts w:cs="David" w:hint="cs"/>
          <w:sz w:val="24"/>
          <w:szCs w:val="24"/>
          <w:rtl/>
        </w:rPr>
        <w:t>ו</w:t>
      </w:r>
      <w:r w:rsidRPr="00196066">
        <w:rPr>
          <w:rFonts w:cs="David" w:hint="cs"/>
          <w:sz w:val="24"/>
          <w:szCs w:val="24"/>
          <w:rtl/>
        </w:rPr>
        <w:t>ת צורך.</w:t>
      </w:r>
    </w:p>
    <w:p w:rsidR="00272DA0" w:rsidRDefault="00272DA0" w:rsidP="00272DA0">
      <w:pPr>
        <w:pStyle w:val="a3"/>
        <w:spacing w:line="360" w:lineRule="auto"/>
        <w:ind w:left="567"/>
        <w:jc w:val="both"/>
        <w:rPr>
          <w:rFonts w:cs="David"/>
          <w:sz w:val="24"/>
          <w:szCs w:val="24"/>
          <w:rtl/>
        </w:rPr>
      </w:pPr>
      <w:r w:rsidRPr="00E43D37">
        <w:rPr>
          <w:rFonts w:cs="David" w:hint="cs"/>
          <w:sz w:val="24"/>
          <w:szCs w:val="24"/>
          <w:rtl/>
        </w:rPr>
        <w:t>נוכח אופן התנהלות</w:t>
      </w:r>
      <w:r>
        <w:rPr>
          <w:rFonts w:cs="David" w:hint="cs"/>
          <w:sz w:val="24"/>
          <w:szCs w:val="24"/>
          <w:rtl/>
        </w:rPr>
        <w:t>ה של</w:t>
      </w:r>
      <w:r w:rsidRPr="00E43D37">
        <w:rPr>
          <w:rFonts w:cs="David" w:hint="cs"/>
          <w:sz w:val="24"/>
          <w:szCs w:val="24"/>
          <w:rtl/>
        </w:rPr>
        <w:t xml:space="preserve"> החקירה בתקופה זו: הימשכות החקירות לאורך ימים שלמים, תוך מתן הפסקות קצרות, אם בכלל, ולעיתים בנוכחות</w:t>
      </w:r>
      <w:r>
        <w:rPr>
          <w:rFonts w:cs="David" w:hint="cs"/>
          <w:sz w:val="24"/>
          <w:szCs w:val="24"/>
          <w:rtl/>
        </w:rPr>
        <w:t xml:space="preserve"> חוקרים שהשתתפו בחקירות הצורך </w:t>
      </w:r>
      <w:r>
        <w:rPr>
          <w:rFonts w:cs="David"/>
          <w:sz w:val="24"/>
          <w:szCs w:val="24"/>
          <w:rtl/>
        </w:rPr>
        <w:t>–</w:t>
      </w:r>
      <w:r>
        <w:rPr>
          <w:rFonts w:cs="David" w:hint="cs"/>
          <w:sz w:val="24"/>
          <w:szCs w:val="24"/>
          <w:rtl/>
        </w:rPr>
        <w:t xml:space="preserve"> </w:t>
      </w:r>
      <w:r w:rsidRPr="00BC5779">
        <w:rPr>
          <w:rFonts w:cs="David" w:hint="cs"/>
          <w:sz w:val="24"/>
          <w:szCs w:val="24"/>
          <w:u w:val="single"/>
          <w:rtl/>
        </w:rPr>
        <w:t>לא ניתן לערוך אבחנה וניתוק בין תוצרי החקירות שהמאשימה מבקשת לקבל, לבין חקירות הצורך שקדמו להן</w:t>
      </w:r>
      <w:r w:rsidRPr="00BC5779">
        <w:rPr>
          <w:rFonts w:cs="David" w:hint="cs"/>
          <w:sz w:val="24"/>
          <w:szCs w:val="24"/>
          <w:rtl/>
        </w:rPr>
        <w:t xml:space="preserve">. </w:t>
      </w:r>
      <w:r w:rsidRPr="00BC5779">
        <w:rPr>
          <w:rFonts w:cs="David" w:hint="cs"/>
          <w:sz w:val="24"/>
          <w:szCs w:val="24"/>
          <w:u w:val="single"/>
          <w:rtl/>
        </w:rPr>
        <w:t xml:space="preserve">פער הזמנים אינו כזה </w:t>
      </w:r>
      <w:proofErr w:type="spellStart"/>
      <w:r w:rsidRPr="00BC5779">
        <w:rPr>
          <w:rFonts w:cs="David" w:hint="cs"/>
          <w:sz w:val="24"/>
          <w:szCs w:val="24"/>
          <w:u w:val="single"/>
          <w:rtl/>
        </w:rPr>
        <w:t>שאיפשר</w:t>
      </w:r>
      <w:proofErr w:type="spellEnd"/>
      <w:r w:rsidRPr="00BC5779">
        <w:rPr>
          <w:rFonts w:cs="David" w:hint="cs"/>
          <w:sz w:val="24"/>
          <w:szCs w:val="24"/>
          <w:u w:val="single"/>
          <w:rtl/>
        </w:rPr>
        <w:t xml:space="preserve"> לנאשם לנוח, לאגור כוחות ולשקול באופן מושכל את מצבו</w:t>
      </w:r>
      <w:r w:rsidRPr="00E43D37">
        <w:rPr>
          <w:rFonts w:cs="David" w:hint="cs"/>
          <w:sz w:val="24"/>
          <w:szCs w:val="24"/>
          <w:rtl/>
        </w:rPr>
        <w:t>;</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sidRPr="00196066">
        <w:rPr>
          <w:rFonts w:cs="David" w:hint="cs"/>
          <w:sz w:val="24"/>
          <w:szCs w:val="24"/>
          <w:rtl/>
        </w:rPr>
        <w:t>בשונה מעניינו של נאשם 1, חקירתו של נאשם 2 הי</w:t>
      </w:r>
      <w:r>
        <w:rPr>
          <w:rFonts w:cs="David" w:hint="cs"/>
          <w:sz w:val="24"/>
          <w:szCs w:val="24"/>
          <w:rtl/>
        </w:rPr>
        <w:t>י</w:t>
      </w:r>
      <w:r w:rsidRPr="00196066">
        <w:rPr>
          <w:rFonts w:cs="David" w:hint="cs"/>
          <w:sz w:val="24"/>
          <w:szCs w:val="24"/>
          <w:rtl/>
        </w:rPr>
        <w:t xml:space="preserve">תה אינטנסיבית מאד, </w:t>
      </w:r>
      <w:r>
        <w:rPr>
          <w:rFonts w:cs="David" w:hint="cs"/>
          <w:sz w:val="24"/>
          <w:szCs w:val="24"/>
          <w:rtl/>
        </w:rPr>
        <w:t>ו</w:t>
      </w:r>
      <w:r w:rsidRPr="00196066">
        <w:rPr>
          <w:rFonts w:cs="David" w:hint="cs"/>
          <w:sz w:val="24"/>
          <w:szCs w:val="24"/>
          <w:rtl/>
        </w:rPr>
        <w:t xml:space="preserve">כללה </w:t>
      </w:r>
      <w:r>
        <w:rPr>
          <w:rFonts w:cs="David" w:hint="cs"/>
          <w:sz w:val="24"/>
          <w:szCs w:val="24"/>
          <w:rtl/>
        </w:rPr>
        <w:t>שלוש חקירות צורך וחקירות נוספות רבות</w:t>
      </w:r>
      <w:r w:rsidRPr="00196066">
        <w:rPr>
          <w:rFonts w:cs="David" w:hint="cs"/>
          <w:sz w:val="24"/>
          <w:szCs w:val="24"/>
          <w:rtl/>
        </w:rPr>
        <w:t xml:space="preserve"> </w:t>
      </w:r>
      <w:r>
        <w:rPr>
          <w:rFonts w:cs="David" w:hint="cs"/>
          <w:sz w:val="24"/>
          <w:szCs w:val="24"/>
          <w:rtl/>
        </w:rPr>
        <w:t xml:space="preserve">שביניהן </w:t>
      </w:r>
      <w:r w:rsidRPr="00196066">
        <w:rPr>
          <w:rFonts w:cs="David" w:hint="cs"/>
          <w:sz w:val="24"/>
          <w:szCs w:val="24"/>
          <w:rtl/>
        </w:rPr>
        <w:t>הפסקות קצרות.</w:t>
      </w:r>
    </w:p>
    <w:p w:rsidR="00272DA0" w:rsidRDefault="00272DA0" w:rsidP="00272DA0">
      <w:pPr>
        <w:pStyle w:val="a3"/>
        <w:spacing w:line="360" w:lineRule="auto"/>
        <w:ind w:left="567"/>
        <w:jc w:val="both"/>
        <w:rPr>
          <w:rFonts w:cs="David"/>
          <w:sz w:val="24"/>
          <w:szCs w:val="24"/>
          <w:rtl/>
        </w:rPr>
      </w:pPr>
      <w:r w:rsidRPr="00E43D37">
        <w:rPr>
          <w:rFonts w:cs="David" w:hint="cs"/>
          <w:sz w:val="24"/>
          <w:szCs w:val="24"/>
          <w:rtl/>
        </w:rPr>
        <w:lastRenderedPageBreak/>
        <w:t>זאת ועוד, בשונה מעניינו של נאש</w:t>
      </w:r>
      <w:r>
        <w:rPr>
          <w:rFonts w:cs="David" w:hint="cs"/>
          <w:sz w:val="24"/>
          <w:szCs w:val="24"/>
          <w:rtl/>
        </w:rPr>
        <w:t>ם 1, אל מול גרסת הנאשם 2 ניצבת רק</w:t>
      </w:r>
      <w:r w:rsidRPr="00E43D37">
        <w:rPr>
          <w:rFonts w:cs="David" w:hint="cs"/>
          <w:sz w:val="24"/>
          <w:szCs w:val="24"/>
          <w:rtl/>
        </w:rPr>
        <w:t xml:space="preserve"> התרשמותם הסובי</w:t>
      </w:r>
      <w:r>
        <w:rPr>
          <w:rFonts w:cs="David" w:hint="cs"/>
          <w:sz w:val="24"/>
          <w:szCs w:val="24"/>
          <w:rtl/>
        </w:rPr>
        <w:t xml:space="preserve">יקטיבית של החוקרים. </w:t>
      </w:r>
      <w:r w:rsidRPr="00E43D37">
        <w:rPr>
          <w:rFonts w:cs="David" w:hint="cs"/>
          <w:sz w:val="24"/>
          <w:szCs w:val="24"/>
          <w:rtl/>
        </w:rPr>
        <w:t xml:space="preserve">בשונה מהתיעוד החזותי של חקירות הנאשם 1, </w:t>
      </w:r>
      <w:r>
        <w:rPr>
          <w:rFonts w:cs="David" w:hint="cs"/>
          <w:sz w:val="24"/>
          <w:szCs w:val="24"/>
          <w:rtl/>
        </w:rPr>
        <w:t xml:space="preserve">הרי לגבי נאשם 2 </w:t>
      </w:r>
      <w:r w:rsidRPr="000B3D19">
        <w:rPr>
          <w:rFonts w:cs="David" w:hint="cs"/>
          <w:sz w:val="24"/>
          <w:szCs w:val="24"/>
          <w:rtl/>
        </w:rPr>
        <w:t>אין ברשותנו כלי המאפשר להתרשם באופן בלתי אמצעי מהאווירה במהלך החקירות ומהאופן המדויק של מסירת הדברים</w:t>
      </w:r>
      <w:r w:rsidRPr="00E43D37">
        <w:rPr>
          <w:rFonts w:cs="David" w:hint="cs"/>
          <w:sz w:val="24"/>
          <w:szCs w:val="24"/>
          <w:rtl/>
        </w:rPr>
        <w:t>;</w:t>
      </w:r>
    </w:p>
    <w:p w:rsidR="00272DA0" w:rsidRDefault="00272DA0" w:rsidP="00272DA0">
      <w:pPr>
        <w:pStyle w:val="a3"/>
        <w:spacing w:line="360" w:lineRule="auto"/>
        <w:ind w:left="567"/>
        <w:jc w:val="both"/>
        <w:rPr>
          <w:rFonts w:cs="David"/>
          <w:sz w:val="24"/>
          <w:szCs w:val="24"/>
          <w:rtl/>
        </w:rPr>
      </w:pPr>
    </w:p>
    <w:p w:rsidR="00272DA0" w:rsidRDefault="00272DA0" w:rsidP="00272DA0">
      <w:pPr>
        <w:pStyle w:val="a3"/>
        <w:numPr>
          <w:ilvl w:val="0"/>
          <w:numId w:val="19"/>
        </w:numPr>
        <w:spacing w:line="360" w:lineRule="auto"/>
        <w:jc w:val="both"/>
        <w:rPr>
          <w:rFonts w:cs="David"/>
          <w:sz w:val="24"/>
          <w:szCs w:val="24"/>
        </w:rPr>
      </w:pPr>
      <w:r w:rsidRPr="00BC5779">
        <w:rPr>
          <w:rFonts w:cs="David" w:hint="cs"/>
          <w:sz w:val="24"/>
          <w:szCs w:val="24"/>
          <w:u w:val="single"/>
          <w:rtl/>
        </w:rPr>
        <w:t>הנאשם התבטא בזמן אמת</w:t>
      </w:r>
      <w:r>
        <w:rPr>
          <w:rFonts w:cs="David" w:hint="cs"/>
          <w:sz w:val="24"/>
          <w:szCs w:val="24"/>
          <w:rtl/>
        </w:rPr>
        <w:t xml:space="preserve"> בפני חוקריו ובפני השופט</w:t>
      </w:r>
      <w:r w:rsidRPr="00196066">
        <w:rPr>
          <w:rFonts w:cs="David" w:hint="cs"/>
          <w:sz w:val="24"/>
          <w:szCs w:val="24"/>
          <w:rtl/>
        </w:rPr>
        <w:t xml:space="preserve"> שדן בהארכת מעצרו, </w:t>
      </w:r>
      <w:r w:rsidRPr="00BC5779">
        <w:rPr>
          <w:rFonts w:cs="David" w:hint="cs"/>
          <w:sz w:val="24"/>
          <w:szCs w:val="24"/>
          <w:u w:val="single"/>
          <w:rtl/>
        </w:rPr>
        <w:t>אודות חששו הרב מחזרה לחקירת הצורך</w:t>
      </w:r>
      <w:r w:rsidRPr="00196066">
        <w:rPr>
          <w:rFonts w:cs="David" w:hint="cs"/>
          <w:sz w:val="24"/>
          <w:szCs w:val="24"/>
          <w:rtl/>
        </w:rPr>
        <w:t xml:space="preserve">. גם אם ניתן לייחס מידה מסוימת של מניפולטיביות והעצמה בדבריו </w:t>
      </w:r>
      <w:r>
        <w:rPr>
          <w:rFonts w:cs="David" w:hint="cs"/>
          <w:sz w:val="24"/>
          <w:szCs w:val="24"/>
          <w:rtl/>
        </w:rPr>
        <w:t>של הנאשם</w:t>
      </w:r>
      <w:r w:rsidRPr="00196066">
        <w:rPr>
          <w:rFonts w:cs="David" w:hint="cs"/>
          <w:sz w:val="24"/>
          <w:szCs w:val="24"/>
          <w:rtl/>
        </w:rPr>
        <w:t>, לא ניתן להתעלם מכך;</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sidRPr="00BC5779">
        <w:rPr>
          <w:rFonts w:cs="David" w:hint="cs"/>
          <w:sz w:val="24"/>
          <w:szCs w:val="24"/>
          <w:u w:val="single"/>
          <w:rtl/>
        </w:rPr>
        <w:t>החקירה האינטנסיבית</w:t>
      </w:r>
      <w:r>
        <w:rPr>
          <w:rFonts w:cs="David" w:hint="cs"/>
          <w:sz w:val="24"/>
          <w:szCs w:val="24"/>
          <w:rtl/>
        </w:rPr>
        <w:t xml:space="preserve"> שנערכה לנאשם בתקופה זו, </w:t>
      </w:r>
      <w:r w:rsidRPr="00BC5779">
        <w:rPr>
          <w:rFonts w:cs="David" w:hint="cs"/>
          <w:sz w:val="24"/>
          <w:szCs w:val="24"/>
          <w:u w:val="single"/>
          <w:rtl/>
        </w:rPr>
        <w:t>השפיעה על מצבו הנפשי</w:t>
      </w:r>
      <w:r>
        <w:rPr>
          <w:rFonts w:cs="David" w:hint="cs"/>
          <w:sz w:val="24"/>
          <w:szCs w:val="24"/>
          <w:rtl/>
        </w:rPr>
        <w:t>, הוא נשלח כיומיים לאחר חקירת הצורך האחרונה לבדיקה פסיכיאטרית, עקב הדרדרות מסוימת במצבו הנפשי. לאחר הבדיקה החל לקבל טיפול תרופתי;</w:t>
      </w:r>
    </w:p>
    <w:p w:rsidR="00272DA0" w:rsidRPr="000B081C" w:rsidRDefault="00272DA0" w:rsidP="00272DA0">
      <w:pPr>
        <w:pStyle w:val="a3"/>
        <w:spacing w:line="360" w:lineRule="auto"/>
        <w:ind w:left="567"/>
        <w:jc w:val="both"/>
        <w:rPr>
          <w:rFonts w:cs="David"/>
          <w:sz w:val="16"/>
          <w:szCs w:val="16"/>
        </w:rPr>
      </w:pPr>
    </w:p>
    <w:p w:rsidR="00272DA0" w:rsidRDefault="00272DA0" w:rsidP="00272DA0">
      <w:pPr>
        <w:pStyle w:val="a3"/>
        <w:numPr>
          <w:ilvl w:val="0"/>
          <w:numId w:val="19"/>
        </w:numPr>
        <w:spacing w:line="360" w:lineRule="auto"/>
        <w:jc w:val="both"/>
        <w:rPr>
          <w:rFonts w:cs="David"/>
          <w:sz w:val="24"/>
          <w:szCs w:val="24"/>
        </w:rPr>
      </w:pPr>
      <w:r w:rsidRPr="00E43D37">
        <w:rPr>
          <w:rFonts w:cs="David" w:hint="cs"/>
          <w:sz w:val="24"/>
          <w:szCs w:val="24"/>
          <w:rtl/>
        </w:rPr>
        <w:t>הסברו של הנאשם לפיו מסר הודאה בפני חוקר משטרתי בשל רצונו לערוך בדיקת פוליגרף</w:t>
      </w:r>
      <w:r>
        <w:rPr>
          <w:rFonts w:cs="David" w:hint="cs"/>
          <w:sz w:val="24"/>
          <w:szCs w:val="24"/>
          <w:rtl/>
        </w:rPr>
        <w:t>,</w:t>
      </w:r>
      <w:r w:rsidRPr="00E43D37">
        <w:rPr>
          <w:rFonts w:cs="David" w:hint="cs"/>
          <w:sz w:val="24"/>
          <w:szCs w:val="24"/>
          <w:rtl/>
        </w:rPr>
        <w:t xml:space="preserve"> ובדרך זו לזכות בשעו</w:t>
      </w:r>
      <w:r>
        <w:rPr>
          <w:rFonts w:cs="David" w:hint="cs"/>
          <w:sz w:val="24"/>
          <w:szCs w:val="24"/>
          <w:rtl/>
        </w:rPr>
        <w:t xml:space="preserve">ת שינה ולמנוע חזרה לחקירת צורך </w:t>
      </w:r>
      <w:r>
        <w:rPr>
          <w:rFonts w:cs="David"/>
          <w:sz w:val="24"/>
          <w:szCs w:val="24"/>
          <w:rtl/>
        </w:rPr>
        <w:t>–</w:t>
      </w:r>
      <w:r>
        <w:rPr>
          <w:rFonts w:cs="David" w:hint="cs"/>
          <w:sz w:val="24"/>
          <w:szCs w:val="24"/>
          <w:rtl/>
        </w:rPr>
        <w:t xml:space="preserve"> אינו בלתי סביר. ההסבר</w:t>
      </w:r>
      <w:r w:rsidRPr="00E43D37">
        <w:rPr>
          <w:rFonts w:cs="David" w:hint="cs"/>
          <w:sz w:val="24"/>
          <w:szCs w:val="24"/>
          <w:rtl/>
        </w:rPr>
        <w:t xml:space="preserve"> מתיישב עם דבריו, עם דרך הילוכו ועם מה שהתרחש בפועל;</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E43D37">
        <w:rPr>
          <w:rFonts w:cs="David" w:hint="cs"/>
          <w:sz w:val="24"/>
          <w:szCs w:val="24"/>
          <w:rtl/>
        </w:rPr>
        <w:t xml:space="preserve">בהינתן שאלה הנסיבות, </w:t>
      </w:r>
      <w:r w:rsidRPr="00BC5779">
        <w:rPr>
          <w:rFonts w:cs="David" w:hint="cs"/>
          <w:sz w:val="24"/>
          <w:szCs w:val="24"/>
          <w:u w:val="single"/>
          <w:rtl/>
        </w:rPr>
        <w:t>לא ניתן לשלול את גרסת הנאשם לפיה הודאותיו ניתנו שלא מרצונו החופשי</w:t>
      </w:r>
      <w:r>
        <w:rPr>
          <w:rFonts w:cs="David" w:hint="cs"/>
          <w:sz w:val="24"/>
          <w:szCs w:val="24"/>
          <w:rtl/>
        </w:rPr>
        <w:t xml:space="preserve">, </w:t>
      </w:r>
      <w:r w:rsidRPr="00BC5779">
        <w:rPr>
          <w:rFonts w:cs="David" w:hint="cs"/>
          <w:sz w:val="24"/>
          <w:szCs w:val="24"/>
          <w:u w:val="single"/>
          <w:rtl/>
        </w:rPr>
        <w:t>אלא בניסיון למנוע את חזרתו לחקירת צורך</w:t>
      </w:r>
      <w:r w:rsidRPr="00E43D37">
        <w:rPr>
          <w:rFonts w:cs="David" w:hint="cs"/>
          <w:sz w:val="24"/>
          <w:szCs w:val="24"/>
          <w:rtl/>
        </w:rPr>
        <w:t xml:space="preserve">, </w:t>
      </w:r>
      <w:r w:rsidRPr="00BC5779">
        <w:rPr>
          <w:rFonts w:cs="David" w:hint="cs"/>
          <w:sz w:val="24"/>
          <w:szCs w:val="24"/>
          <w:u w:val="single"/>
          <w:rtl/>
        </w:rPr>
        <w:t>למצער בגדר העלאת ספק סביר</w:t>
      </w:r>
      <w:r w:rsidRPr="00E43D37">
        <w:rPr>
          <w:rFonts w:cs="David" w:hint="cs"/>
          <w:sz w:val="24"/>
          <w:szCs w:val="24"/>
          <w:rtl/>
        </w:rPr>
        <w:t xml:space="preserve">; </w:t>
      </w:r>
    </w:p>
    <w:p w:rsidR="00272DA0" w:rsidRPr="000B081C" w:rsidRDefault="00272DA0" w:rsidP="00272DA0">
      <w:pPr>
        <w:pStyle w:val="a3"/>
        <w:rPr>
          <w:rFonts w:cs="David"/>
          <w:sz w:val="16"/>
          <w:szCs w:val="16"/>
          <w:rtl/>
        </w:rPr>
      </w:pPr>
    </w:p>
    <w:p w:rsidR="00272DA0" w:rsidRDefault="00272DA0" w:rsidP="00272DA0">
      <w:pPr>
        <w:pStyle w:val="a3"/>
        <w:numPr>
          <w:ilvl w:val="0"/>
          <w:numId w:val="19"/>
        </w:numPr>
        <w:spacing w:line="360" w:lineRule="auto"/>
        <w:jc w:val="both"/>
        <w:rPr>
          <w:rFonts w:cs="David"/>
          <w:sz w:val="24"/>
          <w:szCs w:val="24"/>
        </w:rPr>
      </w:pPr>
      <w:r w:rsidRPr="00E43D37">
        <w:rPr>
          <w:rFonts w:cs="David" w:hint="cs"/>
          <w:sz w:val="24"/>
          <w:szCs w:val="24"/>
          <w:rtl/>
        </w:rPr>
        <w:t>נוכח מסקנה זו אין צורך לה</w:t>
      </w:r>
      <w:r>
        <w:rPr>
          <w:rFonts w:cs="David" w:hint="cs"/>
          <w:sz w:val="24"/>
          <w:szCs w:val="24"/>
          <w:rtl/>
        </w:rPr>
        <w:t xml:space="preserve">ידרש לבחינת ההודאות לפי </w:t>
      </w:r>
      <w:r w:rsidRPr="0010564C">
        <w:rPr>
          <w:rFonts w:cs="David" w:hint="cs"/>
          <w:sz w:val="24"/>
          <w:szCs w:val="24"/>
          <w:u w:val="single"/>
          <w:rtl/>
        </w:rPr>
        <w:t>דוקטרינת הפסילה הפסיקתית</w:t>
      </w:r>
      <w:r w:rsidRPr="00E43D37">
        <w:rPr>
          <w:rFonts w:cs="David" w:hint="cs"/>
          <w:sz w:val="24"/>
          <w:szCs w:val="24"/>
          <w:rtl/>
        </w:rPr>
        <w:t>.</w:t>
      </w:r>
      <w:r>
        <w:rPr>
          <w:rFonts w:cs="David" w:hint="cs"/>
          <w:sz w:val="24"/>
          <w:szCs w:val="24"/>
          <w:rtl/>
        </w:rPr>
        <w:t xml:space="preserve"> </w:t>
      </w:r>
      <w:r w:rsidRPr="00E43D37">
        <w:rPr>
          <w:rFonts w:cs="David" w:hint="cs"/>
          <w:sz w:val="24"/>
          <w:szCs w:val="24"/>
          <w:u w:val="single"/>
          <w:rtl/>
        </w:rPr>
        <w:t xml:space="preserve">לפיכך לא ניתן לקבל את ההודאות </w:t>
      </w:r>
      <w:r>
        <w:rPr>
          <w:rFonts w:cs="David" w:hint="cs"/>
          <w:sz w:val="24"/>
          <w:szCs w:val="24"/>
          <w:u w:val="single"/>
          <w:rtl/>
        </w:rPr>
        <w:t>העוקבות שמסר הנאשם 2 בתקופה שבין חקירות הצורך</w:t>
      </w:r>
      <w:r w:rsidRPr="00E43D37">
        <w:rPr>
          <w:rFonts w:cs="David" w:hint="cs"/>
          <w:sz w:val="24"/>
          <w:szCs w:val="24"/>
          <w:u w:val="single"/>
          <w:rtl/>
        </w:rPr>
        <w:t>, כראיה קבילה</w:t>
      </w:r>
      <w:r w:rsidRPr="00E43D37">
        <w:rPr>
          <w:rFonts w:cs="David" w:hint="cs"/>
          <w:sz w:val="24"/>
          <w:szCs w:val="24"/>
          <w:rtl/>
        </w:rPr>
        <w:t>.</w:t>
      </w:r>
    </w:p>
    <w:p w:rsidR="00272DA0" w:rsidRPr="000B081C" w:rsidRDefault="00272DA0" w:rsidP="00272DA0">
      <w:pPr>
        <w:pStyle w:val="a3"/>
        <w:rPr>
          <w:rFonts w:cs="David"/>
          <w:sz w:val="16"/>
          <w:szCs w:val="16"/>
          <w:rtl/>
        </w:rPr>
      </w:pPr>
    </w:p>
    <w:p w:rsidR="00272DA0" w:rsidRPr="009074F3" w:rsidRDefault="00272DA0" w:rsidP="00272DA0">
      <w:pPr>
        <w:pStyle w:val="a3"/>
        <w:numPr>
          <w:ilvl w:val="0"/>
          <w:numId w:val="19"/>
        </w:numPr>
        <w:spacing w:line="360" w:lineRule="auto"/>
        <w:jc w:val="both"/>
        <w:rPr>
          <w:rFonts w:cs="David"/>
          <w:sz w:val="24"/>
          <w:szCs w:val="24"/>
        </w:rPr>
      </w:pPr>
      <w:r w:rsidRPr="009074F3">
        <w:rPr>
          <w:rFonts w:cs="David" w:hint="cs"/>
          <w:b/>
          <w:bCs/>
          <w:sz w:val="24"/>
          <w:szCs w:val="24"/>
          <w:rtl/>
        </w:rPr>
        <w:t>לפיכך, אנו קובעים כדלקמן:</w:t>
      </w:r>
    </w:p>
    <w:p w:rsidR="00272DA0" w:rsidRPr="009074F3" w:rsidRDefault="00272DA0" w:rsidP="00272DA0">
      <w:pPr>
        <w:pStyle w:val="a3"/>
        <w:numPr>
          <w:ilvl w:val="0"/>
          <w:numId w:val="20"/>
        </w:numPr>
        <w:spacing w:line="360" w:lineRule="auto"/>
        <w:jc w:val="both"/>
        <w:rPr>
          <w:rFonts w:cs="David"/>
          <w:b/>
          <w:bCs/>
          <w:sz w:val="24"/>
          <w:szCs w:val="24"/>
        </w:rPr>
      </w:pPr>
      <w:r w:rsidRPr="009074F3">
        <w:rPr>
          <w:rFonts w:cs="David" w:hint="cs"/>
          <w:b/>
          <w:bCs/>
          <w:sz w:val="24"/>
          <w:szCs w:val="24"/>
          <w:rtl/>
        </w:rPr>
        <w:t xml:space="preserve">כלל התוצרים של חקירות הצורך בעניינם של שני הנאשמים אינם קבילים כראיה. </w:t>
      </w:r>
    </w:p>
    <w:p w:rsidR="00272DA0" w:rsidRDefault="00272DA0" w:rsidP="00272DA0">
      <w:pPr>
        <w:pStyle w:val="a3"/>
        <w:numPr>
          <w:ilvl w:val="0"/>
          <w:numId w:val="20"/>
        </w:numPr>
        <w:spacing w:line="360" w:lineRule="auto"/>
        <w:jc w:val="both"/>
        <w:rPr>
          <w:rFonts w:cs="David"/>
          <w:b/>
          <w:bCs/>
          <w:sz w:val="24"/>
          <w:szCs w:val="24"/>
        </w:rPr>
      </w:pPr>
      <w:r w:rsidRPr="009074F3">
        <w:rPr>
          <w:rFonts w:cs="David" w:hint="cs"/>
          <w:b/>
          <w:bCs/>
          <w:sz w:val="24"/>
          <w:szCs w:val="24"/>
          <w:u w:val="single"/>
          <w:rtl/>
        </w:rPr>
        <w:t>בעניינו של נאשם 1</w:t>
      </w:r>
      <w:r w:rsidRPr="009074F3">
        <w:rPr>
          <w:rFonts w:cs="David" w:hint="cs"/>
          <w:b/>
          <w:bCs/>
          <w:sz w:val="24"/>
          <w:szCs w:val="24"/>
          <w:rtl/>
        </w:rPr>
        <w:t xml:space="preserve">, ההודאות שנגבו במהלך החקירות העוקבות, החל מהחקירה המתועדת הראשונה ועד לפני חקירת הצורך </w:t>
      </w:r>
      <w:proofErr w:type="spellStart"/>
      <w:r w:rsidRPr="009074F3">
        <w:rPr>
          <w:rFonts w:cs="David" w:hint="cs"/>
          <w:b/>
          <w:bCs/>
          <w:sz w:val="24"/>
          <w:szCs w:val="24"/>
          <w:rtl/>
        </w:rPr>
        <w:t>השניה</w:t>
      </w:r>
      <w:proofErr w:type="spellEnd"/>
      <w:r w:rsidRPr="009074F3">
        <w:rPr>
          <w:rFonts w:cs="David" w:hint="cs"/>
          <w:b/>
          <w:bCs/>
          <w:sz w:val="24"/>
          <w:szCs w:val="24"/>
          <w:rtl/>
        </w:rPr>
        <w:t xml:space="preserve"> </w:t>
      </w:r>
      <w:r w:rsidRPr="009074F3">
        <w:rPr>
          <w:rFonts w:cs="David"/>
          <w:b/>
          <w:bCs/>
          <w:sz w:val="24"/>
          <w:szCs w:val="24"/>
          <w:rtl/>
        </w:rPr>
        <w:t>–</w:t>
      </w:r>
      <w:r>
        <w:rPr>
          <w:rFonts w:cs="David" w:hint="cs"/>
          <w:b/>
          <w:bCs/>
          <w:sz w:val="24"/>
          <w:szCs w:val="24"/>
          <w:rtl/>
        </w:rPr>
        <w:t xml:space="preserve"> קבילות כראיה.</w:t>
      </w:r>
    </w:p>
    <w:p w:rsidR="00272DA0" w:rsidRPr="009074F3" w:rsidRDefault="00272DA0" w:rsidP="00272DA0">
      <w:pPr>
        <w:pStyle w:val="a3"/>
        <w:numPr>
          <w:ilvl w:val="0"/>
          <w:numId w:val="20"/>
        </w:numPr>
        <w:spacing w:line="360" w:lineRule="auto"/>
        <w:jc w:val="both"/>
        <w:rPr>
          <w:rFonts w:cs="David"/>
          <w:b/>
          <w:bCs/>
          <w:sz w:val="24"/>
          <w:szCs w:val="24"/>
        </w:rPr>
      </w:pPr>
      <w:r>
        <w:rPr>
          <w:rFonts w:cs="David" w:hint="cs"/>
          <w:b/>
          <w:bCs/>
          <w:sz w:val="24"/>
          <w:szCs w:val="24"/>
          <w:rtl/>
        </w:rPr>
        <w:t>ההודאה שנגבתה לפני החקירה המתועדת, מיום 19.12.2015 בבוקר, אינה קבילה כראיה.</w:t>
      </w:r>
    </w:p>
    <w:p w:rsidR="00272DA0" w:rsidRDefault="00272DA0" w:rsidP="00272DA0">
      <w:pPr>
        <w:pStyle w:val="a3"/>
        <w:numPr>
          <w:ilvl w:val="0"/>
          <w:numId w:val="20"/>
        </w:numPr>
        <w:spacing w:line="360" w:lineRule="auto"/>
        <w:jc w:val="both"/>
        <w:rPr>
          <w:rFonts w:cs="David"/>
          <w:b/>
          <w:bCs/>
          <w:sz w:val="24"/>
          <w:szCs w:val="24"/>
        </w:rPr>
      </w:pPr>
      <w:r w:rsidRPr="009074F3">
        <w:rPr>
          <w:rFonts w:cs="David" w:hint="cs"/>
          <w:b/>
          <w:bCs/>
          <w:sz w:val="24"/>
          <w:szCs w:val="24"/>
          <w:u w:val="single"/>
          <w:rtl/>
        </w:rPr>
        <w:t>בעניינו של נאשם 2</w:t>
      </w:r>
      <w:r w:rsidRPr="009074F3">
        <w:rPr>
          <w:rFonts w:cs="David" w:hint="cs"/>
          <w:b/>
          <w:bCs/>
          <w:sz w:val="24"/>
          <w:szCs w:val="24"/>
          <w:rtl/>
        </w:rPr>
        <w:t xml:space="preserve">, תוצרי תרגיל המדובבים וחקירות השב"כ שנערכו קודם לחקירת הצורך הראשונה קבילים כראיה. </w:t>
      </w:r>
    </w:p>
    <w:p w:rsidR="00272DA0" w:rsidRPr="00C07DDF" w:rsidRDefault="00272DA0" w:rsidP="00C07DDF">
      <w:pPr>
        <w:pStyle w:val="a3"/>
        <w:numPr>
          <w:ilvl w:val="0"/>
          <w:numId w:val="20"/>
        </w:numPr>
        <w:spacing w:line="360" w:lineRule="auto"/>
        <w:jc w:val="both"/>
        <w:rPr>
          <w:rFonts w:cs="David"/>
          <w:b/>
          <w:bCs/>
          <w:sz w:val="24"/>
          <w:szCs w:val="24"/>
        </w:rPr>
      </w:pPr>
      <w:r w:rsidRPr="00422671">
        <w:rPr>
          <w:rFonts w:cs="David" w:hint="cs"/>
          <w:b/>
          <w:bCs/>
          <w:sz w:val="24"/>
          <w:szCs w:val="24"/>
          <w:rtl/>
        </w:rPr>
        <w:t>כלל ההודאות שמסר נאשם 2 לאחר חקירת הצורך הראשונה אינן קבילות כראיה.</w:t>
      </w:r>
    </w:p>
    <w:sectPr w:rsidR="00272DA0" w:rsidRPr="00C07DDF" w:rsidSect="00E054CF">
      <w:headerReference w:type="default" r:id="rId8"/>
      <w:footerReference w:type="default" r:id="rId9"/>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39BC" w:rsidRDefault="005839BC">
      <w:pPr>
        <w:spacing w:after="0" w:line="240" w:lineRule="auto"/>
      </w:pPr>
      <w:r>
        <w:separator/>
      </w:r>
    </w:p>
  </w:endnote>
  <w:endnote w:type="continuationSeparator" w:id="0">
    <w:p w:rsidR="005839BC" w:rsidRDefault="005839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TUR">
    <w:altName w:val="Arial"/>
    <w:charset w:val="00"/>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2084211789"/>
      <w:docPartObj>
        <w:docPartGallery w:val="Page Numbers (Bottom of Page)"/>
        <w:docPartUnique/>
      </w:docPartObj>
    </w:sdtPr>
    <w:sdtEndPr>
      <w:rPr>
        <w:cs/>
      </w:rPr>
    </w:sdtEndPr>
    <w:sdtContent>
      <w:p w:rsidR="00260E2D" w:rsidRDefault="0076512E">
        <w:pPr>
          <w:pStyle w:val="a9"/>
          <w:jc w:val="center"/>
          <w:rPr>
            <w:rtl/>
            <w:cs/>
          </w:rPr>
        </w:pPr>
        <w:r>
          <w:fldChar w:fldCharType="begin"/>
        </w:r>
        <w:r>
          <w:rPr>
            <w:rtl/>
            <w:cs/>
          </w:rPr>
          <w:instrText>PAGE   \* MERGEFORMAT</w:instrText>
        </w:r>
        <w:r>
          <w:fldChar w:fldCharType="separate"/>
        </w:r>
        <w:r w:rsidR="00C07DDF" w:rsidRPr="00C07DDF">
          <w:rPr>
            <w:noProof/>
            <w:rtl/>
            <w:lang w:val="he-IL"/>
          </w:rPr>
          <w:t>1</w:t>
        </w:r>
        <w:r>
          <w:fldChar w:fldCharType="end"/>
        </w:r>
      </w:p>
    </w:sdtContent>
  </w:sdt>
  <w:p w:rsidR="00260E2D" w:rsidRDefault="005839B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39BC" w:rsidRDefault="005839BC">
      <w:pPr>
        <w:spacing w:after="0" w:line="240" w:lineRule="auto"/>
      </w:pPr>
      <w:r>
        <w:separator/>
      </w:r>
    </w:p>
  </w:footnote>
  <w:footnote w:type="continuationSeparator" w:id="0">
    <w:p w:rsidR="005839BC" w:rsidRDefault="005839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E2D" w:rsidRPr="005B0BAC" w:rsidRDefault="0076512E" w:rsidP="005B0BAC">
    <w:pPr>
      <w:pStyle w:val="a7"/>
      <w:jc w:val="center"/>
      <w:rPr>
        <w:rFonts w:ascii="Times New Roman" w:eastAsia="Times New Roman" w:hAnsi="Times New Roman" w:cs="FrankRuehl"/>
        <w:sz w:val="28"/>
        <w:szCs w:val="28"/>
        <w:rtl/>
      </w:rPr>
    </w:pPr>
    <w:r w:rsidRPr="005B0BAC">
      <w:rPr>
        <w:rFonts w:ascii="Times New Roman" w:eastAsia="Times New Roman" w:hAnsi="Times New Roman" w:cs="FrankRuehl"/>
        <w:noProof/>
        <w:sz w:val="28"/>
        <w:szCs w:val="28"/>
      </w:rPr>
      <w:drawing>
        <wp:inline distT="0" distB="0" distL="0" distR="0" wp14:anchorId="2477F925" wp14:editId="299DB5B8">
          <wp:extent cx="371475" cy="466725"/>
          <wp:effectExtent l="0" t="0" r="9525" b="9525"/>
          <wp:docPr id="2" name="תמונה 2" descr="ישראל - המנורה -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ישראל - המנורה -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66725"/>
                  </a:xfrm>
                  <a:prstGeom prst="rect">
                    <a:avLst/>
                  </a:prstGeom>
                  <a:noFill/>
                  <a:ln>
                    <a:noFill/>
                  </a:ln>
                </pic:spPr>
              </pic:pic>
            </a:graphicData>
          </a:graphic>
        </wp:inline>
      </w:drawing>
    </w:r>
  </w:p>
  <w:tbl>
    <w:tblPr>
      <w:bidiVisual/>
      <w:tblW w:w="0" w:type="auto"/>
      <w:jc w:val="center"/>
      <w:tblLook w:val="0000" w:firstRow="0" w:lastRow="0" w:firstColumn="0" w:lastColumn="0" w:noHBand="0" w:noVBand="0"/>
    </w:tblPr>
    <w:tblGrid>
      <w:gridCol w:w="8306"/>
    </w:tblGrid>
    <w:tr w:rsidR="00260E2D" w:rsidRPr="005B0BAC" w:rsidTr="005B0BAC">
      <w:trPr>
        <w:trHeight w:hRule="exact" w:val="704"/>
        <w:jc w:val="center"/>
      </w:trPr>
      <w:tc>
        <w:tcPr>
          <w:tcW w:w="8306" w:type="dxa"/>
        </w:tcPr>
        <w:p w:rsidR="00260E2D" w:rsidRPr="005B0BAC" w:rsidRDefault="0076512E" w:rsidP="005B0BAC">
          <w:pPr>
            <w:tabs>
              <w:tab w:val="center" w:pos="4153"/>
              <w:tab w:val="right" w:pos="8306"/>
            </w:tabs>
            <w:spacing w:after="0" w:line="240" w:lineRule="auto"/>
            <w:jc w:val="center"/>
            <w:rPr>
              <w:rFonts w:ascii="Tahoma" w:eastAsia="Times New Roman" w:hAnsi="Tahoma" w:cs="David"/>
              <w:color w:val="000080"/>
              <w:sz w:val="32"/>
              <w:szCs w:val="32"/>
              <w:rtl/>
            </w:rPr>
          </w:pPr>
          <w:r w:rsidRPr="005B0BAC">
            <w:rPr>
              <w:rFonts w:ascii="Tahoma" w:eastAsia="Times New Roman" w:hAnsi="Tahoma" w:cs="David"/>
              <w:color w:val="000080"/>
              <w:sz w:val="32"/>
              <w:szCs w:val="32"/>
              <w:rtl/>
            </w:rPr>
            <w:t>בית המשפט המחוזי מרכז-לוד</w:t>
          </w:r>
        </w:p>
      </w:tc>
    </w:tr>
    <w:tr w:rsidR="00260E2D" w:rsidRPr="005B0BAC" w:rsidTr="005B0BAC">
      <w:trPr>
        <w:trHeight w:val="337"/>
        <w:jc w:val="center"/>
      </w:trPr>
      <w:tc>
        <w:tcPr>
          <w:tcW w:w="8306" w:type="dxa"/>
        </w:tcPr>
        <w:p w:rsidR="00260E2D" w:rsidRPr="005B0BAC" w:rsidRDefault="0076512E" w:rsidP="005B0BAC">
          <w:pPr>
            <w:spacing w:after="0" w:line="240" w:lineRule="auto"/>
            <w:rPr>
              <w:rFonts w:ascii="Times New Roman" w:eastAsia="Times New Roman" w:hAnsi="Times New Roman" w:cs="David"/>
              <w:b/>
              <w:bCs/>
              <w:sz w:val="26"/>
              <w:szCs w:val="26"/>
              <w:rtl/>
            </w:rPr>
          </w:pPr>
          <w:r w:rsidRPr="005B0BAC">
            <w:rPr>
              <w:rFonts w:ascii="Times New Roman" w:eastAsia="Times New Roman" w:hAnsi="Times New Roman" w:cs="David"/>
              <w:b/>
              <w:bCs/>
              <w:sz w:val="26"/>
              <w:szCs w:val="26"/>
              <w:rtl/>
            </w:rPr>
            <w:t xml:space="preserve">תפ"ח 932-01-16 מדינת ישראל נ' בן </w:t>
          </w:r>
          <w:proofErr w:type="spellStart"/>
          <w:r w:rsidRPr="005B0BAC">
            <w:rPr>
              <w:rFonts w:ascii="Times New Roman" w:eastAsia="Times New Roman" w:hAnsi="Times New Roman" w:cs="David"/>
              <w:b/>
              <w:bCs/>
              <w:sz w:val="26"/>
              <w:szCs w:val="26"/>
              <w:rtl/>
            </w:rPr>
            <w:t>אוליאל</w:t>
          </w:r>
          <w:proofErr w:type="spellEnd"/>
          <w:r w:rsidRPr="005B0BAC">
            <w:rPr>
              <w:rFonts w:ascii="Times New Roman" w:eastAsia="Times New Roman" w:hAnsi="Times New Roman" w:cs="David"/>
              <w:b/>
              <w:bCs/>
              <w:sz w:val="26"/>
              <w:szCs w:val="26"/>
              <w:rtl/>
            </w:rPr>
            <w:t>(עציר) ואח'</w:t>
          </w:r>
        </w:p>
        <w:p w:rsidR="00260E2D" w:rsidRPr="005B0BAC" w:rsidRDefault="005839BC" w:rsidP="005B0BAC">
          <w:pPr>
            <w:spacing w:after="0" w:line="240" w:lineRule="auto"/>
            <w:rPr>
              <w:rFonts w:ascii="Times New Roman" w:eastAsia="Times New Roman" w:hAnsi="Times New Roman" w:cs="David"/>
              <w:b/>
              <w:bCs/>
              <w:sz w:val="2"/>
              <w:szCs w:val="2"/>
              <w:rtl/>
            </w:rPr>
          </w:pPr>
        </w:p>
        <w:p w:rsidR="00260E2D" w:rsidRPr="005B0BAC" w:rsidRDefault="0076512E" w:rsidP="005B0BAC">
          <w:pPr>
            <w:spacing w:after="0" w:line="240" w:lineRule="auto"/>
            <w:rPr>
              <w:rFonts w:ascii="Times New Roman" w:eastAsia="Times New Roman" w:hAnsi="Times New Roman" w:cs="David"/>
              <w:sz w:val="20"/>
              <w:szCs w:val="20"/>
              <w:rtl/>
            </w:rPr>
          </w:pPr>
          <w:r w:rsidRPr="005B0BAC">
            <w:rPr>
              <w:rFonts w:ascii="Times New Roman" w:eastAsia="Times New Roman" w:hAnsi="Times New Roman" w:cs="David"/>
              <w:sz w:val="24"/>
              <w:szCs w:val="24"/>
              <w:rtl/>
            </w:rPr>
            <w:t xml:space="preserve">                           </w:t>
          </w:r>
          <w:r w:rsidRPr="005B0BAC">
            <w:rPr>
              <w:rFonts w:ascii="Times New Roman" w:eastAsia="Times New Roman" w:hAnsi="Times New Roman" w:cs="David"/>
              <w:sz w:val="20"/>
              <w:szCs w:val="20"/>
              <w:rtl/>
            </w:rPr>
            <w:t xml:space="preserve">                                       </w:t>
          </w:r>
        </w:p>
      </w:tc>
    </w:tr>
  </w:tbl>
  <w:p w:rsidR="00260E2D" w:rsidRDefault="005839BC" w:rsidP="005B0BA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B54E7"/>
    <w:multiLevelType w:val="hybridMultilevel"/>
    <w:tmpl w:val="B03EBC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8E5120"/>
    <w:multiLevelType w:val="hybridMultilevel"/>
    <w:tmpl w:val="D56415D6"/>
    <w:lvl w:ilvl="0" w:tplc="D1E2670C">
      <w:start w:val="1"/>
      <w:numFmt w:val="hebrew1"/>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nsid w:val="03BF5540"/>
    <w:multiLevelType w:val="hybridMultilevel"/>
    <w:tmpl w:val="3D10018C"/>
    <w:lvl w:ilvl="0" w:tplc="965A8838">
      <w:start w:val="1"/>
      <w:numFmt w:val="decimal"/>
      <w:lvlText w:val="%1."/>
      <w:lvlJc w:val="left"/>
      <w:pPr>
        <w:ind w:left="567" w:hanging="567"/>
      </w:pPr>
      <w:rPr>
        <w:rFonts w:hint="default"/>
      </w:rPr>
    </w:lvl>
    <w:lvl w:ilvl="1" w:tplc="44D65A56" w:tentative="1">
      <w:start w:val="1"/>
      <w:numFmt w:val="lowerLetter"/>
      <w:lvlText w:val="%2."/>
      <w:lvlJc w:val="left"/>
      <w:pPr>
        <w:ind w:left="1440" w:hanging="360"/>
      </w:pPr>
    </w:lvl>
    <w:lvl w:ilvl="2" w:tplc="F9ACDD8A" w:tentative="1">
      <w:start w:val="1"/>
      <w:numFmt w:val="lowerRoman"/>
      <w:lvlText w:val="%3."/>
      <w:lvlJc w:val="right"/>
      <w:pPr>
        <w:ind w:left="2160" w:hanging="180"/>
      </w:pPr>
    </w:lvl>
    <w:lvl w:ilvl="3" w:tplc="992EF370" w:tentative="1">
      <w:start w:val="1"/>
      <w:numFmt w:val="decimal"/>
      <w:lvlText w:val="%4."/>
      <w:lvlJc w:val="left"/>
      <w:pPr>
        <w:ind w:left="2880" w:hanging="360"/>
      </w:pPr>
    </w:lvl>
    <w:lvl w:ilvl="4" w:tplc="939EA274" w:tentative="1">
      <w:start w:val="1"/>
      <w:numFmt w:val="lowerLetter"/>
      <w:lvlText w:val="%5."/>
      <w:lvlJc w:val="left"/>
      <w:pPr>
        <w:ind w:left="3600" w:hanging="360"/>
      </w:pPr>
    </w:lvl>
    <w:lvl w:ilvl="5" w:tplc="DD382C68" w:tentative="1">
      <w:start w:val="1"/>
      <w:numFmt w:val="lowerRoman"/>
      <w:lvlText w:val="%6."/>
      <w:lvlJc w:val="right"/>
      <w:pPr>
        <w:ind w:left="4320" w:hanging="180"/>
      </w:pPr>
    </w:lvl>
    <w:lvl w:ilvl="6" w:tplc="F182A662" w:tentative="1">
      <w:start w:val="1"/>
      <w:numFmt w:val="decimal"/>
      <w:lvlText w:val="%7."/>
      <w:lvlJc w:val="left"/>
      <w:pPr>
        <w:ind w:left="5040" w:hanging="360"/>
      </w:pPr>
    </w:lvl>
    <w:lvl w:ilvl="7" w:tplc="A08E1156" w:tentative="1">
      <w:start w:val="1"/>
      <w:numFmt w:val="lowerLetter"/>
      <w:lvlText w:val="%8."/>
      <w:lvlJc w:val="left"/>
      <w:pPr>
        <w:ind w:left="5760" w:hanging="360"/>
      </w:pPr>
    </w:lvl>
    <w:lvl w:ilvl="8" w:tplc="7D76A186" w:tentative="1">
      <w:start w:val="1"/>
      <w:numFmt w:val="lowerRoman"/>
      <w:lvlText w:val="%9."/>
      <w:lvlJc w:val="right"/>
      <w:pPr>
        <w:ind w:left="6480" w:hanging="180"/>
      </w:pPr>
    </w:lvl>
  </w:abstractNum>
  <w:abstractNum w:abstractNumId="3">
    <w:nsid w:val="0B171054"/>
    <w:multiLevelType w:val="hybridMultilevel"/>
    <w:tmpl w:val="5E4CE158"/>
    <w:lvl w:ilvl="0" w:tplc="C9DEC34E">
      <w:start w:val="1"/>
      <w:numFmt w:val="hebrew1"/>
      <w:suff w:val="space"/>
      <w:lvlText w:val="%1."/>
      <w:lvlJc w:val="left"/>
      <w:pPr>
        <w:ind w:left="0" w:firstLine="0"/>
      </w:pPr>
      <w:rPr>
        <w:rFonts w:hint="default"/>
      </w:rPr>
    </w:lvl>
    <w:lvl w:ilvl="1" w:tplc="04241FBC" w:tentative="1">
      <w:start w:val="1"/>
      <w:numFmt w:val="lowerLetter"/>
      <w:lvlText w:val="%2."/>
      <w:lvlJc w:val="left"/>
      <w:pPr>
        <w:ind w:left="1440" w:hanging="360"/>
      </w:pPr>
    </w:lvl>
    <w:lvl w:ilvl="2" w:tplc="F0CA044E" w:tentative="1">
      <w:start w:val="1"/>
      <w:numFmt w:val="lowerRoman"/>
      <w:lvlText w:val="%3."/>
      <w:lvlJc w:val="right"/>
      <w:pPr>
        <w:ind w:left="2160" w:hanging="180"/>
      </w:pPr>
    </w:lvl>
    <w:lvl w:ilvl="3" w:tplc="887438CC" w:tentative="1">
      <w:start w:val="1"/>
      <w:numFmt w:val="decimal"/>
      <w:lvlText w:val="%4."/>
      <w:lvlJc w:val="left"/>
      <w:pPr>
        <w:ind w:left="2880" w:hanging="360"/>
      </w:pPr>
    </w:lvl>
    <w:lvl w:ilvl="4" w:tplc="58123456" w:tentative="1">
      <w:start w:val="1"/>
      <w:numFmt w:val="lowerLetter"/>
      <w:lvlText w:val="%5."/>
      <w:lvlJc w:val="left"/>
      <w:pPr>
        <w:ind w:left="3600" w:hanging="360"/>
      </w:pPr>
    </w:lvl>
    <w:lvl w:ilvl="5" w:tplc="36000DAC" w:tentative="1">
      <w:start w:val="1"/>
      <w:numFmt w:val="lowerRoman"/>
      <w:lvlText w:val="%6."/>
      <w:lvlJc w:val="right"/>
      <w:pPr>
        <w:ind w:left="4320" w:hanging="180"/>
      </w:pPr>
    </w:lvl>
    <w:lvl w:ilvl="6" w:tplc="043260A6" w:tentative="1">
      <w:start w:val="1"/>
      <w:numFmt w:val="decimal"/>
      <w:lvlText w:val="%7."/>
      <w:lvlJc w:val="left"/>
      <w:pPr>
        <w:ind w:left="5040" w:hanging="360"/>
      </w:pPr>
    </w:lvl>
    <w:lvl w:ilvl="7" w:tplc="304C20E8" w:tentative="1">
      <w:start w:val="1"/>
      <w:numFmt w:val="lowerLetter"/>
      <w:lvlText w:val="%8."/>
      <w:lvlJc w:val="left"/>
      <w:pPr>
        <w:ind w:left="5760" w:hanging="360"/>
      </w:pPr>
    </w:lvl>
    <w:lvl w:ilvl="8" w:tplc="CE98133E" w:tentative="1">
      <w:start w:val="1"/>
      <w:numFmt w:val="lowerRoman"/>
      <w:lvlText w:val="%9."/>
      <w:lvlJc w:val="right"/>
      <w:pPr>
        <w:ind w:left="6480" w:hanging="180"/>
      </w:pPr>
    </w:lvl>
  </w:abstractNum>
  <w:abstractNum w:abstractNumId="4">
    <w:nsid w:val="0E20106B"/>
    <w:multiLevelType w:val="hybridMultilevel"/>
    <w:tmpl w:val="7A4428CC"/>
    <w:lvl w:ilvl="0" w:tplc="777AE66C">
      <w:start w:val="1"/>
      <w:numFmt w:val="decimal"/>
      <w:lvlText w:val="%1."/>
      <w:lvlJc w:val="left"/>
      <w:pPr>
        <w:ind w:left="567" w:hanging="567"/>
      </w:pPr>
      <w:rPr>
        <w:rFonts w:hint="default"/>
        <w:b w:val="0"/>
        <w:bCs w:val="0"/>
        <w:sz w:val="24"/>
        <w:szCs w:val="24"/>
        <w:lang w:bidi="he-IL"/>
      </w:rPr>
    </w:lvl>
    <w:lvl w:ilvl="1" w:tplc="944E11D6" w:tentative="1">
      <w:start w:val="1"/>
      <w:numFmt w:val="lowerLetter"/>
      <w:lvlText w:val="%2."/>
      <w:lvlJc w:val="left"/>
      <w:pPr>
        <w:ind w:left="1440" w:hanging="360"/>
      </w:pPr>
    </w:lvl>
    <w:lvl w:ilvl="2" w:tplc="A59248DC" w:tentative="1">
      <w:start w:val="1"/>
      <w:numFmt w:val="lowerRoman"/>
      <w:lvlText w:val="%3."/>
      <w:lvlJc w:val="right"/>
      <w:pPr>
        <w:ind w:left="2160" w:hanging="180"/>
      </w:pPr>
    </w:lvl>
    <w:lvl w:ilvl="3" w:tplc="AC42EE80" w:tentative="1">
      <w:start w:val="1"/>
      <w:numFmt w:val="decimal"/>
      <w:lvlText w:val="%4."/>
      <w:lvlJc w:val="left"/>
      <w:pPr>
        <w:ind w:left="2880" w:hanging="360"/>
      </w:pPr>
    </w:lvl>
    <w:lvl w:ilvl="4" w:tplc="678E358E" w:tentative="1">
      <w:start w:val="1"/>
      <w:numFmt w:val="lowerLetter"/>
      <w:lvlText w:val="%5."/>
      <w:lvlJc w:val="left"/>
      <w:pPr>
        <w:ind w:left="3600" w:hanging="360"/>
      </w:pPr>
    </w:lvl>
    <w:lvl w:ilvl="5" w:tplc="09988448" w:tentative="1">
      <w:start w:val="1"/>
      <w:numFmt w:val="lowerRoman"/>
      <w:lvlText w:val="%6."/>
      <w:lvlJc w:val="right"/>
      <w:pPr>
        <w:ind w:left="4320" w:hanging="180"/>
      </w:pPr>
    </w:lvl>
    <w:lvl w:ilvl="6" w:tplc="3A22BD76" w:tentative="1">
      <w:start w:val="1"/>
      <w:numFmt w:val="decimal"/>
      <w:lvlText w:val="%7."/>
      <w:lvlJc w:val="left"/>
      <w:pPr>
        <w:ind w:left="5040" w:hanging="360"/>
      </w:pPr>
    </w:lvl>
    <w:lvl w:ilvl="7" w:tplc="0836538A" w:tentative="1">
      <w:start w:val="1"/>
      <w:numFmt w:val="lowerLetter"/>
      <w:lvlText w:val="%8."/>
      <w:lvlJc w:val="left"/>
      <w:pPr>
        <w:ind w:left="5760" w:hanging="360"/>
      </w:pPr>
    </w:lvl>
    <w:lvl w:ilvl="8" w:tplc="2B526CE6" w:tentative="1">
      <w:start w:val="1"/>
      <w:numFmt w:val="lowerRoman"/>
      <w:lvlText w:val="%9."/>
      <w:lvlJc w:val="right"/>
      <w:pPr>
        <w:ind w:left="6480" w:hanging="180"/>
      </w:pPr>
    </w:lvl>
  </w:abstractNum>
  <w:abstractNum w:abstractNumId="5">
    <w:nsid w:val="17537C3A"/>
    <w:multiLevelType w:val="hybridMultilevel"/>
    <w:tmpl w:val="5E4CE158"/>
    <w:lvl w:ilvl="0" w:tplc="0D9C5490">
      <w:start w:val="1"/>
      <w:numFmt w:val="hebrew1"/>
      <w:suff w:val="space"/>
      <w:lvlText w:val="%1."/>
      <w:lvlJc w:val="left"/>
      <w:pPr>
        <w:ind w:left="0" w:firstLine="0"/>
      </w:pPr>
      <w:rPr>
        <w:rFonts w:hint="default"/>
      </w:rPr>
    </w:lvl>
    <w:lvl w:ilvl="1" w:tplc="9CE224E4" w:tentative="1">
      <w:start w:val="1"/>
      <w:numFmt w:val="lowerLetter"/>
      <w:lvlText w:val="%2."/>
      <w:lvlJc w:val="left"/>
      <w:pPr>
        <w:ind w:left="1440" w:hanging="360"/>
      </w:pPr>
    </w:lvl>
    <w:lvl w:ilvl="2" w:tplc="A11AF7C8" w:tentative="1">
      <w:start w:val="1"/>
      <w:numFmt w:val="lowerRoman"/>
      <w:lvlText w:val="%3."/>
      <w:lvlJc w:val="right"/>
      <w:pPr>
        <w:ind w:left="2160" w:hanging="180"/>
      </w:pPr>
    </w:lvl>
    <w:lvl w:ilvl="3" w:tplc="620A9E4C" w:tentative="1">
      <w:start w:val="1"/>
      <w:numFmt w:val="decimal"/>
      <w:lvlText w:val="%4."/>
      <w:lvlJc w:val="left"/>
      <w:pPr>
        <w:ind w:left="2880" w:hanging="360"/>
      </w:pPr>
    </w:lvl>
    <w:lvl w:ilvl="4" w:tplc="500C47E8" w:tentative="1">
      <w:start w:val="1"/>
      <w:numFmt w:val="lowerLetter"/>
      <w:lvlText w:val="%5."/>
      <w:lvlJc w:val="left"/>
      <w:pPr>
        <w:ind w:left="3600" w:hanging="360"/>
      </w:pPr>
    </w:lvl>
    <w:lvl w:ilvl="5" w:tplc="1BBE9BC0" w:tentative="1">
      <w:start w:val="1"/>
      <w:numFmt w:val="lowerRoman"/>
      <w:lvlText w:val="%6."/>
      <w:lvlJc w:val="right"/>
      <w:pPr>
        <w:ind w:left="4320" w:hanging="180"/>
      </w:pPr>
    </w:lvl>
    <w:lvl w:ilvl="6" w:tplc="7E2E52A6" w:tentative="1">
      <w:start w:val="1"/>
      <w:numFmt w:val="decimal"/>
      <w:lvlText w:val="%7."/>
      <w:lvlJc w:val="left"/>
      <w:pPr>
        <w:ind w:left="5040" w:hanging="360"/>
      </w:pPr>
    </w:lvl>
    <w:lvl w:ilvl="7" w:tplc="24842D20" w:tentative="1">
      <w:start w:val="1"/>
      <w:numFmt w:val="lowerLetter"/>
      <w:lvlText w:val="%8."/>
      <w:lvlJc w:val="left"/>
      <w:pPr>
        <w:ind w:left="5760" w:hanging="360"/>
      </w:pPr>
    </w:lvl>
    <w:lvl w:ilvl="8" w:tplc="B31266AE" w:tentative="1">
      <w:start w:val="1"/>
      <w:numFmt w:val="lowerRoman"/>
      <w:lvlText w:val="%9."/>
      <w:lvlJc w:val="right"/>
      <w:pPr>
        <w:ind w:left="6480" w:hanging="180"/>
      </w:pPr>
    </w:lvl>
  </w:abstractNum>
  <w:abstractNum w:abstractNumId="6">
    <w:nsid w:val="1D8F1B60"/>
    <w:multiLevelType w:val="hybridMultilevel"/>
    <w:tmpl w:val="F7E22DAE"/>
    <w:lvl w:ilvl="0" w:tplc="36C81DB0">
      <w:start w:val="1"/>
      <w:numFmt w:val="hebrew1"/>
      <w:suff w:val="space"/>
      <w:lvlText w:val="%1."/>
      <w:lvlJc w:val="left"/>
      <w:pPr>
        <w:ind w:left="0" w:firstLine="0"/>
      </w:pPr>
      <w:rPr>
        <w:rFonts w:hint="default"/>
      </w:rPr>
    </w:lvl>
    <w:lvl w:ilvl="1" w:tplc="3F68FF5E" w:tentative="1">
      <w:start w:val="1"/>
      <w:numFmt w:val="lowerLetter"/>
      <w:lvlText w:val="%2."/>
      <w:lvlJc w:val="left"/>
      <w:pPr>
        <w:ind w:left="1440" w:hanging="360"/>
      </w:pPr>
    </w:lvl>
    <w:lvl w:ilvl="2" w:tplc="59044D32" w:tentative="1">
      <w:start w:val="1"/>
      <w:numFmt w:val="lowerRoman"/>
      <w:lvlText w:val="%3."/>
      <w:lvlJc w:val="right"/>
      <w:pPr>
        <w:ind w:left="2160" w:hanging="180"/>
      </w:pPr>
    </w:lvl>
    <w:lvl w:ilvl="3" w:tplc="10F61C6E" w:tentative="1">
      <w:start w:val="1"/>
      <w:numFmt w:val="decimal"/>
      <w:lvlText w:val="%4."/>
      <w:lvlJc w:val="left"/>
      <w:pPr>
        <w:ind w:left="2880" w:hanging="360"/>
      </w:pPr>
    </w:lvl>
    <w:lvl w:ilvl="4" w:tplc="06BEEDAE" w:tentative="1">
      <w:start w:val="1"/>
      <w:numFmt w:val="lowerLetter"/>
      <w:lvlText w:val="%5."/>
      <w:lvlJc w:val="left"/>
      <w:pPr>
        <w:ind w:left="3600" w:hanging="360"/>
      </w:pPr>
    </w:lvl>
    <w:lvl w:ilvl="5" w:tplc="CA78FDFE" w:tentative="1">
      <w:start w:val="1"/>
      <w:numFmt w:val="lowerRoman"/>
      <w:lvlText w:val="%6."/>
      <w:lvlJc w:val="right"/>
      <w:pPr>
        <w:ind w:left="4320" w:hanging="180"/>
      </w:pPr>
    </w:lvl>
    <w:lvl w:ilvl="6" w:tplc="990E4B3C" w:tentative="1">
      <w:start w:val="1"/>
      <w:numFmt w:val="decimal"/>
      <w:lvlText w:val="%7."/>
      <w:lvlJc w:val="left"/>
      <w:pPr>
        <w:ind w:left="5040" w:hanging="360"/>
      </w:pPr>
    </w:lvl>
    <w:lvl w:ilvl="7" w:tplc="902E96FE" w:tentative="1">
      <w:start w:val="1"/>
      <w:numFmt w:val="lowerLetter"/>
      <w:lvlText w:val="%8."/>
      <w:lvlJc w:val="left"/>
      <w:pPr>
        <w:ind w:left="5760" w:hanging="360"/>
      </w:pPr>
    </w:lvl>
    <w:lvl w:ilvl="8" w:tplc="FB1CEDCE" w:tentative="1">
      <w:start w:val="1"/>
      <w:numFmt w:val="lowerRoman"/>
      <w:lvlText w:val="%9."/>
      <w:lvlJc w:val="right"/>
      <w:pPr>
        <w:ind w:left="6480" w:hanging="180"/>
      </w:pPr>
    </w:lvl>
  </w:abstractNum>
  <w:abstractNum w:abstractNumId="7">
    <w:nsid w:val="23BF076A"/>
    <w:multiLevelType w:val="hybridMultilevel"/>
    <w:tmpl w:val="F7E22DAE"/>
    <w:lvl w:ilvl="0" w:tplc="5E429840">
      <w:start w:val="1"/>
      <w:numFmt w:val="hebrew1"/>
      <w:suff w:val="space"/>
      <w:lvlText w:val="%1."/>
      <w:lvlJc w:val="left"/>
      <w:pPr>
        <w:ind w:left="0" w:firstLine="0"/>
      </w:pPr>
      <w:rPr>
        <w:rFonts w:hint="default"/>
      </w:rPr>
    </w:lvl>
    <w:lvl w:ilvl="1" w:tplc="622A506E" w:tentative="1">
      <w:start w:val="1"/>
      <w:numFmt w:val="lowerLetter"/>
      <w:lvlText w:val="%2."/>
      <w:lvlJc w:val="left"/>
      <w:pPr>
        <w:ind w:left="1440" w:hanging="360"/>
      </w:pPr>
    </w:lvl>
    <w:lvl w:ilvl="2" w:tplc="0C72E14E" w:tentative="1">
      <w:start w:val="1"/>
      <w:numFmt w:val="lowerRoman"/>
      <w:lvlText w:val="%3."/>
      <w:lvlJc w:val="right"/>
      <w:pPr>
        <w:ind w:left="2160" w:hanging="180"/>
      </w:pPr>
    </w:lvl>
    <w:lvl w:ilvl="3" w:tplc="024A308C" w:tentative="1">
      <w:start w:val="1"/>
      <w:numFmt w:val="decimal"/>
      <w:lvlText w:val="%4."/>
      <w:lvlJc w:val="left"/>
      <w:pPr>
        <w:ind w:left="2880" w:hanging="360"/>
      </w:pPr>
    </w:lvl>
    <w:lvl w:ilvl="4" w:tplc="B3A8AEF4" w:tentative="1">
      <w:start w:val="1"/>
      <w:numFmt w:val="lowerLetter"/>
      <w:lvlText w:val="%5."/>
      <w:lvlJc w:val="left"/>
      <w:pPr>
        <w:ind w:left="3600" w:hanging="360"/>
      </w:pPr>
    </w:lvl>
    <w:lvl w:ilvl="5" w:tplc="6A467C02" w:tentative="1">
      <w:start w:val="1"/>
      <w:numFmt w:val="lowerRoman"/>
      <w:lvlText w:val="%6."/>
      <w:lvlJc w:val="right"/>
      <w:pPr>
        <w:ind w:left="4320" w:hanging="180"/>
      </w:pPr>
    </w:lvl>
    <w:lvl w:ilvl="6" w:tplc="FDE875EE" w:tentative="1">
      <w:start w:val="1"/>
      <w:numFmt w:val="decimal"/>
      <w:lvlText w:val="%7."/>
      <w:lvlJc w:val="left"/>
      <w:pPr>
        <w:ind w:left="5040" w:hanging="360"/>
      </w:pPr>
    </w:lvl>
    <w:lvl w:ilvl="7" w:tplc="9A5067A0" w:tentative="1">
      <w:start w:val="1"/>
      <w:numFmt w:val="lowerLetter"/>
      <w:lvlText w:val="%8."/>
      <w:lvlJc w:val="left"/>
      <w:pPr>
        <w:ind w:left="5760" w:hanging="360"/>
      </w:pPr>
    </w:lvl>
    <w:lvl w:ilvl="8" w:tplc="D3D2AF56" w:tentative="1">
      <w:start w:val="1"/>
      <w:numFmt w:val="lowerRoman"/>
      <w:lvlText w:val="%9."/>
      <w:lvlJc w:val="right"/>
      <w:pPr>
        <w:ind w:left="6480" w:hanging="180"/>
      </w:pPr>
    </w:lvl>
  </w:abstractNum>
  <w:abstractNum w:abstractNumId="8">
    <w:nsid w:val="32A06E96"/>
    <w:multiLevelType w:val="hybridMultilevel"/>
    <w:tmpl w:val="1CDC8F20"/>
    <w:lvl w:ilvl="0" w:tplc="49E2C660">
      <w:start w:val="1"/>
      <w:numFmt w:val="hebrew1"/>
      <w:lvlText w:val="%1."/>
      <w:lvlJc w:val="left"/>
      <w:pPr>
        <w:ind w:left="0" w:firstLine="0"/>
      </w:pPr>
      <w:rPr>
        <w:rFonts w:hint="default"/>
      </w:rPr>
    </w:lvl>
    <w:lvl w:ilvl="1" w:tplc="CB7E3FB6" w:tentative="1">
      <w:start w:val="1"/>
      <w:numFmt w:val="lowerLetter"/>
      <w:lvlText w:val="%2."/>
      <w:lvlJc w:val="left"/>
      <w:pPr>
        <w:ind w:left="1440" w:hanging="360"/>
      </w:pPr>
    </w:lvl>
    <w:lvl w:ilvl="2" w:tplc="A44EAE6A" w:tentative="1">
      <w:start w:val="1"/>
      <w:numFmt w:val="lowerRoman"/>
      <w:lvlText w:val="%3."/>
      <w:lvlJc w:val="right"/>
      <w:pPr>
        <w:ind w:left="2160" w:hanging="180"/>
      </w:pPr>
    </w:lvl>
    <w:lvl w:ilvl="3" w:tplc="8F342304" w:tentative="1">
      <w:start w:val="1"/>
      <w:numFmt w:val="decimal"/>
      <w:lvlText w:val="%4."/>
      <w:lvlJc w:val="left"/>
      <w:pPr>
        <w:ind w:left="2880" w:hanging="360"/>
      </w:pPr>
    </w:lvl>
    <w:lvl w:ilvl="4" w:tplc="921EFF32" w:tentative="1">
      <w:start w:val="1"/>
      <w:numFmt w:val="lowerLetter"/>
      <w:lvlText w:val="%5."/>
      <w:lvlJc w:val="left"/>
      <w:pPr>
        <w:ind w:left="3600" w:hanging="360"/>
      </w:pPr>
    </w:lvl>
    <w:lvl w:ilvl="5" w:tplc="CFC09A2A" w:tentative="1">
      <w:start w:val="1"/>
      <w:numFmt w:val="lowerRoman"/>
      <w:lvlText w:val="%6."/>
      <w:lvlJc w:val="right"/>
      <w:pPr>
        <w:ind w:left="4320" w:hanging="180"/>
      </w:pPr>
    </w:lvl>
    <w:lvl w:ilvl="6" w:tplc="E850D800" w:tentative="1">
      <w:start w:val="1"/>
      <w:numFmt w:val="decimal"/>
      <w:lvlText w:val="%7."/>
      <w:lvlJc w:val="left"/>
      <w:pPr>
        <w:ind w:left="5040" w:hanging="360"/>
      </w:pPr>
    </w:lvl>
    <w:lvl w:ilvl="7" w:tplc="2124AD1C" w:tentative="1">
      <w:start w:val="1"/>
      <w:numFmt w:val="lowerLetter"/>
      <w:lvlText w:val="%8."/>
      <w:lvlJc w:val="left"/>
      <w:pPr>
        <w:ind w:left="5760" w:hanging="360"/>
      </w:pPr>
    </w:lvl>
    <w:lvl w:ilvl="8" w:tplc="BCE06B00" w:tentative="1">
      <w:start w:val="1"/>
      <w:numFmt w:val="lowerRoman"/>
      <w:lvlText w:val="%9."/>
      <w:lvlJc w:val="right"/>
      <w:pPr>
        <w:ind w:left="6480" w:hanging="180"/>
      </w:pPr>
    </w:lvl>
  </w:abstractNum>
  <w:abstractNum w:abstractNumId="9">
    <w:nsid w:val="3D4540F8"/>
    <w:multiLevelType w:val="hybridMultilevel"/>
    <w:tmpl w:val="3500CDF8"/>
    <w:lvl w:ilvl="0" w:tplc="BF1E9C5E">
      <w:start w:val="1"/>
      <w:numFmt w:val="hebrew1"/>
      <w:lvlText w:val="%1."/>
      <w:lvlJc w:val="left"/>
      <w:pPr>
        <w:ind w:left="0" w:firstLine="0"/>
      </w:pPr>
      <w:rPr>
        <w:rFonts w:hint="default"/>
      </w:rPr>
    </w:lvl>
    <w:lvl w:ilvl="1" w:tplc="73BC667C" w:tentative="1">
      <w:start w:val="1"/>
      <w:numFmt w:val="lowerLetter"/>
      <w:lvlText w:val="%2."/>
      <w:lvlJc w:val="left"/>
      <w:pPr>
        <w:ind w:left="1440" w:hanging="360"/>
      </w:pPr>
    </w:lvl>
    <w:lvl w:ilvl="2" w:tplc="3B78F496" w:tentative="1">
      <w:start w:val="1"/>
      <w:numFmt w:val="lowerRoman"/>
      <w:lvlText w:val="%3."/>
      <w:lvlJc w:val="right"/>
      <w:pPr>
        <w:ind w:left="2160" w:hanging="180"/>
      </w:pPr>
    </w:lvl>
    <w:lvl w:ilvl="3" w:tplc="EA265DCE" w:tentative="1">
      <w:start w:val="1"/>
      <w:numFmt w:val="decimal"/>
      <w:lvlText w:val="%4."/>
      <w:lvlJc w:val="left"/>
      <w:pPr>
        <w:ind w:left="2880" w:hanging="360"/>
      </w:pPr>
    </w:lvl>
    <w:lvl w:ilvl="4" w:tplc="2334D7C8" w:tentative="1">
      <w:start w:val="1"/>
      <w:numFmt w:val="lowerLetter"/>
      <w:lvlText w:val="%5."/>
      <w:lvlJc w:val="left"/>
      <w:pPr>
        <w:ind w:left="3600" w:hanging="360"/>
      </w:pPr>
    </w:lvl>
    <w:lvl w:ilvl="5" w:tplc="A798F904" w:tentative="1">
      <w:start w:val="1"/>
      <w:numFmt w:val="lowerRoman"/>
      <w:lvlText w:val="%6."/>
      <w:lvlJc w:val="right"/>
      <w:pPr>
        <w:ind w:left="4320" w:hanging="180"/>
      </w:pPr>
    </w:lvl>
    <w:lvl w:ilvl="6" w:tplc="C0AE6A5A" w:tentative="1">
      <w:start w:val="1"/>
      <w:numFmt w:val="decimal"/>
      <w:lvlText w:val="%7."/>
      <w:lvlJc w:val="left"/>
      <w:pPr>
        <w:ind w:left="5040" w:hanging="360"/>
      </w:pPr>
    </w:lvl>
    <w:lvl w:ilvl="7" w:tplc="69D45FF2" w:tentative="1">
      <w:start w:val="1"/>
      <w:numFmt w:val="lowerLetter"/>
      <w:lvlText w:val="%8."/>
      <w:lvlJc w:val="left"/>
      <w:pPr>
        <w:ind w:left="5760" w:hanging="360"/>
      </w:pPr>
    </w:lvl>
    <w:lvl w:ilvl="8" w:tplc="363ABA6A" w:tentative="1">
      <w:start w:val="1"/>
      <w:numFmt w:val="lowerRoman"/>
      <w:lvlText w:val="%9."/>
      <w:lvlJc w:val="right"/>
      <w:pPr>
        <w:ind w:left="6480" w:hanging="180"/>
      </w:pPr>
    </w:lvl>
  </w:abstractNum>
  <w:abstractNum w:abstractNumId="10">
    <w:nsid w:val="4B925706"/>
    <w:multiLevelType w:val="hybridMultilevel"/>
    <w:tmpl w:val="5BF65D44"/>
    <w:lvl w:ilvl="0" w:tplc="B74EB164">
      <w:start w:val="1"/>
      <w:numFmt w:val="hebrew1"/>
      <w:lvlText w:val="%1."/>
      <w:lvlJc w:val="center"/>
      <w:pPr>
        <w:ind w:left="1134" w:hanging="567"/>
      </w:pPr>
      <w:rPr>
        <w:rFonts w:hint="default"/>
        <w:b w:val="0"/>
        <w:bCs w:val="0"/>
      </w:rPr>
    </w:lvl>
    <w:lvl w:ilvl="1" w:tplc="C9AEA330" w:tentative="1">
      <w:start w:val="1"/>
      <w:numFmt w:val="lowerLetter"/>
      <w:lvlText w:val="%2."/>
      <w:lvlJc w:val="left"/>
      <w:pPr>
        <w:ind w:left="1440" w:hanging="360"/>
      </w:pPr>
    </w:lvl>
    <w:lvl w:ilvl="2" w:tplc="0F3CD60A" w:tentative="1">
      <w:start w:val="1"/>
      <w:numFmt w:val="lowerRoman"/>
      <w:lvlText w:val="%3."/>
      <w:lvlJc w:val="right"/>
      <w:pPr>
        <w:ind w:left="2160" w:hanging="180"/>
      </w:pPr>
    </w:lvl>
    <w:lvl w:ilvl="3" w:tplc="E294C7C8" w:tentative="1">
      <w:start w:val="1"/>
      <w:numFmt w:val="decimal"/>
      <w:lvlText w:val="%4."/>
      <w:lvlJc w:val="left"/>
      <w:pPr>
        <w:ind w:left="2880" w:hanging="360"/>
      </w:pPr>
    </w:lvl>
    <w:lvl w:ilvl="4" w:tplc="F8A68418" w:tentative="1">
      <w:start w:val="1"/>
      <w:numFmt w:val="lowerLetter"/>
      <w:lvlText w:val="%5."/>
      <w:lvlJc w:val="left"/>
      <w:pPr>
        <w:ind w:left="3600" w:hanging="360"/>
      </w:pPr>
    </w:lvl>
    <w:lvl w:ilvl="5" w:tplc="EE7EDD9A" w:tentative="1">
      <w:start w:val="1"/>
      <w:numFmt w:val="lowerRoman"/>
      <w:lvlText w:val="%6."/>
      <w:lvlJc w:val="right"/>
      <w:pPr>
        <w:ind w:left="4320" w:hanging="180"/>
      </w:pPr>
    </w:lvl>
    <w:lvl w:ilvl="6" w:tplc="068A5410" w:tentative="1">
      <w:start w:val="1"/>
      <w:numFmt w:val="decimal"/>
      <w:lvlText w:val="%7."/>
      <w:lvlJc w:val="left"/>
      <w:pPr>
        <w:ind w:left="5040" w:hanging="360"/>
      </w:pPr>
    </w:lvl>
    <w:lvl w:ilvl="7" w:tplc="7F4E67D4" w:tentative="1">
      <w:start w:val="1"/>
      <w:numFmt w:val="lowerLetter"/>
      <w:lvlText w:val="%8."/>
      <w:lvlJc w:val="left"/>
      <w:pPr>
        <w:ind w:left="5760" w:hanging="360"/>
      </w:pPr>
    </w:lvl>
    <w:lvl w:ilvl="8" w:tplc="A39AD7AC" w:tentative="1">
      <w:start w:val="1"/>
      <w:numFmt w:val="lowerRoman"/>
      <w:lvlText w:val="%9."/>
      <w:lvlJc w:val="right"/>
      <w:pPr>
        <w:ind w:left="6480" w:hanging="180"/>
      </w:pPr>
    </w:lvl>
  </w:abstractNum>
  <w:abstractNum w:abstractNumId="11">
    <w:nsid w:val="4EA556F0"/>
    <w:multiLevelType w:val="hybridMultilevel"/>
    <w:tmpl w:val="6FFC9512"/>
    <w:lvl w:ilvl="0" w:tplc="1B5E5EAC">
      <w:start w:val="1"/>
      <w:numFmt w:val="hebrew1"/>
      <w:suff w:val="space"/>
      <w:lvlText w:val="%1."/>
      <w:lvlJc w:val="left"/>
      <w:pPr>
        <w:ind w:left="0" w:firstLine="0"/>
      </w:pPr>
      <w:rPr>
        <w:rFonts w:hint="default"/>
      </w:rPr>
    </w:lvl>
    <w:lvl w:ilvl="1" w:tplc="6AA83D82" w:tentative="1">
      <w:start w:val="1"/>
      <w:numFmt w:val="lowerLetter"/>
      <w:lvlText w:val="%2."/>
      <w:lvlJc w:val="left"/>
      <w:pPr>
        <w:ind w:left="1440" w:hanging="360"/>
      </w:pPr>
    </w:lvl>
    <w:lvl w:ilvl="2" w:tplc="FC4EF034" w:tentative="1">
      <w:start w:val="1"/>
      <w:numFmt w:val="lowerRoman"/>
      <w:lvlText w:val="%3."/>
      <w:lvlJc w:val="right"/>
      <w:pPr>
        <w:ind w:left="2160" w:hanging="180"/>
      </w:pPr>
    </w:lvl>
    <w:lvl w:ilvl="3" w:tplc="951A9F64" w:tentative="1">
      <w:start w:val="1"/>
      <w:numFmt w:val="decimal"/>
      <w:lvlText w:val="%4."/>
      <w:lvlJc w:val="left"/>
      <w:pPr>
        <w:ind w:left="2880" w:hanging="360"/>
      </w:pPr>
    </w:lvl>
    <w:lvl w:ilvl="4" w:tplc="410A823C" w:tentative="1">
      <w:start w:val="1"/>
      <w:numFmt w:val="lowerLetter"/>
      <w:lvlText w:val="%5."/>
      <w:lvlJc w:val="left"/>
      <w:pPr>
        <w:ind w:left="3600" w:hanging="360"/>
      </w:pPr>
    </w:lvl>
    <w:lvl w:ilvl="5" w:tplc="B994144A" w:tentative="1">
      <w:start w:val="1"/>
      <w:numFmt w:val="lowerRoman"/>
      <w:lvlText w:val="%6."/>
      <w:lvlJc w:val="right"/>
      <w:pPr>
        <w:ind w:left="4320" w:hanging="180"/>
      </w:pPr>
    </w:lvl>
    <w:lvl w:ilvl="6" w:tplc="B6F096DA" w:tentative="1">
      <w:start w:val="1"/>
      <w:numFmt w:val="decimal"/>
      <w:lvlText w:val="%7."/>
      <w:lvlJc w:val="left"/>
      <w:pPr>
        <w:ind w:left="5040" w:hanging="360"/>
      </w:pPr>
    </w:lvl>
    <w:lvl w:ilvl="7" w:tplc="B7BAE0FA" w:tentative="1">
      <w:start w:val="1"/>
      <w:numFmt w:val="lowerLetter"/>
      <w:lvlText w:val="%8."/>
      <w:lvlJc w:val="left"/>
      <w:pPr>
        <w:ind w:left="5760" w:hanging="360"/>
      </w:pPr>
    </w:lvl>
    <w:lvl w:ilvl="8" w:tplc="64662A8C" w:tentative="1">
      <w:start w:val="1"/>
      <w:numFmt w:val="lowerRoman"/>
      <w:lvlText w:val="%9."/>
      <w:lvlJc w:val="right"/>
      <w:pPr>
        <w:ind w:left="6480" w:hanging="180"/>
      </w:pPr>
    </w:lvl>
  </w:abstractNum>
  <w:abstractNum w:abstractNumId="12">
    <w:nsid w:val="4EDA3AAE"/>
    <w:multiLevelType w:val="hybridMultilevel"/>
    <w:tmpl w:val="5082FEBA"/>
    <w:lvl w:ilvl="0" w:tplc="5FF23B34">
      <w:start w:val="1"/>
      <w:numFmt w:val="hebrew1"/>
      <w:lvlText w:val="%1."/>
      <w:lvlJc w:val="left"/>
      <w:pPr>
        <w:ind w:left="0" w:firstLine="0"/>
      </w:pPr>
      <w:rPr>
        <w:rFonts w:hint="default"/>
      </w:rPr>
    </w:lvl>
    <w:lvl w:ilvl="1" w:tplc="92D6975E" w:tentative="1">
      <w:start w:val="1"/>
      <w:numFmt w:val="lowerLetter"/>
      <w:lvlText w:val="%2."/>
      <w:lvlJc w:val="left"/>
      <w:pPr>
        <w:ind w:left="1440" w:hanging="360"/>
      </w:pPr>
    </w:lvl>
    <w:lvl w:ilvl="2" w:tplc="5F9E89FA" w:tentative="1">
      <w:start w:val="1"/>
      <w:numFmt w:val="lowerRoman"/>
      <w:lvlText w:val="%3."/>
      <w:lvlJc w:val="right"/>
      <w:pPr>
        <w:ind w:left="2160" w:hanging="180"/>
      </w:pPr>
    </w:lvl>
    <w:lvl w:ilvl="3" w:tplc="C8E0DBCC" w:tentative="1">
      <w:start w:val="1"/>
      <w:numFmt w:val="decimal"/>
      <w:lvlText w:val="%4."/>
      <w:lvlJc w:val="left"/>
      <w:pPr>
        <w:ind w:left="2880" w:hanging="360"/>
      </w:pPr>
    </w:lvl>
    <w:lvl w:ilvl="4" w:tplc="A1DE5848" w:tentative="1">
      <w:start w:val="1"/>
      <w:numFmt w:val="lowerLetter"/>
      <w:lvlText w:val="%5."/>
      <w:lvlJc w:val="left"/>
      <w:pPr>
        <w:ind w:left="3600" w:hanging="360"/>
      </w:pPr>
    </w:lvl>
    <w:lvl w:ilvl="5" w:tplc="2E5868A2" w:tentative="1">
      <w:start w:val="1"/>
      <w:numFmt w:val="lowerRoman"/>
      <w:lvlText w:val="%6."/>
      <w:lvlJc w:val="right"/>
      <w:pPr>
        <w:ind w:left="4320" w:hanging="180"/>
      </w:pPr>
    </w:lvl>
    <w:lvl w:ilvl="6" w:tplc="6778DC8A" w:tentative="1">
      <w:start w:val="1"/>
      <w:numFmt w:val="decimal"/>
      <w:lvlText w:val="%7."/>
      <w:lvlJc w:val="left"/>
      <w:pPr>
        <w:ind w:left="5040" w:hanging="360"/>
      </w:pPr>
    </w:lvl>
    <w:lvl w:ilvl="7" w:tplc="24F4F760" w:tentative="1">
      <w:start w:val="1"/>
      <w:numFmt w:val="lowerLetter"/>
      <w:lvlText w:val="%8."/>
      <w:lvlJc w:val="left"/>
      <w:pPr>
        <w:ind w:left="5760" w:hanging="360"/>
      </w:pPr>
    </w:lvl>
    <w:lvl w:ilvl="8" w:tplc="BF746858" w:tentative="1">
      <w:start w:val="1"/>
      <w:numFmt w:val="lowerRoman"/>
      <w:lvlText w:val="%9."/>
      <w:lvlJc w:val="right"/>
      <w:pPr>
        <w:ind w:left="6480" w:hanging="180"/>
      </w:pPr>
    </w:lvl>
  </w:abstractNum>
  <w:abstractNum w:abstractNumId="13">
    <w:nsid w:val="532031D1"/>
    <w:multiLevelType w:val="hybridMultilevel"/>
    <w:tmpl w:val="5E4CE158"/>
    <w:lvl w:ilvl="0" w:tplc="33709B4E">
      <w:start w:val="1"/>
      <w:numFmt w:val="hebrew1"/>
      <w:suff w:val="space"/>
      <w:lvlText w:val="%1."/>
      <w:lvlJc w:val="left"/>
      <w:pPr>
        <w:ind w:left="0" w:firstLine="0"/>
      </w:pPr>
      <w:rPr>
        <w:rFonts w:hint="default"/>
      </w:rPr>
    </w:lvl>
    <w:lvl w:ilvl="1" w:tplc="7A5C8504" w:tentative="1">
      <w:start w:val="1"/>
      <w:numFmt w:val="lowerLetter"/>
      <w:lvlText w:val="%2."/>
      <w:lvlJc w:val="left"/>
      <w:pPr>
        <w:ind w:left="1440" w:hanging="360"/>
      </w:pPr>
    </w:lvl>
    <w:lvl w:ilvl="2" w:tplc="8806D100" w:tentative="1">
      <w:start w:val="1"/>
      <w:numFmt w:val="lowerRoman"/>
      <w:lvlText w:val="%3."/>
      <w:lvlJc w:val="right"/>
      <w:pPr>
        <w:ind w:left="2160" w:hanging="180"/>
      </w:pPr>
    </w:lvl>
    <w:lvl w:ilvl="3" w:tplc="7DA0D6C8" w:tentative="1">
      <w:start w:val="1"/>
      <w:numFmt w:val="decimal"/>
      <w:lvlText w:val="%4."/>
      <w:lvlJc w:val="left"/>
      <w:pPr>
        <w:ind w:left="2880" w:hanging="360"/>
      </w:pPr>
    </w:lvl>
    <w:lvl w:ilvl="4" w:tplc="4C4C6378" w:tentative="1">
      <w:start w:val="1"/>
      <w:numFmt w:val="lowerLetter"/>
      <w:lvlText w:val="%5."/>
      <w:lvlJc w:val="left"/>
      <w:pPr>
        <w:ind w:left="3600" w:hanging="360"/>
      </w:pPr>
    </w:lvl>
    <w:lvl w:ilvl="5" w:tplc="897CF268" w:tentative="1">
      <w:start w:val="1"/>
      <w:numFmt w:val="lowerRoman"/>
      <w:lvlText w:val="%6."/>
      <w:lvlJc w:val="right"/>
      <w:pPr>
        <w:ind w:left="4320" w:hanging="180"/>
      </w:pPr>
    </w:lvl>
    <w:lvl w:ilvl="6" w:tplc="361C3700" w:tentative="1">
      <w:start w:val="1"/>
      <w:numFmt w:val="decimal"/>
      <w:lvlText w:val="%7."/>
      <w:lvlJc w:val="left"/>
      <w:pPr>
        <w:ind w:left="5040" w:hanging="360"/>
      </w:pPr>
    </w:lvl>
    <w:lvl w:ilvl="7" w:tplc="87D45CBC" w:tentative="1">
      <w:start w:val="1"/>
      <w:numFmt w:val="lowerLetter"/>
      <w:lvlText w:val="%8."/>
      <w:lvlJc w:val="left"/>
      <w:pPr>
        <w:ind w:left="5760" w:hanging="360"/>
      </w:pPr>
    </w:lvl>
    <w:lvl w:ilvl="8" w:tplc="F5EC23CE" w:tentative="1">
      <w:start w:val="1"/>
      <w:numFmt w:val="lowerRoman"/>
      <w:lvlText w:val="%9."/>
      <w:lvlJc w:val="right"/>
      <w:pPr>
        <w:ind w:left="6480" w:hanging="180"/>
      </w:pPr>
    </w:lvl>
  </w:abstractNum>
  <w:abstractNum w:abstractNumId="14">
    <w:nsid w:val="5B202522"/>
    <w:multiLevelType w:val="hybridMultilevel"/>
    <w:tmpl w:val="89F86A9C"/>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5">
    <w:nsid w:val="6085157E"/>
    <w:multiLevelType w:val="hybridMultilevel"/>
    <w:tmpl w:val="5082FEBA"/>
    <w:lvl w:ilvl="0" w:tplc="1452079C">
      <w:start w:val="1"/>
      <w:numFmt w:val="hebrew1"/>
      <w:lvlText w:val="%1."/>
      <w:lvlJc w:val="left"/>
      <w:pPr>
        <w:ind w:left="0" w:firstLine="0"/>
      </w:pPr>
      <w:rPr>
        <w:rFonts w:hint="default"/>
      </w:rPr>
    </w:lvl>
    <w:lvl w:ilvl="1" w:tplc="54222334" w:tentative="1">
      <w:start w:val="1"/>
      <w:numFmt w:val="lowerLetter"/>
      <w:lvlText w:val="%2."/>
      <w:lvlJc w:val="left"/>
      <w:pPr>
        <w:ind w:left="1440" w:hanging="360"/>
      </w:pPr>
    </w:lvl>
    <w:lvl w:ilvl="2" w:tplc="C3EAA110" w:tentative="1">
      <w:start w:val="1"/>
      <w:numFmt w:val="lowerRoman"/>
      <w:lvlText w:val="%3."/>
      <w:lvlJc w:val="right"/>
      <w:pPr>
        <w:ind w:left="2160" w:hanging="180"/>
      </w:pPr>
    </w:lvl>
    <w:lvl w:ilvl="3" w:tplc="4C8E320E" w:tentative="1">
      <w:start w:val="1"/>
      <w:numFmt w:val="decimal"/>
      <w:lvlText w:val="%4."/>
      <w:lvlJc w:val="left"/>
      <w:pPr>
        <w:ind w:left="2880" w:hanging="360"/>
      </w:pPr>
    </w:lvl>
    <w:lvl w:ilvl="4" w:tplc="BB3462F0" w:tentative="1">
      <w:start w:val="1"/>
      <w:numFmt w:val="lowerLetter"/>
      <w:lvlText w:val="%5."/>
      <w:lvlJc w:val="left"/>
      <w:pPr>
        <w:ind w:left="3600" w:hanging="360"/>
      </w:pPr>
    </w:lvl>
    <w:lvl w:ilvl="5" w:tplc="00307BC6" w:tentative="1">
      <w:start w:val="1"/>
      <w:numFmt w:val="lowerRoman"/>
      <w:lvlText w:val="%6."/>
      <w:lvlJc w:val="right"/>
      <w:pPr>
        <w:ind w:left="4320" w:hanging="180"/>
      </w:pPr>
    </w:lvl>
    <w:lvl w:ilvl="6" w:tplc="D2E8952A" w:tentative="1">
      <w:start w:val="1"/>
      <w:numFmt w:val="decimal"/>
      <w:lvlText w:val="%7."/>
      <w:lvlJc w:val="left"/>
      <w:pPr>
        <w:ind w:left="5040" w:hanging="360"/>
      </w:pPr>
    </w:lvl>
    <w:lvl w:ilvl="7" w:tplc="F926B2BC" w:tentative="1">
      <w:start w:val="1"/>
      <w:numFmt w:val="lowerLetter"/>
      <w:lvlText w:val="%8."/>
      <w:lvlJc w:val="left"/>
      <w:pPr>
        <w:ind w:left="5760" w:hanging="360"/>
      </w:pPr>
    </w:lvl>
    <w:lvl w:ilvl="8" w:tplc="7D8E491E" w:tentative="1">
      <w:start w:val="1"/>
      <w:numFmt w:val="lowerRoman"/>
      <w:lvlText w:val="%9."/>
      <w:lvlJc w:val="right"/>
      <w:pPr>
        <w:ind w:left="6480" w:hanging="180"/>
      </w:pPr>
    </w:lvl>
  </w:abstractNum>
  <w:abstractNum w:abstractNumId="16">
    <w:nsid w:val="60BB38B8"/>
    <w:multiLevelType w:val="hybridMultilevel"/>
    <w:tmpl w:val="4922152C"/>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7">
    <w:nsid w:val="649904ED"/>
    <w:multiLevelType w:val="hybridMultilevel"/>
    <w:tmpl w:val="5E4CE158"/>
    <w:lvl w:ilvl="0" w:tplc="E9DC3538">
      <w:start w:val="1"/>
      <w:numFmt w:val="hebrew1"/>
      <w:suff w:val="space"/>
      <w:lvlText w:val="%1."/>
      <w:lvlJc w:val="left"/>
      <w:pPr>
        <w:ind w:left="0" w:firstLine="0"/>
      </w:pPr>
      <w:rPr>
        <w:rFonts w:hint="default"/>
      </w:rPr>
    </w:lvl>
    <w:lvl w:ilvl="1" w:tplc="324E2390" w:tentative="1">
      <w:start w:val="1"/>
      <w:numFmt w:val="lowerLetter"/>
      <w:lvlText w:val="%2."/>
      <w:lvlJc w:val="left"/>
      <w:pPr>
        <w:ind w:left="1440" w:hanging="360"/>
      </w:pPr>
    </w:lvl>
    <w:lvl w:ilvl="2" w:tplc="D33C5A4C" w:tentative="1">
      <w:start w:val="1"/>
      <w:numFmt w:val="lowerRoman"/>
      <w:lvlText w:val="%3."/>
      <w:lvlJc w:val="right"/>
      <w:pPr>
        <w:ind w:left="2160" w:hanging="180"/>
      </w:pPr>
    </w:lvl>
    <w:lvl w:ilvl="3" w:tplc="7D6CF998" w:tentative="1">
      <w:start w:val="1"/>
      <w:numFmt w:val="decimal"/>
      <w:lvlText w:val="%4."/>
      <w:lvlJc w:val="left"/>
      <w:pPr>
        <w:ind w:left="2880" w:hanging="360"/>
      </w:pPr>
    </w:lvl>
    <w:lvl w:ilvl="4" w:tplc="C91E292C" w:tentative="1">
      <w:start w:val="1"/>
      <w:numFmt w:val="lowerLetter"/>
      <w:lvlText w:val="%5."/>
      <w:lvlJc w:val="left"/>
      <w:pPr>
        <w:ind w:left="3600" w:hanging="360"/>
      </w:pPr>
    </w:lvl>
    <w:lvl w:ilvl="5" w:tplc="03F8812A" w:tentative="1">
      <w:start w:val="1"/>
      <w:numFmt w:val="lowerRoman"/>
      <w:lvlText w:val="%6."/>
      <w:lvlJc w:val="right"/>
      <w:pPr>
        <w:ind w:left="4320" w:hanging="180"/>
      </w:pPr>
    </w:lvl>
    <w:lvl w:ilvl="6" w:tplc="ADAE9232" w:tentative="1">
      <w:start w:val="1"/>
      <w:numFmt w:val="decimal"/>
      <w:lvlText w:val="%7."/>
      <w:lvlJc w:val="left"/>
      <w:pPr>
        <w:ind w:left="5040" w:hanging="360"/>
      </w:pPr>
    </w:lvl>
    <w:lvl w:ilvl="7" w:tplc="FA205340" w:tentative="1">
      <w:start w:val="1"/>
      <w:numFmt w:val="lowerLetter"/>
      <w:lvlText w:val="%8."/>
      <w:lvlJc w:val="left"/>
      <w:pPr>
        <w:ind w:left="5760" w:hanging="360"/>
      </w:pPr>
    </w:lvl>
    <w:lvl w:ilvl="8" w:tplc="279A81A0" w:tentative="1">
      <w:start w:val="1"/>
      <w:numFmt w:val="lowerRoman"/>
      <w:lvlText w:val="%9."/>
      <w:lvlJc w:val="right"/>
      <w:pPr>
        <w:ind w:left="6480" w:hanging="180"/>
      </w:pPr>
    </w:lvl>
  </w:abstractNum>
  <w:abstractNum w:abstractNumId="18">
    <w:nsid w:val="6B027531"/>
    <w:multiLevelType w:val="hybridMultilevel"/>
    <w:tmpl w:val="5082FEBA"/>
    <w:lvl w:ilvl="0" w:tplc="DAA0F010">
      <w:start w:val="1"/>
      <w:numFmt w:val="hebrew1"/>
      <w:lvlText w:val="%1."/>
      <w:lvlJc w:val="left"/>
      <w:pPr>
        <w:ind w:left="0" w:firstLine="0"/>
      </w:pPr>
      <w:rPr>
        <w:rFonts w:hint="default"/>
      </w:rPr>
    </w:lvl>
    <w:lvl w:ilvl="1" w:tplc="4BCEB6FC" w:tentative="1">
      <w:start w:val="1"/>
      <w:numFmt w:val="lowerLetter"/>
      <w:lvlText w:val="%2."/>
      <w:lvlJc w:val="left"/>
      <w:pPr>
        <w:ind w:left="1440" w:hanging="360"/>
      </w:pPr>
    </w:lvl>
    <w:lvl w:ilvl="2" w:tplc="7E9233BE" w:tentative="1">
      <w:start w:val="1"/>
      <w:numFmt w:val="lowerRoman"/>
      <w:lvlText w:val="%3."/>
      <w:lvlJc w:val="right"/>
      <w:pPr>
        <w:ind w:left="2160" w:hanging="180"/>
      </w:pPr>
    </w:lvl>
    <w:lvl w:ilvl="3" w:tplc="84F068C6" w:tentative="1">
      <w:start w:val="1"/>
      <w:numFmt w:val="decimal"/>
      <w:lvlText w:val="%4."/>
      <w:lvlJc w:val="left"/>
      <w:pPr>
        <w:ind w:left="2880" w:hanging="360"/>
      </w:pPr>
    </w:lvl>
    <w:lvl w:ilvl="4" w:tplc="D360A5AA" w:tentative="1">
      <w:start w:val="1"/>
      <w:numFmt w:val="lowerLetter"/>
      <w:lvlText w:val="%5."/>
      <w:lvlJc w:val="left"/>
      <w:pPr>
        <w:ind w:left="3600" w:hanging="360"/>
      </w:pPr>
    </w:lvl>
    <w:lvl w:ilvl="5" w:tplc="12A2405E" w:tentative="1">
      <w:start w:val="1"/>
      <w:numFmt w:val="lowerRoman"/>
      <w:lvlText w:val="%6."/>
      <w:lvlJc w:val="right"/>
      <w:pPr>
        <w:ind w:left="4320" w:hanging="180"/>
      </w:pPr>
    </w:lvl>
    <w:lvl w:ilvl="6" w:tplc="B4A249A6" w:tentative="1">
      <w:start w:val="1"/>
      <w:numFmt w:val="decimal"/>
      <w:lvlText w:val="%7."/>
      <w:lvlJc w:val="left"/>
      <w:pPr>
        <w:ind w:left="5040" w:hanging="360"/>
      </w:pPr>
    </w:lvl>
    <w:lvl w:ilvl="7" w:tplc="F872C014" w:tentative="1">
      <w:start w:val="1"/>
      <w:numFmt w:val="lowerLetter"/>
      <w:lvlText w:val="%8."/>
      <w:lvlJc w:val="left"/>
      <w:pPr>
        <w:ind w:left="5760" w:hanging="360"/>
      </w:pPr>
    </w:lvl>
    <w:lvl w:ilvl="8" w:tplc="442E082C" w:tentative="1">
      <w:start w:val="1"/>
      <w:numFmt w:val="lowerRoman"/>
      <w:lvlText w:val="%9."/>
      <w:lvlJc w:val="right"/>
      <w:pPr>
        <w:ind w:left="6480" w:hanging="180"/>
      </w:pPr>
    </w:lvl>
  </w:abstractNum>
  <w:abstractNum w:abstractNumId="19">
    <w:nsid w:val="6C7B67BE"/>
    <w:multiLevelType w:val="hybridMultilevel"/>
    <w:tmpl w:val="5A943DA8"/>
    <w:lvl w:ilvl="0" w:tplc="93DE0E40">
      <w:start w:val="1"/>
      <w:numFmt w:val="hebrew1"/>
      <w:lvlText w:val="%1."/>
      <w:lvlJc w:val="left"/>
      <w:pPr>
        <w:ind w:left="0" w:firstLine="0"/>
      </w:pPr>
      <w:rPr>
        <w:rFonts w:hint="default"/>
      </w:rPr>
    </w:lvl>
    <w:lvl w:ilvl="1" w:tplc="EDB840B6">
      <w:start w:val="1"/>
      <w:numFmt w:val="lowerLetter"/>
      <w:lvlText w:val="%2."/>
      <w:lvlJc w:val="left"/>
      <w:pPr>
        <w:ind w:left="1440" w:hanging="360"/>
      </w:pPr>
    </w:lvl>
    <w:lvl w:ilvl="2" w:tplc="D5EEBB3E" w:tentative="1">
      <w:start w:val="1"/>
      <w:numFmt w:val="lowerRoman"/>
      <w:lvlText w:val="%3."/>
      <w:lvlJc w:val="right"/>
      <w:pPr>
        <w:ind w:left="2160" w:hanging="180"/>
      </w:pPr>
    </w:lvl>
    <w:lvl w:ilvl="3" w:tplc="EC480D5C" w:tentative="1">
      <w:start w:val="1"/>
      <w:numFmt w:val="decimal"/>
      <w:lvlText w:val="%4."/>
      <w:lvlJc w:val="left"/>
      <w:pPr>
        <w:ind w:left="2880" w:hanging="360"/>
      </w:pPr>
    </w:lvl>
    <w:lvl w:ilvl="4" w:tplc="D0144408" w:tentative="1">
      <w:start w:val="1"/>
      <w:numFmt w:val="lowerLetter"/>
      <w:lvlText w:val="%5."/>
      <w:lvlJc w:val="left"/>
      <w:pPr>
        <w:ind w:left="3600" w:hanging="360"/>
      </w:pPr>
    </w:lvl>
    <w:lvl w:ilvl="5" w:tplc="61186396" w:tentative="1">
      <w:start w:val="1"/>
      <w:numFmt w:val="lowerRoman"/>
      <w:lvlText w:val="%6."/>
      <w:lvlJc w:val="right"/>
      <w:pPr>
        <w:ind w:left="4320" w:hanging="180"/>
      </w:pPr>
    </w:lvl>
    <w:lvl w:ilvl="6" w:tplc="0E56702E" w:tentative="1">
      <w:start w:val="1"/>
      <w:numFmt w:val="decimal"/>
      <w:lvlText w:val="%7."/>
      <w:lvlJc w:val="left"/>
      <w:pPr>
        <w:ind w:left="5040" w:hanging="360"/>
      </w:pPr>
    </w:lvl>
    <w:lvl w:ilvl="7" w:tplc="1E6C8A62" w:tentative="1">
      <w:start w:val="1"/>
      <w:numFmt w:val="lowerLetter"/>
      <w:lvlText w:val="%8."/>
      <w:lvlJc w:val="left"/>
      <w:pPr>
        <w:ind w:left="5760" w:hanging="360"/>
      </w:pPr>
    </w:lvl>
    <w:lvl w:ilvl="8" w:tplc="4858EE12" w:tentative="1">
      <w:start w:val="1"/>
      <w:numFmt w:val="lowerRoman"/>
      <w:lvlText w:val="%9."/>
      <w:lvlJc w:val="right"/>
      <w:pPr>
        <w:ind w:left="6480" w:hanging="180"/>
      </w:pPr>
    </w:lvl>
  </w:abstractNum>
  <w:abstractNum w:abstractNumId="20">
    <w:nsid w:val="7A5C7052"/>
    <w:multiLevelType w:val="hybridMultilevel"/>
    <w:tmpl w:val="071E8D10"/>
    <w:lvl w:ilvl="0" w:tplc="14B24A32">
      <w:start w:val="1"/>
      <w:numFmt w:val="hebrew1"/>
      <w:lvlText w:val="%1."/>
      <w:lvlJc w:val="center"/>
      <w:pPr>
        <w:ind w:left="851" w:hanging="284"/>
      </w:pPr>
      <w:rPr>
        <w:rFonts w:hint="default"/>
      </w:rPr>
    </w:lvl>
    <w:lvl w:ilvl="1" w:tplc="C1AA495A">
      <w:start w:val="1"/>
      <w:numFmt w:val="bullet"/>
      <w:lvlText w:val="o"/>
      <w:lvlJc w:val="left"/>
      <w:pPr>
        <w:ind w:left="1440" w:hanging="360"/>
      </w:pPr>
      <w:rPr>
        <w:rFonts w:ascii="Courier New" w:hAnsi="Courier New" w:cs="Courier New" w:hint="default"/>
      </w:rPr>
    </w:lvl>
    <w:lvl w:ilvl="2" w:tplc="571EB390" w:tentative="1">
      <w:start w:val="1"/>
      <w:numFmt w:val="bullet"/>
      <w:lvlText w:val=""/>
      <w:lvlJc w:val="left"/>
      <w:pPr>
        <w:ind w:left="2160" w:hanging="360"/>
      </w:pPr>
      <w:rPr>
        <w:rFonts w:ascii="Wingdings" w:hAnsi="Wingdings" w:hint="default"/>
      </w:rPr>
    </w:lvl>
    <w:lvl w:ilvl="3" w:tplc="2668BF96" w:tentative="1">
      <w:start w:val="1"/>
      <w:numFmt w:val="bullet"/>
      <w:lvlText w:val=""/>
      <w:lvlJc w:val="left"/>
      <w:pPr>
        <w:ind w:left="2880" w:hanging="360"/>
      </w:pPr>
      <w:rPr>
        <w:rFonts w:ascii="Symbol" w:hAnsi="Symbol" w:hint="default"/>
      </w:rPr>
    </w:lvl>
    <w:lvl w:ilvl="4" w:tplc="931039EA" w:tentative="1">
      <w:start w:val="1"/>
      <w:numFmt w:val="bullet"/>
      <w:lvlText w:val="o"/>
      <w:lvlJc w:val="left"/>
      <w:pPr>
        <w:ind w:left="3600" w:hanging="360"/>
      </w:pPr>
      <w:rPr>
        <w:rFonts w:ascii="Courier New" w:hAnsi="Courier New" w:cs="Courier New" w:hint="default"/>
      </w:rPr>
    </w:lvl>
    <w:lvl w:ilvl="5" w:tplc="386853C8" w:tentative="1">
      <w:start w:val="1"/>
      <w:numFmt w:val="bullet"/>
      <w:lvlText w:val=""/>
      <w:lvlJc w:val="left"/>
      <w:pPr>
        <w:ind w:left="4320" w:hanging="360"/>
      </w:pPr>
      <w:rPr>
        <w:rFonts w:ascii="Wingdings" w:hAnsi="Wingdings" w:hint="default"/>
      </w:rPr>
    </w:lvl>
    <w:lvl w:ilvl="6" w:tplc="9364FB2A" w:tentative="1">
      <w:start w:val="1"/>
      <w:numFmt w:val="bullet"/>
      <w:lvlText w:val=""/>
      <w:lvlJc w:val="left"/>
      <w:pPr>
        <w:ind w:left="5040" w:hanging="360"/>
      </w:pPr>
      <w:rPr>
        <w:rFonts w:ascii="Symbol" w:hAnsi="Symbol" w:hint="default"/>
      </w:rPr>
    </w:lvl>
    <w:lvl w:ilvl="7" w:tplc="131A5442" w:tentative="1">
      <w:start w:val="1"/>
      <w:numFmt w:val="bullet"/>
      <w:lvlText w:val="o"/>
      <w:lvlJc w:val="left"/>
      <w:pPr>
        <w:ind w:left="5760" w:hanging="360"/>
      </w:pPr>
      <w:rPr>
        <w:rFonts w:ascii="Courier New" w:hAnsi="Courier New" w:cs="Courier New" w:hint="default"/>
      </w:rPr>
    </w:lvl>
    <w:lvl w:ilvl="8" w:tplc="E4AAEAA6" w:tentative="1">
      <w:start w:val="1"/>
      <w:numFmt w:val="bullet"/>
      <w:lvlText w:val=""/>
      <w:lvlJc w:val="left"/>
      <w:pPr>
        <w:ind w:left="6480" w:hanging="360"/>
      </w:pPr>
      <w:rPr>
        <w:rFonts w:ascii="Wingdings" w:hAnsi="Wingdings" w:hint="default"/>
      </w:rPr>
    </w:lvl>
  </w:abstractNum>
  <w:abstractNum w:abstractNumId="21">
    <w:nsid w:val="7B750FF8"/>
    <w:multiLevelType w:val="hybridMultilevel"/>
    <w:tmpl w:val="3500CDF8"/>
    <w:lvl w:ilvl="0" w:tplc="BF2C8304">
      <w:start w:val="1"/>
      <w:numFmt w:val="hebrew1"/>
      <w:lvlText w:val="%1."/>
      <w:lvlJc w:val="left"/>
      <w:pPr>
        <w:ind w:left="0" w:firstLine="0"/>
      </w:pPr>
      <w:rPr>
        <w:rFonts w:hint="default"/>
      </w:rPr>
    </w:lvl>
    <w:lvl w:ilvl="1" w:tplc="BAB084A8">
      <w:start w:val="1"/>
      <w:numFmt w:val="lowerLetter"/>
      <w:lvlText w:val="%2."/>
      <w:lvlJc w:val="left"/>
      <w:pPr>
        <w:ind w:left="1440" w:hanging="360"/>
      </w:pPr>
    </w:lvl>
    <w:lvl w:ilvl="2" w:tplc="9D0094C2" w:tentative="1">
      <w:start w:val="1"/>
      <w:numFmt w:val="lowerRoman"/>
      <w:lvlText w:val="%3."/>
      <w:lvlJc w:val="right"/>
      <w:pPr>
        <w:ind w:left="2160" w:hanging="180"/>
      </w:pPr>
    </w:lvl>
    <w:lvl w:ilvl="3" w:tplc="7E7CC9BE" w:tentative="1">
      <w:start w:val="1"/>
      <w:numFmt w:val="decimal"/>
      <w:lvlText w:val="%4."/>
      <w:lvlJc w:val="left"/>
      <w:pPr>
        <w:ind w:left="2880" w:hanging="360"/>
      </w:pPr>
    </w:lvl>
    <w:lvl w:ilvl="4" w:tplc="2398C720" w:tentative="1">
      <w:start w:val="1"/>
      <w:numFmt w:val="lowerLetter"/>
      <w:lvlText w:val="%5."/>
      <w:lvlJc w:val="left"/>
      <w:pPr>
        <w:ind w:left="3600" w:hanging="360"/>
      </w:pPr>
    </w:lvl>
    <w:lvl w:ilvl="5" w:tplc="C4AC9F58" w:tentative="1">
      <w:start w:val="1"/>
      <w:numFmt w:val="lowerRoman"/>
      <w:lvlText w:val="%6."/>
      <w:lvlJc w:val="right"/>
      <w:pPr>
        <w:ind w:left="4320" w:hanging="180"/>
      </w:pPr>
    </w:lvl>
    <w:lvl w:ilvl="6" w:tplc="9F38BED2" w:tentative="1">
      <w:start w:val="1"/>
      <w:numFmt w:val="decimal"/>
      <w:lvlText w:val="%7."/>
      <w:lvlJc w:val="left"/>
      <w:pPr>
        <w:ind w:left="5040" w:hanging="360"/>
      </w:pPr>
    </w:lvl>
    <w:lvl w:ilvl="7" w:tplc="2CD8BE68" w:tentative="1">
      <w:start w:val="1"/>
      <w:numFmt w:val="lowerLetter"/>
      <w:lvlText w:val="%8."/>
      <w:lvlJc w:val="left"/>
      <w:pPr>
        <w:ind w:left="5760" w:hanging="360"/>
      </w:pPr>
    </w:lvl>
    <w:lvl w:ilvl="8" w:tplc="36724482" w:tentative="1">
      <w:start w:val="1"/>
      <w:numFmt w:val="lowerRoman"/>
      <w:lvlText w:val="%9."/>
      <w:lvlJc w:val="right"/>
      <w:pPr>
        <w:ind w:left="6480" w:hanging="180"/>
      </w:pPr>
    </w:lvl>
  </w:abstractNum>
  <w:abstractNum w:abstractNumId="22">
    <w:nsid w:val="7F0E7DC8"/>
    <w:multiLevelType w:val="hybridMultilevel"/>
    <w:tmpl w:val="D56415D6"/>
    <w:lvl w:ilvl="0" w:tplc="D1E2670C">
      <w:start w:val="1"/>
      <w:numFmt w:val="hebrew1"/>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nsid w:val="7F71723F"/>
    <w:multiLevelType w:val="hybridMultilevel"/>
    <w:tmpl w:val="E230C5E4"/>
    <w:lvl w:ilvl="0" w:tplc="31E23C9A">
      <w:start w:val="1"/>
      <w:numFmt w:val="decimal"/>
      <w:lvlText w:val="%1."/>
      <w:lvlJc w:val="left"/>
      <w:pPr>
        <w:ind w:left="567" w:hanging="567"/>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3"/>
  </w:num>
  <w:num w:numId="5">
    <w:abstractNumId w:val="17"/>
  </w:num>
  <w:num w:numId="6">
    <w:abstractNumId w:val="5"/>
  </w:num>
  <w:num w:numId="7">
    <w:abstractNumId w:val="8"/>
  </w:num>
  <w:num w:numId="8">
    <w:abstractNumId w:val="9"/>
  </w:num>
  <w:num w:numId="9">
    <w:abstractNumId w:val="21"/>
  </w:num>
  <w:num w:numId="10">
    <w:abstractNumId w:val="19"/>
  </w:num>
  <w:num w:numId="11">
    <w:abstractNumId w:val="15"/>
  </w:num>
  <w:num w:numId="12">
    <w:abstractNumId w:val="20"/>
  </w:num>
  <w:num w:numId="13">
    <w:abstractNumId w:val="11"/>
  </w:num>
  <w:num w:numId="14">
    <w:abstractNumId w:val="6"/>
  </w:num>
  <w:num w:numId="15">
    <w:abstractNumId w:val="2"/>
  </w:num>
  <w:num w:numId="16">
    <w:abstractNumId w:val="12"/>
  </w:num>
  <w:num w:numId="17">
    <w:abstractNumId w:val="18"/>
  </w:num>
  <w:num w:numId="18">
    <w:abstractNumId w:val="7"/>
  </w:num>
  <w:num w:numId="19">
    <w:abstractNumId w:val="23"/>
  </w:num>
  <w:num w:numId="20">
    <w:abstractNumId w:val="1"/>
  </w:num>
  <w:num w:numId="21">
    <w:abstractNumId w:val="22"/>
  </w:num>
  <w:num w:numId="22">
    <w:abstractNumId w:val="14"/>
  </w:num>
  <w:num w:numId="23">
    <w:abstractNumId w:val="0"/>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6436"/>
    <w:rsid w:val="000824F1"/>
    <w:rsid w:val="0021205B"/>
    <w:rsid w:val="00272DA0"/>
    <w:rsid w:val="002D13E5"/>
    <w:rsid w:val="00306036"/>
    <w:rsid w:val="004E6FAC"/>
    <w:rsid w:val="00516436"/>
    <w:rsid w:val="00521BA3"/>
    <w:rsid w:val="005839BC"/>
    <w:rsid w:val="005B378F"/>
    <w:rsid w:val="0076512E"/>
    <w:rsid w:val="00787313"/>
    <w:rsid w:val="008F4F37"/>
    <w:rsid w:val="00BE0644"/>
    <w:rsid w:val="00C07DDF"/>
    <w:rsid w:val="00C42BFC"/>
    <w:rsid w:val="00C76FC6"/>
    <w:rsid w:val="00C95791"/>
    <w:rsid w:val="00D75F72"/>
    <w:rsid w:val="00D870F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6FAC"/>
    <w:pPr>
      <w:bidi/>
    </w:pPr>
  </w:style>
  <w:style w:type="paragraph" w:styleId="1">
    <w:name w:val="heading 1"/>
    <w:basedOn w:val="a"/>
    <w:link w:val="10"/>
    <w:qFormat/>
    <w:rsid w:val="004E6FAC"/>
    <w:pPr>
      <w:keepNext/>
      <w:spacing w:before="300" w:after="300" w:line="480" w:lineRule="auto"/>
      <w:jc w:val="both"/>
      <w:outlineLvl w:val="0"/>
    </w:pPr>
    <w:rPr>
      <w:rFonts w:ascii="Cambria" w:eastAsia="Times New Roman" w:hAnsi="Cambria" w:cs="Times New Roman"/>
      <w:b/>
      <w:bCs/>
      <w:kern w:val="36"/>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rsid w:val="004E6FAC"/>
    <w:rPr>
      <w:rFonts w:ascii="Cambria" w:eastAsia="Times New Roman" w:hAnsi="Cambria" w:cs="Times New Roman"/>
      <w:b/>
      <w:bCs/>
      <w:kern w:val="36"/>
      <w:sz w:val="28"/>
      <w:szCs w:val="28"/>
    </w:rPr>
  </w:style>
  <w:style w:type="paragraph" w:styleId="a3">
    <w:name w:val="List Paragraph"/>
    <w:basedOn w:val="a"/>
    <w:uiPriority w:val="34"/>
    <w:qFormat/>
    <w:rsid w:val="004E6FAC"/>
    <w:pPr>
      <w:ind w:left="720"/>
      <w:contextualSpacing/>
    </w:pPr>
  </w:style>
  <w:style w:type="character" w:styleId="Hyperlink">
    <w:name w:val="Hyperlink"/>
    <w:uiPriority w:val="99"/>
    <w:rsid w:val="004E6FAC"/>
    <w:rPr>
      <w:color w:val="0000FF"/>
      <w:u w:val="single"/>
    </w:rPr>
  </w:style>
  <w:style w:type="paragraph" w:customStyle="1" w:styleId="ruller4">
    <w:name w:val="ruller4"/>
    <w:basedOn w:val="a"/>
    <w:rsid w:val="004E6FAC"/>
    <w:pPr>
      <w:overflowPunct w:val="0"/>
      <w:autoSpaceDE w:val="0"/>
      <w:autoSpaceDN w:val="0"/>
      <w:spacing w:after="0" w:line="360" w:lineRule="auto"/>
      <w:jc w:val="both"/>
    </w:pPr>
    <w:rPr>
      <w:rFonts w:ascii="Arial TUR" w:eastAsia="Times New Roman" w:hAnsi="Arial TUR" w:cs="Arial TUR"/>
      <w:spacing w:val="10"/>
      <w:lang w:eastAsia="he-IL"/>
    </w:rPr>
  </w:style>
  <w:style w:type="paragraph" w:customStyle="1" w:styleId="ruller5">
    <w:name w:val="ruller5"/>
    <w:basedOn w:val="a"/>
    <w:rsid w:val="004E6FAC"/>
    <w:pPr>
      <w:overflowPunct w:val="0"/>
      <w:autoSpaceDE w:val="0"/>
      <w:autoSpaceDN w:val="0"/>
      <w:spacing w:after="0" w:line="240" w:lineRule="auto"/>
      <w:ind w:left="1642" w:right="1282"/>
      <w:jc w:val="both"/>
    </w:pPr>
    <w:rPr>
      <w:rFonts w:ascii="Arial TUR" w:eastAsia="Times New Roman" w:hAnsi="Arial TUR" w:cs="Arial TUR"/>
      <w:spacing w:val="10"/>
      <w:lang w:eastAsia="he-IL"/>
    </w:rPr>
  </w:style>
  <w:style w:type="character" w:customStyle="1" w:styleId="Ruller50">
    <w:name w:val="Ruller5 תו"/>
    <w:basedOn w:val="a0"/>
    <w:link w:val="Ruller51"/>
    <w:locked/>
    <w:rsid w:val="004E6FAC"/>
    <w:rPr>
      <w:rFonts w:ascii="Arial TUR" w:hAnsi="Arial TUR" w:cs="FrankRuehl"/>
      <w:spacing w:val="10"/>
      <w:szCs w:val="28"/>
    </w:rPr>
  </w:style>
  <w:style w:type="paragraph" w:customStyle="1" w:styleId="Ruller51">
    <w:name w:val="Ruller5"/>
    <w:basedOn w:val="a"/>
    <w:link w:val="Ruller50"/>
    <w:rsid w:val="004E6FAC"/>
    <w:pPr>
      <w:overflowPunct w:val="0"/>
      <w:autoSpaceDE w:val="0"/>
      <w:autoSpaceDN w:val="0"/>
      <w:adjustRightInd w:val="0"/>
      <w:spacing w:after="0" w:line="240" w:lineRule="auto"/>
      <w:ind w:left="1642" w:right="1282"/>
      <w:jc w:val="both"/>
    </w:pPr>
    <w:rPr>
      <w:rFonts w:ascii="Arial TUR" w:hAnsi="Arial TUR" w:cs="FrankRuehl"/>
      <w:spacing w:val="10"/>
      <w:szCs w:val="28"/>
    </w:rPr>
  </w:style>
  <w:style w:type="character" w:customStyle="1" w:styleId="Ruller40">
    <w:name w:val="Ruller4 תו"/>
    <w:basedOn w:val="a0"/>
    <w:link w:val="Ruller41"/>
    <w:rsid w:val="004E6FAC"/>
    <w:rPr>
      <w:rFonts w:ascii="Arial TUR" w:hAnsi="Arial TUR" w:cs="Arial TUR"/>
      <w:spacing w:val="10"/>
    </w:rPr>
  </w:style>
  <w:style w:type="paragraph" w:customStyle="1" w:styleId="Ruller41">
    <w:name w:val="Ruller4"/>
    <w:basedOn w:val="a"/>
    <w:link w:val="Ruller40"/>
    <w:rsid w:val="004E6FAC"/>
    <w:pPr>
      <w:overflowPunct w:val="0"/>
      <w:autoSpaceDE w:val="0"/>
      <w:autoSpaceDN w:val="0"/>
      <w:spacing w:after="0" w:line="360" w:lineRule="auto"/>
      <w:jc w:val="both"/>
    </w:pPr>
    <w:rPr>
      <w:rFonts w:ascii="Arial TUR" w:hAnsi="Arial TUR" w:cs="Arial TUR"/>
      <w:spacing w:val="10"/>
    </w:rPr>
  </w:style>
  <w:style w:type="paragraph" w:customStyle="1" w:styleId="a4">
    <w:name w:val="כללי"/>
    <w:basedOn w:val="a"/>
    <w:rsid w:val="004E6FAC"/>
    <w:pPr>
      <w:overflowPunct w:val="0"/>
      <w:autoSpaceDE w:val="0"/>
      <w:autoSpaceDN w:val="0"/>
      <w:adjustRightInd w:val="0"/>
      <w:spacing w:after="220" w:line="274" w:lineRule="exact"/>
      <w:ind w:firstLine="284"/>
      <w:jc w:val="both"/>
      <w:textAlignment w:val="baseline"/>
    </w:pPr>
    <w:rPr>
      <w:rFonts w:ascii="Times New Roman" w:eastAsia="Times New Roman" w:hAnsi="Times New Roman" w:cs="FrankRuehl"/>
      <w:sz w:val="20"/>
      <w:szCs w:val="24"/>
      <w:lang w:eastAsia="he-IL"/>
    </w:rPr>
  </w:style>
  <w:style w:type="paragraph" w:styleId="a5">
    <w:name w:val="Quote"/>
    <w:basedOn w:val="a4"/>
    <w:link w:val="a6"/>
    <w:qFormat/>
    <w:rsid w:val="004E6FAC"/>
    <w:pPr>
      <w:ind w:left="454" w:right="454" w:firstLine="0"/>
    </w:pPr>
  </w:style>
  <w:style w:type="character" w:customStyle="1" w:styleId="a6">
    <w:name w:val="ציטוט תו"/>
    <w:basedOn w:val="a0"/>
    <w:link w:val="a5"/>
    <w:rsid w:val="004E6FAC"/>
    <w:rPr>
      <w:rFonts w:ascii="Times New Roman" w:eastAsia="Times New Roman" w:hAnsi="Times New Roman" w:cs="FrankRuehl"/>
      <w:sz w:val="20"/>
      <w:szCs w:val="24"/>
      <w:lang w:eastAsia="he-IL"/>
    </w:rPr>
  </w:style>
  <w:style w:type="paragraph" w:customStyle="1" w:styleId="p00">
    <w:name w:val="p00"/>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ig-number">
    <w:name w:val="big-number"/>
    <w:basedOn w:val="a0"/>
    <w:rsid w:val="004E6FAC"/>
  </w:style>
  <w:style w:type="character" w:customStyle="1" w:styleId="default">
    <w:name w:val="default"/>
    <w:basedOn w:val="a0"/>
    <w:rsid w:val="004E6FAC"/>
  </w:style>
  <w:style w:type="paragraph" w:customStyle="1" w:styleId="p22">
    <w:name w:val="p22"/>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7">
    <w:name w:val="header"/>
    <w:basedOn w:val="a"/>
    <w:link w:val="a8"/>
    <w:unhideWhenUsed/>
    <w:rsid w:val="004E6FAC"/>
    <w:pPr>
      <w:tabs>
        <w:tab w:val="center" w:pos="4153"/>
        <w:tab w:val="right" w:pos="8306"/>
      </w:tabs>
      <w:spacing w:after="0" w:line="240" w:lineRule="auto"/>
    </w:pPr>
  </w:style>
  <w:style w:type="character" w:customStyle="1" w:styleId="a8">
    <w:name w:val="כותרת עליונה תו"/>
    <w:basedOn w:val="a0"/>
    <w:link w:val="a7"/>
    <w:rsid w:val="004E6FAC"/>
  </w:style>
  <w:style w:type="paragraph" w:styleId="a9">
    <w:name w:val="footer"/>
    <w:basedOn w:val="a"/>
    <w:link w:val="aa"/>
    <w:uiPriority w:val="99"/>
    <w:unhideWhenUsed/>
    <w:rsid w:val="004E6FAC"/>
    <w:pPr>
      <w:tabs>
        <w:tab w:val="center" w:pos="4153"/>
        <w:tab w:val="right" w:pos="8306"/>
      </w:tabs>
      <w:spacing w:after="0" w:line="240" w:lineRule="auto"/>
    </w:pPr>
  </w:style>
  <w:style w:type="character" w:customStyle="1" w:styleId="aa">
    <w:name w:val="כותרת תחתונה תו"/>
    <w:basedOn w:val="a0"/>
    <w:link w:val="a9"/>
    <w:uiPriority w:val="99"/>
    <w:rsid w:val="004E6FAC"/>
  </w:style>
  <w:style w:type="paragraph" w:styleId="ab">
    <w:name w:val="Balloon Text"/>
    <w:basedOn w:val="a"/>
    <w:link w:val="ac"/>
    <w:uiPriority w:val="99"/>
    <w:semiHidden/>
    <w:unhideWhenUsed/>
    <w:rsid w:val="004E6FAC"/>
    <w:pPr>
      <w:spacing w:after="0" w:line="240" w:lineRule="auto"/>
    </w:pPr>
    <w:rPr>
      <w:rFonts w:ascii="Tahoma" w:hAnsi="Tahoma" w:cs="Tahoma"/>
      <w:sz w:val="18"/>
      <w:szCs w:val="18"/>
    </w:rPr>
  </w:style>
  <w:style w:type="character" w:customStyle="1" w:styleId="ac">
    <w:name w:val="טקסט בלונים תו"/>
    <w:basedOn w:val="a0"/>
    <w:link w:val="ab"/>
    <w:uiPriority w:val="99"/>
    <w:semiHidden/>
    <w:rsid w:val="004E6FAC"/>
    <w:rPr>
      <w:rFonts w:ascii="Tahoma" w:hAnsi="Tahoma" w:cs="Tahoma"/>
      <w:sz w:val="18"/>
      <w:szCs w:val="18"/>
    </w:rPr>
  </w:style>
  <w:style w:type="table" w:styleId="ad">
    <w:name w:val="Table Grid"/>
    <w:basedOn w:val="a1"/>
    <w:rsid w:val="004E6FAC"/>
    <w:pPr>
      <w:spacing w:after="0" w:line="240" w:lineRule="auto"/>
    </w:pPr>
    <w:rPr>
      <w:rFonts w:ascii="Calibri" w:eastAsia="Calibri"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1"/>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e">
    <w:name w:val="גוף פסק דין תו"/>
    <w:basedOn w:val="a0"/>
    <w:link w:val="af"/>
    <w:rsid w:val="004E6FAC"/>
    <w:rPr>
      <w:rFonts w:ascii="Arial TUR" w:hAnsi="Arial TUR" w:cs="Arial TUR"/>
      <w:spacing w:val="10"/>
    </w:rPr>
  </w:style>
  <w:style w:type="paragraph" w:customStyle="1" w:styleId="af">
    <w:name w:val="גוף פסק דין"/>
    <w:basedOn w:val="a"/>
    <w:link w:val="ae"/>
    <w:rsid w:val="004E6FAC"/>
    <w:pPr>
      <w:overflowPunct w:val="0"/>
      <w:autoSpaceDE w:val="0"/>
      <w:autoSpaceDN w:val="0"/>
      <w:spacing w:after="0" w:line="360" w:lineRule="auto"/>
      <w:ind w:firstLine="720"/>
      <w:jc w:val="both"/>
    </w:pPr>
    <w:rPr>
      <w:rFonts w:ascii="Arial TUR" w:hAnsi="Arial TUR" w:cs="Arial TUR"/>
      <w:spacing w:val="10"/>
    </w:rPr>
  </w:style>
  <w:style w:type="character" w:customStyle="1" w:styleId="af0">
    <w:name w:val="ציטוט בפסק דין תו"/>
    <w:basedOn w:val="a0"/>
    <w:link w:val="af1"/>
    <w:rsid w:val="004E6FAC"/>
    <w:rPr>
      <w:rFonts w:ascii="Calibri" w:hAnsi="Calibri"/>
      <w:spacing w:val="10"/>
    </w:rPr>
  </w:style>
  <w:style w:type="paragraph" w:customStyle="1" w:styleId="af1">
    <w:name w:val="ציטוט בפסק דין"/>
    <w:basedOn w:val="a"/>
    <w:link w:val="af0"/>
    <w:rsid w:val="004E6FAC"/>
    <w:pPr>
      <w:overflowPunct w:val="0"/>
      <w:autoSpaceDE w:val="0"/>
      <w:autoSpaceDN w:val="0"/>
      <w:spacing w:after="0" w:line="240" w:lineRule="auto"/>
      <w:ind w:left="1642" w:right="1282"/>
      <w:jc w:val="both"/>
    </w:pPr>
    <w:rPr>
      <w:rFonts w:ascii="Calibri" w:hAnsi="Calibri"/>
      <w:spacing w:val="10"/>
    </w:rPr>
  </w:style>
  <w:style w:type="paragraph" w:customStyle="1" w:styleId="af2">
    <w:name w:val="a"/>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a"/>
    <w:rsid w:val="004E6FAC"/>
    <w:pPr>
      <w:bidi w:val="0"/>
      <w:spacing w:before="100" w:beforeAutospacing="1" w:after="100" w:afterAutospacing="1" w:line="276" w:lineRule="auto"/>
    </w:pPr>
    <w:rPr>
      <w:rFonts w:ascii="Calibri" w:eastAsia="Calibri" w:hAnsi="Calibri" w:cs="Times New Roman"/>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6FAC"/>
    <w:pPr>
      <w:bidi/>
    </w:pPr>
  </w:style>
  <w:style w:type="paragraph" w:styleId="1">
    <w:name w:val="heading 1"/>
    <w:basedOn w:val="a"/>
    <w:link w:val="10"/>
    <w:qFormat/>
    <w:rsid w:val="004E6FAC"/>
    <w:pPr>
      <w:keepNext/>
      <w:spacing w:before="300" w:after="300" w:line="480" w:lineRule="auto"/>
      <w:jc w:val="both"/>
      <w:outlineLvl w:val="0"/>
    </w:pPr>
    <w:rPr>
      <w:rFonts w:ascii="Cambria" w:eastAsia="Times New Roman" w:hAnsi="Cambria" w:cs="Times New Roman"/>
      <w:b/>
      <w:bCs/>
      <w:kern w:val="36"/>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rsid w:val="004E6FAC"/>
    <w:rPr>
      <w:rFonts w:ascii="Cambria" w:eastAsia="Times New Roman" w:hAnsi="Cambria" w:cs="Times New Roman"/>
      <w:b/>
      <w:bCs/>
      <w:kern w:val="36"/>
      <w:sz w:val="28"/>
      <w:szCs w:val="28"/>
    </w:rPr>
  </w:style>
  <w:style w:type="paragraph" w:styleId="a3">
    <w:name w:val="List Paragraph"/>
    <w:basedOn w:val="a"/>
    <w:uiPriority w:val="34"/>
    <w:qFormat/>
    <w:rsid w:val="004E6FAC"/>
    <w:pPr>
      <w:ind w:left="720"/>
      <w:contextualSpacing/>
    </w:pPr>
  </w:style>
  <w:style w:type="character" w:styleId="Hyperlink">
    <w:name w:val="Hyperlink"/>
    <w:uiPriority w:val="99"/>
    <w:rsid w:val="004E6FAC"/>
    <w:rPr>
      <w:color w:val="0000FF"/>
      <w:u w:val="single"/>
    </w:rPr>
  </w:style>
  <w:style w:type="paragraph" w:customStyle="1" w:styleId="ruller4">
    <w:name w:val="ruller4"/>
    <w:basedOn w:val="a"/>
    <w:rsid w:val="004E6FAC"/>
    <w:pPr>
      <w:overflowPunct w:val="0"/>
      <w:autoSpaceDE w:val="0"/>
      <w:autoSpaceDN w:val="0"/>
      <w:spacing w:after="0" w:line="360" w:lineRule="auto"/>
      <w:jc w:val="both"/>
    </w:pPr>
    <w:rPr>
      <w:rFonts w:ascii="Arial TUR" w:eastAsia="Times New Roman" w:hAnsi="Arial TUR" w:cs="Arial TUR"/>
      <w:spacing w:val="10"/>
      <w:lang w:eastAsia="he-IL"/>
    </w:rPr>
  </w:style>
  <w:style w:type="paragraph" w:customStyle="1" w:styleId="ruller5">
    <w:name w:val="ruller5"/>
    <w:basedOn w:val="a"/>
    <w:rsid w:val="004E6FAC"/>
    <w:pPr>
      <w:overflowPunct w:val="0"/>
      <w:autoSpaceDE w:val="0"/>
      <w:autoSpaceDN w:val="0"/>
      <w:spacing w:after="0" w:line="240" w:lineRule="auto"/>
      <w:ind w:left="1642" w:right="1282"/>
      <w:jc w:val="both"/>
    </w:pPr>
    <w:rPr>
      <w:rFonts w:ascii="Arial TUR" w:eastAsia="Times New Roman" w:hAnsi="Arial TUR" w:cs="Arial TUR"/>
      <w:spacing w:val="10"/>
      <w:lang w:eastAsia="he-IL"/>
    </w:rPr>
  </w:style>
  <w:style w:type="character" w:customStyle="1" w:styleId="Ruller50">
    <w:name w:val="Ruller5 תו"/>
    <w:basedOn w:val="a0"/>
    <w:link w:val="Ruller51"/>
    <w:locked/>
    <w:rsid w:val="004E6FAC"/>
    <w:rPr>
      <w:rFonts w:ascii="Arial TUR" w:hAnsi="Arial TUR" w:cs="FrankRuehl"/>
      <w:spacing w:val="10"/>
      <w:szCs w:val="28"/>
    </w:rPr>
  </w:style>
  <w:style w:type="paragraph" w:customStyle="1" w:styleId="Ruller51">
    <w:name w:val="Ruller5"/>
    <w:basedOn w:val="a"/>
    <w:link w:val="Ruller50"/>
    <w:rsid w:val="004E6FAC"/>
    <w:pPr>
      <w:overflowPunct w:val="0"/>
      <w:autoSpaceDE w:val="0"/>
      <w:autoSpaceDN w:val="0"/>
      <w:adjustRightInd w:val="0"/>
      <w:spacing w:after="0" w:line="240" w:lineRule="auto"/>
      <w:ind w:left="1642" w:right="1282"/>
      <w:jc w:val="both"/>
    </w:pPr>
    <w:rPr>
      <w:rFonts w:ascii="Arial TUR" w:hAnsi="Arial TUR" w:cs="FrankRuehl"/>
      <w:spacing w:val="10"/>
      <w:szCs w:val="28"/>
    </w:rPr>
  </w:style>
  <w:style w:type="character" w:customStyle="1" w:styleId="Ruller40">
    <w:name w:val="Ruller4 תו"/>
    <w:basedOn w:val="a0"/>
    <w:link w:val="Ruller41"/>
    <w:rsid w:val="004E6FAC"/>
    <w:rPr>
      <w:rFonts w:ascii="Arial TUR" w:hAnsi="Arial TUR" w:cs="Arial TUR"/>
      <w:spacing w:val="10"/>
    </w:rPr>
  </w:style>
  <w:style w:type="paragraph" w:customStyle="1" w:styleId="Ruller41">
    <w:name w:val="Ruller4"/>
    <w:basedOn w:val="a"/>
    <w:link w:val="Ruller40"/>
    <w:rsid w:val="004E6FAC"/>
    <w:pPr>
      <w:overflowPunct w:val="0"/>
      <w:autoSpaceDE w:val="0"/>
      <w:autoSpaceDN w:val="0"/>
      <w:spacing w:after="0" w:line="360" w:lineRule="auto"/>
      <w:jc w:val="both"/>
    </w:pPr>
    <w:rPr>
      <w:rFonts w:ascii="Arial TUR" w:hAnsi="Arial TUR" w:cs="Arial TUR"/>
      <w:spacing w:val="10"/>
    </w:rPr>
  </w:style>
  <w:style w:type="paragraph" w:customStyle="1" w:styleId="a4">
    <w:name w:val="כללי"/>
    <w:basedOn w:val="a"/>
    <w:rsid w:val="004E6FAC"/>
    <w:pPr>
      <w:overflowPunct w:val="0"/>
      <w:autoSpaceDE w:val="0"/>
      <w:autoSpaceDN w:val="0"/>
      <w:adjustRightInd w:val="0"/>
      <w:spacing w:after="220" w:line="274" w:lineRule="exact"/>
      <w:ind w:firstLine="284"/>
      <w:jc w:val="both"/>
      <w:textAlignment w:val="baseline"/>
    </w:pPr>
    <w:rPr>
      <w:rFonts w:ascii="Times New Roman" w:eastAsia="Times New Roman" w:hAnsi="Times New Roman" w:cs="FrankRuehl"/>
      <w:sz w:val="20"/>
      <w:szCs w:val="24"/>
      <w:lang w:eastAsia="he-IL"/>
    </w:rPr>
  </w:style>
  <w:style w:type="paragraph" w:styleId="a5">
    <w:name w:val="Quote"/>
    <w:basedOn w:val="a4"/>
    <w:link w:val="a6"/>
    <w:qFormat/>
    <w:rsid w:val="004E6FAC"/>
    <w:pPr>
      <w:ind w:left="454" w:right="454" w:firstLine="0"/>
    </w:pPr>
  </w:style>
  <w:style w:type="character" w:customStyle="1" w:styleId="a6">
    <w:name w:val="ציטוט תו"/>
    <w:basedOn w:val="a0"/>
    <w:link w:val="a5"/>
    <w:rsid w:val="004E6FAC"/>
    <w:rPr>
      <w:rFonts w:ascii="Times New Roman" w:eastAsia="Times New Roman" w:hAnsi="Times New Roman" w:cs="FrankRuehl"/>
      <w:sz w:val="20"/>
      <w:szCs w:val="24"/>
      <w:lang w:eastAsia="he-IL"/>
    </w:rPr>
  </w:style>
  <w:style w:type="paragraph" w:customStyle="1" w:styleId="p00">
    <w:name w:val="p00"/>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ig-number">
    <w:name w:val="big-number"/>
    <w:basedOn w:val="a0"/>
    <w:rsid w:val="004E6FAC"/>
  </w:style>
  <w:style w:type="character" w:customStyle="1" w:styleId="default">
    <w:name w:val="default"/>
    <w:basedOn w:val="a0"/>
    <w:rsid w:val="004E6FAC"/>
  </w:style>
  <w:style w:type="paragraph" w:customStyle="1" w:styleId="p22">
    <w:name w:val="p22"/>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7">
    <w:name w:val="header"/>
    <w:basedOn w:val="a"/>
    <w:link w:val="a8"/>
    <w:unhideWhenUsed/>
    <w:rsid w:val="004E6FAC"/>
    <w:pPr>
      <w:tabs>
        <w:tab w:val="center" w:pos="4153"/>
        <w:tab w:val="right" w:pos="8306"/>
      </w:tabs>
      <w:spacing w:after="0" w:line="240" w:lineRule="auto"/>
    </w:pPr>
  </w:style>
  <w:style w:type="character" w:customStyle="1" w:styleId="a8">
    <w:name w:val="כותרת עליונה תו"/>
    <w:basedOn w:val="a0"/>
    <w:link w:val="a7"/>
    <w:rsid w:val="004E6FAC"/>
  </w:style>
  <w:style w:type="paragraph" w:styleId="a9">
    <w:name w:val="footer"/>
    <w:basedOn w:val="a"/>
    <w:link w:val="aa"/>
    <w:uiPriority w:val="99"/>
    <w:unhideWhenUsed/>
    <w:rsid w:val="004E6FAC"/>
    <w:pPr>
      <w:tabs>
        <w:tab w:val="center" w:pos="4153"/>
        <w:tab w:val="right" w:pos="8306"/>
      </w:tabs>
      <w:spacing w:after="0" w:line="240" w:lineRule="auto"/>
    </w:pPr>
  </w:style>
  <w:style w:type="character" w:customStyle="1" w:styleId="aa">
    <w:name w:val="כותרת תחתונה תו"/>
    <w:basedOn w:val="a0"/>
    <w:link w:val="a9"/>
    <w:uiPriority w:val="99"/>
    <w:rsid w:val="004E6FAC"/>
  </w:style>
  <w:style w:type="paragraph" w:styleId="ab">
    <w:name w:val="Balloon Text"/>
    <w:basedOn w:val="a"/>
    <w:link w:val="ac"/>
    <w:uiPriority w:val="99"/>
    <w:semiHidden/>
    <w:unhideWhenUsed/>
    <w:rsid w:val="004E6FAC"/>
    <w:pPr>
      <w:spacing w:after="0" w:line="240" w:lineRule="auto"/>
    </w:pPr>
    <w:rPr>
      <w:rFonts w:ascii="Tahoma" w:hAnsi="Tahoma" w:cs="Tahoma"/>
      <w:sz w:val="18"/>
      <w:szCs w:val="18"/>
    </w:rPr>
  </w:style>
  <w:style w:type="character" w:customStyle="1" w:styleId="ac">
    <w:name w:val="טקסט בלונים תו"/>
    <w:basedOn w:val="a0"/>
    <w:link w:val="ab"/>
    <w:uiPriority w:val="99"/>
    <w:semiHidden/>
    <w:rsid w:val="004E6FAC"/>
    <w:rPr>
      <w:rFonts w:ascii="Tahoma" w:hAnsi="Tahoma" w:cs="Tahoma"/>
      <w:sz w:val="18"/>
      <w:szCs w:val="18"/>
    </w:rPr>
  </w:style>
  <w:style w:type="table" w:styleId="ad">
    <w:name w:val="Table Grid"/>
    <w:basedOn w:val="a1"/>
    <w:rsid w:val="004E6FAC"/>
    <w:pPr>
      <w:spacing w:after="0" w:line="240" w:lineRule="auto"/>
    </w:pPr>
    <w:rPr>
      <w:rFonts w:ascii="Calibri" w:eastAsia="Calibri"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1"/>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e">
    <w:name w:val="גוף פסק דין תו"/>
    <w:basedOn w:val="a0"/>
    <w:link w:val="af"/>
    <w:rsid w:val="004E6FAC"/>
    <w:rPr>
      <w:rFonts w:ascii="Arial TUR" w:hAnsi="Arial TUR" w:cs="Arial TUR"/>
      <w:spacing w:val="10"/>
    </w:rPr>
  </w:style>
  <w:style w:type="paragraph" w:customStyle="1" w:styleId="af">
    <w:name w:val="גוף פסק דין"/>
    <w:basedOn w:val="a"/>
    <w:link w:val="ae"/>
    <w:rsid w:val="004E6FAC"/>
    <w:pPr>
      <w:overflowPunct w:val="0"/>
      <w:autoSpaceDE w:val="0"/>
      <w:autoSpaceDN w:val="0"/>
      <w:spacing w:after="0" w:line="360" w:lineRule="auto"/>
      <w:ind w:firstLine="720"/>
      <w:jc w:val="both"/>
    </w:pPr>
    <w:rPr>
      <w:rFonts w:ascii="Arial TUR" w:hAnsi="Arial TUR" w:cs="Arial TUR"/>
      <w:spacing w:val="10"/>
    </w:rPr>
  </w:style>
  <w:style w:type="character" w:customStyle="1" w:styleId="af0">
    <w:name w:val="ציטוט בפסק דין תו"/>
    <w:basedOn w:val="a0"/>
    <w:link w:val="af1"/>
    <w:rsid w:val="004E6FAC"/>
    <w:rPr>
      <w:rFonts w:ascii="Calibri" w:hAnsi="Calibri"/>
      <w:spacing w:val="10"/>
    </w:rPr>
  </w:style>
  <w:style w:type="paragraph" w:customStyle="1" w:styleId="af1">
    <w:name w:val="ציטוט בפסק דין"/>
    <w:basedOn w:val="a"/>
    <w:link w:val="af0"/>
    <w:rsid w:val="004E6FAC"/>
    <w:pPr>
      <w:overflowPunct w:val="0"/>
      <w:autoSpaceDE w:val="0"/>
      <w:autoSpaceDN w:val="0"/>
      <w:spacing w:after="0" w:line="240" w:lineRule="auto"/>
      <w:ind w:left="1642" w:right="1282"/>
      <w:jc w:val="both"/>
    </w:pPr>
    <w:rPr>
      <w:rFonts w:ascii="Calibri" w:hAnsi="Calibri"/>
      <w:spacing w:val="10"/>
    </w:rPr>
  </w:style>
  <w:style w:type="paragraph" w:customStyle="1" w:styleId="af2">
    <w:name w:val="a"/>
    <w:basedOn w:val="a"/>
    <w:rsid w:val="004E6FA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a"/>
    <w:rsid w:val="004E6FAC"/>
    <w:pPr>
      <w:bidi w:val="0"/>
      <w:spacing w:before="100" w:beforeAutospacing="1" w:after="100" w:afterAutospacing="1" w:line="276" w:lineRule="auto"/>
    </w:pPr>
    <w:rPr>
      <w:rFonts w:ascii="Calibri" w:eastAsia="Calibri" w:hAnsi="Calibri"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2470</Words>
  <Characters>12351</Characters>
  <Application>Microsoft Office Word</Application>
  <DocSecurity>0</DocSecurity>
  <Lines>102</Lines>
  <Paragraphs>29</Paragraphs>
  <ScaleCrop>false</ScaleCrop>
  <HeadingPairs>
    <vt:vector size="2" baseType="variant">
      <vt:variant>
        <vt:lpstr>שם</vt:lpstr>
      </vt:variant>
      <vt:variant>
        <vt:i4>1</vt:i4>
      </vt:variant>
    </vt:vector>
  </HeadingPairs>
  <TitlesOfParts>
    <vt:vector size="1" baseType="lpstr">
      <vt:lpstr/>
    </vt:vector>
  </TitlesOfParts>
  <Company>court</Company>
  <LinksUpToDate>false</LinksUpToDate>
  <CharactersWithSpaces>14792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אורטל מכלוף</dc:creator>
  <cp:lastModifiedBy>Yehiel Marchak</cp:lastModifiedBy>
  <cp:revision>3</cp:revision>
  <dcterms:created xsi:type="dcterms:W3CDTF">2018-06-19T12:40:00Z</dcterms:created>
  <dcterms:modified xsi:type="dcterms:W3CDTF">2018-06-19T12:42:00Z</dcterms:modified>
</cp:coreProperties>
</file>