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bidiVisual/>
        <w:tblW w:w="10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67"/>
        <w:gridCol w:w="4679"/>
      </w:tblGrid>
      <w:tr w:rsidR="0040130D" w:rsidRPr="00E7101E" w:rsidTr="00DB1D82">
        <w:trPr>
          <w:trHeight w:val="416"/>
        </w:trPr>
        <w:tc>
          <w:tcPr>
            <w:tcW w:w="5153" w:type="dxa"/>
          </w:tcPr>
          <w:p w:rsidR="0040130D" w:rsidRPr="00424BFC" w:rsidRDefault="0040130D" w:rsidP="006E6E99">
            <w:pPr>
              <w:pStyle w:val="1"/>
              <w:spacing w:line="360" w:lineRule="auto"/>
              <w:rPr>
                <w:sz w:val="32"/>
                <w:szCs w:val="32"/>
                <w:u w:val="single"/>
                <w:rtl/>
              </w:rPr>
            </w:pPr>
            <w:r w:rsidRPr="00424BFC">
              <w:rPr>
                <w:sz w:val="32"/>
                <w:szCs w:val="32"/>
                <w:u w:val="single"/>
                <w:rtl/>
              </w:rPr>
              <w:t>ב</w:t>
            </w:r>
            <w:r w:rsidRPr="00424BFC">
              <w:rPr>
                <w:sz w:val="32"/>
                <w:szCs w:val="32"/>
                <w:u w:val="single"/>
                <w:rtl/>
              </w:rPr>
              <w:fldChar w:fldCharType="begin"/>
            </w:r>
            <w:r w:rsidRPr="00424BFC">
              <w:rPr>
                <w:sz w:val="32"/>
                <w:szCs w:val="32"/>
                <w:u w:val="single"/>
                <w:rtl/>
              </w:rPr>
              <w:instrText xml:space="preserve"> </w:instrText>
            </w:r>
            <w:r w:rsidRPr="00424BFC">
              <w:rPr>
                <w:rFonts w:hint="cs"/>
                <w:sz w:val="32"/>
                <w:szCs w:val="32"/>
                <w:u w:val="single"/>
              </w:rPr>
              <w:instrText>DOCPROPERTY tnufa_case.tnufa_courtid \* MERGEFORMAT</w:instrText>
            </w:r>
            <w:r w:rsidRPr="00424BFC">
              <w:rPr>
                <w:sz w:val="32"/>
                <w:szCs w:val="32"/>
                <w:u w:val="single"/>
                <w:rtl/>
              </w:rPr>
              <w:instrText xml:space="preserve"> </w:instrText>
            </w:r>
            <w:r w:rsidRPr="00424BFC">
              <w:rPr>
                <w:sz w:val="32"/>
                <w:szCs w:val="32"/>
                <w:u w:val="single"/>
                <w:rtl/>
              </w:rPr>
              <w:fldChar w:fldCharType="separate"/>
            </w:r>
            <w:r w:rsidRPr="00424BFC">
              <w:rPr>
                <w:sz w:val="32"/>
                <w:szCs w:val="32"/>
                <w:u w:val="single"/>
                <w:rtl/>
              </w:rPr>
              <w:t>בית משפט המחוזי מרכז</w:t>
            </w:r>
            <w:r w:rsidRPr="00424BFC">
              <w:rPr>
                <w:sz w:val="32"/>
                <w:szCs w:val="32"/>
                <w:u w:val="single"/>
                <w:rtl/>
              </w:rPr>
              <w:fldChar w:fldCharType="end"/>
            </w:r>
          </w:p>
          <w:p w:rsidR="0040130D" w:rsidRPr="00424BFC" w:rsidRDefault="0040130D" w:rsidP="00F22F63">
            <w:pPr>
              <w:ind w:right="589"/>
              <w:rPr>
                <w:sz w:val="32"/>
                <w:szCs w:val="32"/>
                <w:rtl/>
              </w:rPr>
            </w:pPr>
          </w:p>
        </w:tc>
        <w:tc>
          <w:tcPr>
            <w:tcW w:w="567" w:type="dxa"/>
          </w:tcPr>
          <w:p w:rsidR="0040130D" w:rsidRPr="00424BFC" w:rsidRDefault="0040130D" w:rsidP="007B4099">
            <w:pPr>
              <w:pStyle w:val="1"/>
              <w:spacing w:line="360" w:lineRule="auto"/>
              <w:rPr>
                <w:b w:val="0"/>
                <w:bCs w:val="0"/>
                <w:sz w:val="32"/>
                <w:szCs w:val="32"/>
                <w:rtl/>
              </w:rPr>
            </w:pPr>
          </w:p>
        </w:tc>
        <w:tc>
          <w:tcPr>
            <w:tcW w:w="4679" w:type="dxa"/>
          </w:tcPr>
          <w:p w:rsidR="002431BA" w:rsidRPr="00424BFC" w:rsidRDefault="002431BA" w:rsidP="002431BA">
            <w:pPr>
              <w:pStyle w:val="1"/>
              <w:spacing w:line="360" w:lineRule="auto"/>
              <w:rPr>
                <w:sz w:val="32"/>
                <w:szCs w:val="32"/>
                <w:rtl/>
              </w:rPr>
            </w:pPr>
            <w:r w:rsidRPr="00424BFC">
              <w:rPr>
                <w:rFonts w:hint="cs"/>
                <w:sz w:val="32"/>
                <w:szCs w:val="32"/>
                <w:rtl/>
              </w:rPr>
              <w:t xml:space="preserve">     </w:t>
            </w:r>
            <w:r w:rsidR="0040130D" w:rsidRPr="00424BFC">
              <w:rPr>
                <w:sz w:val="32"/>
                <w:szCs w:val="32"/>
                <w:rtl/>
              </w:rPr>
              <w:fldChar w:fldCharType="begin"/>
            </w:r>
            <w:r w:rsidR="0040130D" w:rsidRPr="00424BFC">
              <w:rPr>
                <w:sz w:val="32"/>
                <w:szCs w:val="32"/>
                <w:rtl/>
              </w:rPr>
              <w:instrText xml:space="preserve"> </w:instrText>
            </w:r>
            <w:r w:rsidR="0040130D" w:rsidRPr="00424BFC">
              <w:rPr>
                <w:rFonts w:hint="cs"/>
                <w:sz w:val="32"/>
                <w:szCs w:val="32"/>
              </w:rPr>
              <w:instrText>DOCPROPERTY tnufa_case.tnufa_bamacasetype \* MERGEFORMAT</w:instrText>
            </w:r>
            <w:r w:rsidR="0040130D" w:rsidRPr="00424BFC">
              <w:rPr>
                <w:sz w:val="32"/>
                <w:szCs w:val="32"/>
                <w:rtl/>
              </w:rPr>
              <w:instrText xml:space="preserve"> </w:instrText>
            </w:r>
            <w:r w:rsidR="0040130D" w:rsidRPr="00424BFC">
              <w:rPr>
                <w:sz w:val="32"/>
                <w:szCs w:val="32"/>
                <w:rtl/>
              </w:rPr>
              <w:fldChar w:fldCharType="separate"/>
            </w:r>
            <w:r w:rsidR="0040130D" w:rsidRPr="00424BFC">
              <w:rPr>
                <w:sz w:val="32"/>
                <w:szCs w:val="32"/>
                <w:rtl/>
              </w:rPr>
              <w:t>ת"א</w:t>
            </w:r>
            <w:r w:rsidR="0040130D" w:rsidRPr="00424BFC">
              <w:rPr>
                <w:sz w:val="32"/>
                <w:szCs w:val="32"/>
                <w:rtl/>
              </w:rPr>
              <w:fldChar w:fldCharType="end"/>
            </w:r>
            <w:r w:rsidR="0040130D" w:rsidRPr="00424BFC">
              <w:rPr>
                <w:rFonts w:hint="cs"/>
                <w:sz w:val="32"/>
                <w:szCs w:val="32"/>
                <w:rtl/>
              </w:rPr>
              <w:t xml:space="preserve"> </w:t>
            </w:r>
            <w:r w:rsidR="0040130D" w:rsidRPr="00424BFC">
              <w:rPr>
                <w:sz w:val="32"/>
                <w:szCs w:val="32"/>
                <w:rtl/>
              </w:rPr>
              <w:fldChar w:fldCharType="begin"/>
            </w:r>
            <w:r w:rsidR="0040130D" w:rsidRPr="00424BFC">
              <w:rPr>
                <w:sz w:val="32"/>
                <w:szCs w:val="32"/>
                <w:rtl/>
              </w:rPr>
              <w:instrText xml:space="preserve"> </w:instrText>
            </w:r>
            <w:r w:rsidR="0040130D" w:rsidRPr="00424BFC">
              <w:rPr>
                <w:sz w:val="32"/>
                <w:szCs w:val="32"/>
              </w:rPr>
              <w:instrText>DOCPROPERTY account.tnufa_courtcasenumber \* MERGEFORMAT</w:instrText>
            </w:r>
            <w:r w:rsidR="0040130D" w:rsidRPr="00424BFC">
              <w:rPr>
                <w:sz w:val="32"/>
                <w:szCs w:val="32"/>
                <w:rtl/>
              </w:rPr>
              <w:instrText xml:space="preserve"> </w:instrText>
            </w:r>
            <w:r w:rsidR="0040130D" w:rsidRPr="00424BFC">
              <w:rPr>
                <w:sz w:val="32"/>
                <w:szCs w:val="32"/>
                <w:rtl/>
              </w:rPr>
              <w:fldChar w:fldCharType="separate"/>
            </w:r>
            <w:r w:rsidR="0040130D" w:rsidRPr="00424BFC">
              <w:rPr>
                <w:sz w:val="32"/>
                <w:szCs w:val="32"/>
                <w:rtl/>
              </w:rPr>
              <w:t>61703-02-18</w:t>
            </w:r>
            <w:r w:rsidR="0040130D" w:rsidRPr="00424BFC">
              <w:rPr>
                <w:sz w:val="32"/>
                <w:szCs w:val="32"/>
                <w:rtl/>
              </w:rPr>
              <w:fldChar w:fldCharType="end"/>
            </w:r>
          </w:p>
          <w:p w:rsidR="0040130D" w:rsidRPr="00424BFC" w:rsidRDefault="002431BA" w:rsidP="002431BA">
            <w:pPr>
              <w:pStyle w:val="1"/>
              <w:spacing w:line="360" w:lineRule="auto"/>
              <w:rPr>
                <w:b w:val="0"/>
                <w:bCs w:val="0"/>
                <w:sz w:val="32"/>
                <w:szCs w:val="32"/>
                <w:rtl/>
              </w:rPr>
            </w:pPr>
            <w:r w:rsidRPr="00424BFC">
              <w:rPr>
                <w:rFonts w:hint="cs"/>
                <w:sz w:val="32"/>
                <w:szCs w:val="32"/>
                <w:rtl/>
              </w:rPr>
              <w:t>לפני כבוד</w:t>
            </w:r>
            <w:r w:rsidRPr="00424BFC">
              <w:rPr>
                <w:sz w:val="32"/>
                <w:szCs w:val="32"/>
                <w:rtl/>
              </w:rPr>
              <w:fldChar w:fldCharType="begin"/>
            </w:r>
            <w:r w:rsidRPr="00424BFC">
              <w:rPr>
                <w:sz w:val="32"/>
                <w:szCs w:val="32"/>
                <w:rtl/>
              </w:rPr>
              <w:instrText xml:space="preserve"> </w:instrText>
            </w:r>
            <w:r w:rsidRPr="00424BFC">
              <w:rPr>
                <w:rFonts w:hint="cs"/>
                <w:sz w:val="32"/>
                <w:szCs w:val="32"/>
              </w:rPr>
              <w:instrText>DOCPROPERTY tnufa_judge.tnufa_courtrole \* MERGEFORMAT</w:instrText>
            </w:r>
            <w:r w:rsidRPr="00424BFC">
              <w:rPr>
                <w:sz w:val="32"/>
                <w:szCs w:val="32"/>
                <w:rtl/>
              </w:rPr>
              <w:instrText xml:space="preserve"> </w:instrText>
            </w:r>
            <w:r w:rsidRPr="00424BFC">
              <w:rPr>
                <w:sz w:val="32"/>
                <w:szCs w:val="32"/>
                <w:rtl/>
              </w:rPr>
              <w:fldChar w:fldCharType="end"/>
            </w:r>
            <w:r w:rsidRPr="00424BFC">
              <w:rPr>
                <w:rFonts w:hint="cs"/>
                <w:sz w:val="32"/>
                <w:szCs w:val="32"/>
                <w:rtl/>
              </w:rPr>
              <w:t xml:space="preserve"> השופט</w:t>
            </w:r>
            <w:r w:rsidRPr="00424BFC">
              <w:rPr>
                <w:sz w:val="32"/>
                <w:szCs w:val="32"/>
                <w:rtl/>
              </w:rPr>
              <w:fldChar w:fldCharType="begin"/>
            </w:r>
            <w:r w:rsidRPr="00424BFC">
              <w:rPr>
                <w:sz w:val="32"/>
                <w:szCs w:val="32"/>
                <w:rtl/>
              </w:rPr>
              <w:instrText xml:space="preserve"> </w:instrText>
            </w:r>
            <w:r w:rsidRPr="00424BFC">
              <w:rPr>
                <w:rFonts w:hint="cs"/>
                <w:sz w:val="32"/>
                <w:szCs w:val="32"/>
              </w:rPr>
              <w:instrText>DOCPROPERTY tnufa_judge.tnufa_title \* MERGEFORMAT</w:instrText>
            </w:r>
            <w:r w:rsidRPr="00424BFC">
              <w:rPr>
                <w:sz w:val="32"/>
                <w:szCs w:val="32"/>
                <w:rtl/>
              </w:rPr>
              <w:instrText xml:space="preserve"> </w:instrText>
            </w:r>
            <w:r w:rsidRPr="00424BFC">
              <w:rPr>
                <w:sz w:val="32"/>
                <w:szCs w:val="32"/>
                <w:rtl/>
              </w:rPr>
              <w:fldChar w:fldCharType="end"/>
            </w:r>
            <w:r w:rsidRPr="00424BFC">
              <w:rPr>
                <w:sz w:val="32"/>
                <w:szCs w:val="32"/>
                <w:rtl/>
              </w:rPr>
              <w:fldChar w:fldCharType="begin"/>
            </w:r>
            <w:r w:rsidRPr="00424BFC">
              <w:rPr>
                <w:sz w:val="32"/>
                <w:szCs w:val="32"/>
                <w:rtl/>
              </w:rPr>
              <w:instrText xml:space="preserve"> </w:instrText>
            </w:r>
            <w:r w:rsidRPr="00424BFC">
              <w:rPr>
                <w:rFonts w:hint="cs"/>
                <w:sz w:val="32"/>
                <w:szCs w:val="32"/>
              </w:rPr>
              <w:instrText>DOCPROPERTY tnufa_discussion.tnufa_judgeid \* MERGEFORMAT</w:instrText>
            </w:r>
            <w:r w:rsidRPr="00424BFC">
              <w:rPr>
                <w:sz w:val="32"/>
                <w:szCs w:val="32"/>
                <w:rtl/>
              </w:rPr>
              <w:instrText xml:space="preserve"> </w:instrText>
            </w:r>
            <w:r w:rsidRPr="00424BFC">
              <w:rPr>
                <w:sz w:val="32"/>
                <w:szCs w:val="32"/>
                <w:rtl/>
              </w:rPr>
              <w:fldChar w:fldCharType="separate"/>
            </w:r>
            <w:r w:rsidRPr="00424BFC">
              <w:rPr>
                <w:sz w:val="32"/>
                <w:szCs w:val="32"/>
                <w:rtl/>
              </w:rPr>
              <w:t xml:space="preserve"> א</w:t>
            </w:r>
            <w:r w:rsidRPr="00424BFC">
              <w:rPr>
                <w:rFonts w:hint="cs"/>
                <w:sz w:val="32"/>
                <w:szCs w:val="32"/>
                <w:rtl/>
              </w:rPr>
              <w:t>'</w:t>
            </w:r>
            <w:r w:rsidRPr="00424BFC">
              <w:rPr>
                <w:sz w:val="32"/>
                <w:szCs w:val="32"/>
                <w:rtl/>
              </w:rPr>
              <w:t xml:space="preserve"> סטולר</w:t>
            </w:r>
            <w:r w:rsidRPr="00424BFC">
              <w:rPr>
                <w:sz w:val="32"/>
                <w:szCs w:val="32"/>
                <w:rtl/>
              </w:rPr>
              <w:fldChar w:fldCharType="end"/>
            </w:r>
          </w:p>
        </w:tc>
      </w:tr>
    </w:tbl>
    <w:p w:rsidR="00A93826" w:rsidRPr="00E7101E" w:rsidRDefault="00A93826" w:rsidP="00B6565D">
      <w:pPr>
        <w:spacing w:line="360" w:lineRule="auto"/>
        <w:rPr>
          <w:rFonts w:cs="David"/>
          <w:sz w:val="24"/>
          <w:szCs w:val="24"/>
          <w:rtl/>
        </w:rPr>
      </w:pPr>
      <w:bookmarkStart w:id="0" w:name="OLE_LINK1"/>
      <w:bookmarkStart w:id="1" w:name="OLE_LINK2"/>
    </w:p>
    <w:bookmarkEnd w:id="0"/>
    <w:bookmarkEnd w:id="1"/>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Caption w:val="positiona"/>
        <w:tblDescription w:val="positiona_col1,positiona_col2,positiona_col3"/>
      </w:tblPr>
      <w:tblGrid>
        <w:gridCol w:w="2552"/>
        <w:gridCol w:w="617"/>
        <w:gridCol w:w="5387"/>
      </w:tblGrid>
      <w:tr w:rsidR="006D3927" w:rsidRPr="00E7101E" w:rsidTr="00664F7D">
        <w:trPr>
          <w:trHeight w:val="125"/>
        </w:trPr>
        <w:tc>
          <w:tcPr>
            <w:tcW w:w="2552" w:type="dxa"/>
            <w:noWrap/>
          </w:tcPr>
          <w:p w:rsidR="006D3927" w:rsidRPr="00E7101E" w:rsidRDefault="006D3927" w:rsidP="002431BA">
            <w:pPr>
              <w:tabs>
                <w:tab w:val="left" w:pos="2186"/>
              </w:tabs>
              <w:rPr>
                <w:rFonts w:cs="David"/>
                <w:sz w:val="24"/>
                <w:szCs w:val="24"/>
              </w:rPr>
            </w:pPr>
          </w:p>
        </w:tc>
        <w:tc>
          <w:tcPr>
            <w:tcW w:w="617" w:type="dxa"/>
            <w:noWrap/>
          </w:tcPr>
          <w:p w:rsidR="006D3927" w:rsidRPr="00E7101E" w:rsidRDefault="006D3927" w:rsidP="00B6565D">
            <w:pPr>
              <w:tabs>
                <w:tab w:val="left" w:pos="2186"/>
              </w:tabs>
              <w:spacing w:line="360" w:lineRule="auto"/>
              <w:rPr>
                <w:rFonts w:cs="David"/>
                <w:sz w:val="24"/>
                <w:szCs w:val="24"/>
                <w:rtl/>
              </w:rPr>
            </w:pPr>
          </w:p>
        </w:tc>
        <w:tc>
          <w:tcPr>
            <w:tcW w:w="5387" w:type="dxa"/>
            <w:noWrap/>
          </w:tcPr>
          <w:p w:rsidR="006D3927" w:rsidRPr="00E7101E" w:rsidRDefault="006D3927" w:rsidP="00B6565D">
            <w:pPr>
              <w:tabs>
                <w:tab w:val="left" w:pos="2186"/>
              </w:tabs>
              <w:spacing w:line="360" w:lineRule="auto"/>
              <w:rPr>
                <w:rFonts w:cs="David"/>
                <w:sz w:val="24"/>
                <w:szCs w:val="24"/>
                <w:rtl/>
              </w:rPr>
            </w:pPr>
          </w:p>
        </w:tc>
      </w:tr>
      <w:tr w:rsidR="006D3927" w:rsidRPr="00E7101E" w:rsidTr="00664F7D">
        <w:trPr>
          <w:trHeight w:val="125"/>
        </w:trPr>
        <w:tc>
          <w:tcPr>
            <w:tcW w:w="2552" w:type="dxa"/>
            <w:noWrap/>
          </w:tcPr>
          <w:p w:rsidR="00B76994" w:rsidRPr="00FA0D9B" w:rsidRDefault="002431BA" w:rsidP="00B76994">
            <w:pPr>
              <w:tabs>
                <w:tab w:val="left" w:pos="2186"/>
              </w:tabs>
              <w:spacing w:line="360" w:lineRule="auto"/>
              <w:rPr>
                <w:rFonts w:cs="David"/>
                <w:b/>
                <w:bCs/>
                <w:sz w:val="24"/>
                <w:szCs w:val="24"/>
                <w:u w:val="single"/>
              </w:rPr>
            </w:pPr>
            <w:r w:rsidRPr="00FA0D9B">
              <w:rPr>
                <w:rFonts w:cs="David" w:hint="cs"/>
                <w:b/>
                <w:bCs/>
                <w:sz w:val="24"/>
                <w:szCs w:val="24"/>
                <w:u w:val="single"/>
                <w:rtl/>
              </w:rPr>
              <w:t>ה</w:t>
            </w:r>
            <w:r w:rsidR="00EA1C61" w:rsidRPr="00FA0D9B">
              <w:rPr>
                <w:rFonts w:cs="David"/>
                <w:b/>
                <w:bCs/>
                <w:sz w:val="24"/>
                <w:szCs w:val="24"/>
                <w:u w:val="single"/>
              </w:rPr>
              <w:fldChar w:fldCharType="begin"/>
            </w:r>
            <w:r w:rsidR="00EA1C61" w:rsidRPr="00FA0D9B">
              <w:rPr>
                <w:rFonts w:cs="David"/>
                <w:b/>
                <w:bCs/>
                <w:sz w:val="24"/>
                <w:szCs w:val="24"/>
                <w:u w:val="single"/>
              </w:rPr>
              <w:instrText xml:space="preserve"> DOCPROPERTY positiona_col1 \* MERGEFORMAT </w:instrText>
            </w:r>
            <w:r w:rsidR="00EA1C61" w:rsidRPr="00FA0D9B">
              <w:rPr>
                <w:rFonts w:cs="David"/>
                <w:b/>
                <w:bCs/>
                <w:sz w:val="24"/>
                <w:szCs w:val="24"/>
                <w:u w:val="single"/>
              </w:rPr>
              <w:fldChar w:fldCharType="separate"/>
            </w:r>
            <w:r w:rsidR="00EA1C61" w:rsidRPr="00FA0D9B">
              <w:rPr>
                <w:rFonts w:cs="David"/>
                <w:b/>
                <w:bCs/>
                <w:sz w:val="24"/>
                <w:szCs w:val="24"/>
                <w:u w:val="single"/>
                <w:rtl/>
              </w:rPr>
              <w:t>תובע</w:t>
            </w:r>
            <w:r w:rsidR="00EA1C61" w:rsidRPr="00FA0D9B">
              <w:rPr>
                <w:rFonts w:cs="David"/>
                <w:b/>
                <w:bCs/>
                <w:sz w:val="24"/>
                <w:szCs w:val="24"/>
                <w:rtl/>
              </w:rPr>
              <w:t>:</w:t>
            </w:r>
            <w:r w:rsidR="00EA1C61" w:rsidRPr="00FA0D9B">
              <w:rPr>
                <w:rFonts w:cs="David"/>
                <w:b/>
                <w:bCs/>
                <w:sz w:val="24"/>
                <w:szCs w:val="24"/>
                <w:u w:val="single"/>
              </w:rPr>
              <w:fldChar w:fldCharType="end"/>
            </w:r>
          </w:p>
        </w:tc>
        <w:tc>
          <w:tcPr>
            <w:tcW w:w="617" w:type="dxa"/>
            <w:noWrap/>
          </w:tcPr>
          <w:p w:rsidR="006D3927" w:rsidRPr="00FA0D9B" w:rsidRDefault="00EA1C61" w:rsidP="00B6565D">
            <w:pPr>
              <w:tabs>
                <w:tab w:val="left" w:pos="2186"/>
              </w:tabs>
              <w:spacing w:line="360" w:lineRule="auto"/>
              <w:rPr>
                <w:rFonts w:cs="David"/>
                <w:b/>
                <w:bCs/>
                <w:sz w:val="24"/>
                <w:szCs w:val="24"/>
                <w:rtl/>
              </w:rPr>
            </w:pPr>
            <w:r w:rsidRPr="00FA0D9B">
              <w:rPr>
                <w:rFonts w:cs="David"/>
                <w:b/>
                <w:bCs/>
                <w:sz w:val="24"/>
                <w:szCs w:val="24"/>
              </w:rPr>
              <w:fldChar w:fldCharType="begin"/>
            </w:r>
            <w:r w:rsidRPr="00FA0D9B">
              <w:rPr>
                <w:rFonts w:cs="David"/>
                <w:b/>
                <w:bCs/>
                <w:sz w:val="24"/>
                <w:szCs w:val="24"/>
              </w:rPr>
              <w:instrText xml:space="preserve"> DOCPROPERTY positiona_col2 \* MERGEFORMAT </w:instrText>
            </w:r>
            <w:r w:rsidRPr="00FA0D9B">
              <w:rPr>
                <w:rFonts w:cs="David"/>
                <w:b/>
                <w:bCs/>
                <w:sz w:val="24"/>
                <w:szCs w:val="24"/>
              </w:rPr>
              <w:fldChar w:fldCharType="separate"/>
            </w:r>
            <w:r w:rsidRPr="00FA0D9B">
              <w:rPr>
                <w:rFonts w:cs="David"/>
                <w:b/>
                <w:bCs/>
                <w:sz w:val="24"/>
                <w:szCs w:val="24"/>
                <w:rtl/>
              </w:rPr>
              <w:t xml:space="preserve"> </w:t>
            </w:r>
            <w:r w:rsidRPr="00FA0D9B">
              <w:rPr>
                <w:rFonts w:cs="David"/>
                <w:b/>
                <w:bCs/>
                <w:sz w:val="24"/>
                <w:szCs w:val="24"/>
              </w:rPr>
              <w:fldChar w:fldCharType="end"/>
            </w:r>
          </w:p>
        </w:tc>
        <w:tc>
          <w:tcPr>
            <w:tcW w:w="5387" w:type="dxa"/>
            <w:noWrap/>
          </w:tcPr>
          <w:p w:rsidR="006D3927" w:rsidRPr="00FA0D9B" w:rsidRDefault="00EA1C61" w:rsidP="00B6565D">
            <w:pPr>
              <w:tabs>
                <w:tab w:val="left" w:pos="2186"/>
              </w:tabs>
              <w:spacing w:line="360" w:lineRule="auto"/>
              <w:rPr>
                <w:rFonts w:cs="David"/>
                <w:b/>
                <w:bCs/>
                <w:sz w:val="24"/>
                <w:szCs w:val="24"/>
                <w:rtl/>
              </w:rPr>
            </w:pPr>
            <w:r w:rsidRPr="00FA0D9B">
              <w:rPr>
                <w:rFonts w:cs="David"/>
                <w:b/>
                <w:bCs/>
                <w:sz w:val="24"/>
                <w:szCs w:val="24"/>
              </w:rPr>
              <w:fldChar w:fldCharType="begin"/>
            </w:r>
            <w:r w:rsidRPr="00FA0D9B">
              <w:rPr>
                <w:rFonts w:cs="David"/>
                <w:b/>
                <w:bCs/>
                <w:sz w:val="24"/>
                <w:szCs w:val="24"/>
              </w:rPr>
              <w:instrText xml:space="preserve"> DOCPROPERTY positiona_col3 \* MERGEFORMAT </w:instrText>
            </w:r>
            <w:r w:rsidRPr="00FA0D9B">
              <w:rPr>
                <w:rFonts w:cs="David"/>
                <w:b/>
                <w:bCs/>
                <w:sz w:val="24"/>
                <w:szCs w:val="24"/>
              </w:rPr>
              <w:fldChar w:fldCharType="separate"/>
            </w:r>
            <w:r w:rsidRPr="00FA0D9B">
              <w:rPr>
                <w:rFonts w:cs="David"/>
                <w:b/>
                <w:bCs/>
                <w:sz w:val="24"/>
                <w:szCs w:val="24"/>
                <w:rtl/>
              </w:rPr>
              <w:t>גור פינקלשטי</w:t>
            </w:r>
            <w:r w:rsidR="002431BA" w:rsidRPr="00FA0D9B">
              <w:rPr>
                <w:rFonts w:cs="David" w:hint="cs"/>
                <w:b/>
                <w:bCs/>
                <w:sz w:val="24"/>
                <w:szCs w:val="24"/>
                <w:rtl/>
              </w:rPr>
              <w:t>י</w:t>
            </w:r>
            <w:r w:rsidRPr="00FA0D9B">
              <w:rPr>
                <w:rFonts w:cs="David"/>
                <w:b/>
                <w:bCs/>
                <w:sz w:val="24"/>
                <w:szCs w:val="24"/>
                <w:rtl/>
              </w:rPr>
              <w:t>ן, ת"ז 027860972</w:t>
            </w:r>
            <w:r w:rsidRPr="00FA0D9B">
              <w:rPr>
                <w:rFonts w:cs="David"/>
                <w:b/>
                <w:bCs/>
                <w:sz w:val="24"/>
                <w:szCs w:val="24"/>
              </w:rPr>
              <w:fldChar w:fldCharType="end"/>
            </w:r>
          </w:p>
        </w:tc>
      </w:tr>
      <w:tr w:rsidR="006D3927" w:rsidRPr="00E7101E" w:rsidTr="00664F7D">
        <w:trPr>
          <w:trHeight w:val="125"/>
        </w:trPr>
        <w:tc>
          <w:tcPr>
            <w:tcW w:w="2552" w:type="dxa"/>
            <w:noWrap/>
          </w:tcPr>
          <w:p w:rsidR="00B76994" w:rsidRPr="00E7101E" w:rsidRDefault="00EA1C61" w:rsidP="00B76994">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positiona_col1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617"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positiona_col2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5387" w:type="dxa"/>
            <w:noWrap/>
          </w:tcPr>
          <w:p w:rsidR="006D3927" w:rsidRPr="00E7101E" w:rsidRDefault="00EA1C61" w:rsidP="002431BA">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positiona_col3 \* MERGEFORMAT </w:instrText>
            </w:r>
            <w:r w:rsidRPr="00E7101E">
              <w:rPr>
                <w:rFonts w:cs="David"/>
                <w:sz w:val="24"/>
                <w:szCs w:val="24"/>
              </w:rPr>
              <w:fldChar w:fldCharType="separate"/>
            </w:r>
            <w:r w:rsidRPr="00E7101E">
              <w:rPr>
                <w:rFonts w:cs="David"/>
                <w:sz w:val="24"/>
                <w:szCs w:val="24"/>
                <w:rtl/>
              </w:rPr>
              <w:t xml:space="preserve">ע"י ב"כ עו"ד </w:t>
            </w:r>
            <w:r w:rsidR="002431BA" w:rsidRPr="00E7101E">
              <w:rPr>
                <w:rFonts w:cs="David" w:hint="cs"/>
                <w:sz w:val="24"/>
                <w:szCs w:val="24"/>
                <w:rtl/>
              </w:rPr>
              <w:t>נחמן גולדברג</w:t>
            </w:r>
            <w:r w:rsidRPr="00E7101E">
              <w:rPr>
                <w:rFonts w:cs="David"/>
                <w:sz w:val="24"/>
                <w:szCs w:val="24"/>
              </w:rPr>
              <w:fldChar w:fldCharType="end"/>
            </w:r>
          </w:p>
        </w:tc>
      </w:tr>
      <w:tr w:rsidR="006D3927" w:rsidRPr="00E7101E" w:rsidTr="00664F7D">
        <w:trPr>
          <w:trHeight w:val="125"/>
        </w:trPr>
        <w:tc>
          <w:tcPr>
            <w:tcW w:w="2552" w:type="dxa"/>
            <w:noWrap/>
          </w:tcPr>
          <w:p w:rsidR="00B76994" w:rsidRPr="00E7101E" w:rsidRDefault="00EA1C61" w:rsidP="00B76994">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positiona_col1 \* MERGEFORMAT </w:instrText>
            </w:r>
            <w:r w:rsidRPr="00E7101E">
              <w:rPr>
                <w:rFonts w:cs="David"/>
                <w:sz w:val="24"/>
                <w:szCs w:val="24"/>
              </w:rPr>
              <w:fldChar w:fldCharType="end"/>
            </w:r>
          </w:p>
        </w:tc>
        <w:tc>
          <w:tcPr>
            <w:tcW w:w="617"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positiona_col2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5387" w:type="dxa"/>
            <w:noWrap/>
          </w:tcPr>
          <w:p w:rsidR="006D3927" w:rsidRPr="00E7101E" w:rsidRDefault="00EA1C61" w:rsidP="002431BA">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positiona_col3 \* MERGEFORMAT </w:instrText>
            </w:r>
            <w:r w:rsidRPr="00E7101E">
              <w:rPr>
                <w:rFonts w:cs="David"/>
                <w:sz w:val="24"/>
                <w:szCs w:val="24"/>
              </w:rPr>
              <w:fldChar w:fldCharType="separate"/>
            </w:r>
            <w:r w:rsidRPr="00E7101E">
              <w:rPr>
                <w:rFonts w:cs="David"/>
                <w:sz w:val="24"/>
                <w:szCs w:val="24"/>
                <w:rtl/>
              </w:rPr>
              <w:t>מרח' צייטלין 1</w:t>
            </w:r>
            <w:r w:rsidR="002431BA" w:rsidRPr="00E7101E">
              <w:rPr>
                <w:rFonts w:cs="David" w:hint="cs"/>
                <w:sz w:val="24"/>
                <w:szCs w:val="24"/>
                <w:rtl/>
              </w:rPr>
              <w:t>, תל-אביב</w:t>
            </w:r>
            <w:r w:rsidRPr="00E7101E">
              <w:rPr>
                <w:rFonts w:cs="David"/>
                <w:sz w:val="24"/>
                <w:szCs w:val="24"/>
                <w:rtl/>
              </w:rPr>
              <w:t xml:space="preserve"> </w:t>
            </w:r>
            <w:r w:rsidR="002431BA" w:rsidRPr="00E7101E">
              <w:rPr>
                <w:rFonts w:cs="David" w:hint="cs"/>
                <w:sz w:val="24"/>
                <w:szCs w:val="24"/>
                <w:rtl/>
              </w:rPr>
              <w:t>6495601</w:t>
            </w:r>
            <w:r w:rsidRPr="00E7101E">
              <w:rPr>
                <w:rFonts w:cs="David"/>
                <w:sz w:val="24"/>
                <w:szCs w:val="24"/>
              </w:rPr>
              <w:fldChar w:fldCharType="end"/>
            </w:r>
          </w:p>
        </w:tc>
      </w:tr>
      <w:tr w:rsidR="006D3927" w:rsidRPr="00E7101E" w:rsidTr="00664F7D">
        <w:trPr>
          <w:trHeight w:val="125"/>
        </w:trPr>
        <w:tc>
          <w:tcPr>
            <w:tcW w:w="2552" w:type="dxa"/>
            <w:noWrap/>
          </w:tcPr>
          <w:p w:rsidR="00B76994" w:rsidRPr="00E7101E" w:rsidRDefault="00EA1C61" w:rsidP="00B76994">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positiona_col1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617"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positiona_col2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5387" w:type="dxa"/>
            <w:noWrap/>
          </w:tcPr>
          <w:p w:rsidR="006D3927" w:rsidRPr="00E7101E" w:rsidRDefault="00EA1C61" w:rsidP="002431BA">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positiona_col3 \* MERGEFORMAT </w:instrText>
            </w:r>
            <w:r w:rsidRPr="00E7101E">
              <w:rPr>
                <w:rFonts w:cs="David"/>
                <w:sz w:val="24"/>
                <w:szCs w:val="24"/>
              </w:rPr>
              <w:fldChar w:fldCharType="separate"/>
            </w:r>
            <w:r w:rsidRPr="00E7101E">
              <w:rPr>
                <w:rFonts w:cs="David"/>
                <w:sz w:val="24"/>
                <w:szCs w:val="24"/>
                <w:rtl/>
              </w:rPr>
              <w:t>טל': 03</w:t>
            </w:r>
            <w:r w:rsidR="002431BA" w:rsidRPr="00E7101E">
              <w:rPr>
                <w:rFonts w:cs="David" w:hint="cs"/>
                <w:sz w:val="24"/>
                <w:szCs w:val="24"/>
                <w:rtl/>
              </w:rPr>
              <w:t>-6964818;</w:t>
            </w:r>
            <w:r w:rsidRPr="00E7101E">
              <w:rPr>
                <w:rFonts w:cs="David"/>
                <w:sz w:val="24"/>
                <w:szCs w:val="24"/>
                <w:rtl/>
              </w:rPr>
              <w:t xml:space="preserve"> פקס: </w:t>
            </w:r>
            <w:r w:rsidR="002431BA" w:rsidRPr="00E7101E">
              <w:rPr>
                <w:rFonts w:ascii="David" w:hAnsi="David" w:cs="David" w:hint="cs"/>
                <w:sz w:val="24"/>
                <w:szCs w:val="24"/>
                <w:rtl/>
              </w:rPr>
              <w:t>03-6914231</w:t>
            </w:r>
            <w:r w:rsidRPr="00E7101E">
              <w:rPr>
                <w:rFonts w:cs="David"/>
                <w:sz w:val="24"/>
                <w:szCs w:val="24"/>
              </w:rPr>
              <w:fldChar w:fldCharType="end"/>
            </w:r>
          </w:p>
          <w:p w:rsidR="002431BA" w:rsidRPr="00E7101E" w:rsidRDefault="002431BA" w:rsidP="002431BA">
            <w:pPr>
              <w:tabs>
                <w:tab w:val="left" w:pos="2186"/>
              </w:tabs>
              <w:spacing w:line="360" w:lineRule="auto"/>
              <w:rPr>
                <w:rFonts w:cs="David"/>
                <w:sz w:val="24"/>
                <w:szCs w:val="24"/>
              </w:rPr>
            </w:pPr>
            <w:r w:rsidRPr="00E7101E">
              <w:rPr>
                <w:rFonts w:cs="David" w:hint="cs"/>
                <w:sz w:val="24"/>
                <w:szCs w:val="24"/>
                <w:rtl/>
              </w:rPr>
              <w:t xml:space="preserve">דוא"ל: </w:t>
            </w:r>
            <w:r w:rsidRPr="00E7101E">
              <w:rPr>
                <w:rFonts w:cs="David"/>
                <w:sz w:val="24"/>
                <w:szCs w:val="24"/>
              </w:rPr>
              <w:t>nagold@zahav.net.il</w:t>
            </w:r>
          </w:p>
        </w:tc>
      </w:tr>
    </w:tbl>
    <w:p w:rsidR="00B6565D" w:rsidRPr="00E7101E" w:rsidRDefault="00B6565D" w:rsidP="002431BA">
      <w:pPr>
        <w:tabs>
          <w:tab w:val="left" w:pos="2186"/>
        </w:tabs>
        <w:rPr>
          <w:rFonts w:cs="David"/>
          <w:sz w:val="24"/>
          <w:szCs w:val="24"/>
          <w:rtl/>
        </w:rPr>
      </w:pPr>
    </w:p>
    <w:p w:rsidR="00B6565D" w:rsidRPr="00726E2D" w:rsidRDefault="00B6565D" w:rsidP="00B6565D">
      <w:pPr>
        <w:tabs>
          <w:tab w:val="left" w:pos="1650"/>
        </w:tabs>
        <w:spacing w:line="360" w:lineRule="auto"/>
        <w:jc w:val="center"/>
        <w:rPr>
          <w:rFonts w:cs="David"/>
          <w:b/>
          <w:bCs/>
          <w:sz w:val="28"/>
          <w:szCs w:val="28"/>
          <w:rtl/>
        </w:rPr>
      </w:pPr>
      <w:r w:rsidRPr="00726E2D">
        <w:rPr>
          <w:rFonts w:cs="David" w:hint="cs"/>
          <w:b/>
          <w:bCs/>
          <w:sz w:val="28"/>
          <w:szCs w:val="28"/>
          <w:rtl/>
        </w:rPr>
        <w:t>-  נ  ג  ד  -</w:t>
      </w:r>
    </w:p>
    <w:p w:rsidR="00B6565D" w:rsidRPr="00E7101E" w:rsidRDefault="00B6565D" w:rsidP="002431BA">
      <w:pPr>
        <w:rPr>
          <w:rFonts w:cs="David"/>
          <w:sz w:val="24"/>
          <w:szCs w:val="24"/>
          <w:rtl/>
        </w:rPr>
      </w:pP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Caption w:val="positionb"/>
        <w:tblDescription w:val="positionb_col1,positionb_col2,positionb_col3"/>
      </w:tblPr>
      <w:tblGrid>
        <w:gridCol w:w="2552"/>
        <w:gridCol w:w="617"/>
        <w:gridCol w:w="5387"/>
      </w:tblGrid>
      <w:tr w:rsidR="006D3927" w:rsidRPr="00E7101E" w:rsidTr="00664F7D">
        <w:tc>
          <w:tcPr>
            <w:tcW w:w="2552" w:type="dxa"/>
            <w:noWrap/>
          </w:tcPr>
          <w:p w:rsidR="006D3927" w:rsidRPr="00FA0D9B" w:rsidRDefault="002431BA" w:rsidP="00B6565D">
            <w:pPr>
              <w:tabs>
                <w:tab w:val="left" w:pos="2186"/>
              </w:tabs>
              <w:spacing w:line="360" w:lineRule="auto"/>
              <w:rPr>
                <w:rFonts w:cs="David"/>
                <w:b/>
                <w:bCs/>
                <w:sz w:val="24"/>
                <w:szCs w:val="24"/>
                <w:u w:val="single"/>
                <w:rtl/>
              </w:rPr>
            </w:pPr>
            <w:r w:rsidRPr="00FA0D9B">
              <w:rPr>
                <w:rFonts w:cs="David" w:hint="cs"/>
                <w:b/>
                <w:bCs/>
                <w:sz w:val="24"/>
                <w:szCs w:val="24"/>
                <w:u w:val="single"/>
                <w:rtl/>
              </w:rPr>
              <w:t>ה</w:t>
            </w:r>
            <w:r w:rsidR="00EA1C61" w:rsidRPr="00FA0D9B">
              <w:rPr>
                <w:rFonts w:cs="David"/>
                <w:b/>
                <w:bCs/>
                <w:sz w:val="24"/>
                <w:szCs w:val="24"/>
                <w:u w:val="single"/>
              </w:rPr>
              <w:fldChar w:fldCharType="begin"/>
            </w:r>
            <w:r w:rsidR="00EA1C61" w:rsidRPr="00FA0D9B">
              <w:rPr>
                <w:rFonts w:cs="David"/>
                <w:b/>
                <w:bCs/>
                <w:sz w:val="24"/>
                <w:szCs w:val="24"/>
                <w:u w:val="single"/>
              </w:rPr>
              <w:instrText xml:space="preserve"> DOCPROPERTY positionb_col1 \* MERGEFORMAT </w:instrText>
            </w:r>
            <w:r w:rsidR="00EA1C61" w:rsidRPr="00FA0D9B">
              <w:rPr>
                <w:rFonts w:cs="David"/>
                <w:b/>
                <w:bCs/>
                <w:sz w:val="24"/>
                <w:szCs w:val="24"/>
                <w:u w:val="single"/>
              </w:rPr>
              <w:fldChar w:fldCharType="separate"/>
            </w:r>
            <w:r w:rsidR="00EA1C61" w:rsidRPr="00FA0D9B">
              <w:rPr>
                <w:rFonts w:cs="David"/>
                <w:b/>
                <w:bCs/>
                <w:sz w:val="24"/>
                <w:szCs w:val="24"/>
                <w:u w:val="single"/>
                <w:rtl/>
              </w:rPr>
              <w:t>נתבע</w:t>
            </w:r>
            <w:r w:rsidRPr="00FA0D9B">
              <w:rPr>
                <w:rFonts w:cs="David" w:hint="cs"/>
                <w:b/>
                <w:bCs/>
                <w:sz w:val="24"/>
                <w:szCs w:val="24"/>
                <w:u w:val="single"/>
                <w:rtl/>
              </w:rPr>
              <w:t>ת</w:t>
            </w:r>
            <w:r w:rsidR="00EA1C61" w:rsidRPr="00FA0D9B">
              <w:rPr>
                <w:rFonts w:cs="David"/>
                <w:sz w:val="24"/>
                <w:szCs w:val="24"/>
                <w:rtl/>
              </w:rPr>
              <w:t>:</w:t>
            </w:r>
            <w:r w:rsidR="00EA1C61" w:rsidRPr="00FA0D9B">
              <w:rPr>
                <w:rFonts w:cs="David"/>
                <w:b/>
                <w:bCs/>
                <w:sz w:val="24"/>
                <w:szCs w:val="24"/>
                <w:u w:val="single"/>
              </w:rPr>
              <w:fldChar w:fldCharType="end"/>
            </w:r>
          </w:p>
        </w:tc>
        <w:tc>
          <w:tcPr>
            <w:tcW w:w="617" w:type="dxa"/>
            <w:noWrap/>
          </w:tcPr>
          <w:p w:rsidR="006D3927" w:rsidRPr="00E7101E" w:rsidRDefault="006D3927" w:rsidP="00B6565D">
            <w:pPr>
              <w:tabs>
                <w:tab w:val="left" w:pos="2186"/>
              </w:tabs>
              <w:spacing w:line="360" w:lineRule="auto"/>
              <w:rPr>
                <w:rFonts w:cs="David"/>
                <w:sz w:val="24"/>
                <w:szCs w:val="24"/>
                <w:rtl/>
              </w:rPr>
            </w:pPr>
          </w:p>
        </w:tc>
        <w:tc>
          <w:tcPr>
            <w:tcW w:w="5387" w:type="dxa"/>
            <w:noWrap/>
          </w:tcPr>
          <w:p w:rsidR="006D3927" w:rsidRPr="00FA0D9B" w:rsidRDefault="002431BA" w:rsidP="002431BA">
            <w:pPr>
              <w:tabs>
                <w:tab w:val="left" w:pos="2186"/>
              </w:tabs>
              <w:spacing w:line="360" w:lineRule="auto"/>
              <w:rPr>
                <w:rFonts w:cs="David"/>
                <w:b/>
                <w:bCs/>
                <w:sz w:val="24"/>
                <w:szCs w:val="24"/>
                <w:rtl/>
              </w:rPr>
            </w:pPr>
            <w:r w:rsidRPr="00FA0D9B">
              <w:rPr>
                <w:rFonts w:cs="David" w:hint="cs"/>
                <w:b/>
                <w:bCs/>
                <w:sz w:val="24"/>
                <w:szCs w:val="24"/>
                <w:rtl/>
              </w:rPr>
              <w:t xml:space="preserve">מדינת ישראל (משטרת ישראל, פרקליטות מחוז ת"א (פלילי), שירות בתי הסוהר) </w:t>
            </w:r>
          </w:p>
        </w:tc>
      </w:tr>
      <w:tr w:rsidR="006D3927" w:rsidRPr="00E7101E" w:rsidTr="00664F7D">
        <w:tc>
          <w:tcPr>
            <w:tcW w:w="2552"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positionb_col1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617"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positionb_col2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5387"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positionb_col3 \* MERGEFORMAT </w:instrText>
            </w:r>
            <w:r w:rsidRPr="00E7101E">
              <w:rPr>
                <w:rFonts w:cs="David"/>
                <w:sz w:val="24"/>
                <w:szCs w:val="24"/>
              </w:rPr>
              <w:fldChar w:fldCharType="separate"/>
            </w:r>
            <w:r w:rsidRPr="00E7101E">
              <w:rPr>
                <w:rFonts w:cs="David"/>
                <w:sz w:val="24"/>
                <w:szCs w:val="24"/>
                <w:rtl/>
              </w:rPr>
              <w:t xml:space="preserve">ע"י </w:t>
            </w:r>
            <w:r w:rsidR="002431BA" w:rsidRPr="00E7101E">
              <w:rPr>
                <w:rFonts w:cs="David" w:hint="cs"/>
                <w:sz w:val="24"/>
                <w:szCs w:val="24"/>
                <w:rtl/>
              </w:rPr>
              <w:t>ב"כ עו"ד מ</w:t>
            </w:r>
            <w:r w:rsidRPr="00E7101E">
              <w:rPr>
                <w:rFonts w:cs="David"/>
                <w:sz w:val="24"/>
                <w:szCs w:val="24"/>
                <w:rtl/>
              </w:rPr>
              <w:t>פרקליטות מחוז מרכז- אזרחי</w:t>
            </w:r>
            <w:r w:rsidRPr="00E7101E">
              <w:rPr>
                <w:rFonts w:cs="David"/>
                <w:sz w:val="24"/>
                <w:szCs w:val="24"/>
              </w:rPr>
              <w:fldChar w:fldCharType="end"/>
            </w:r>
          </w:p>
        </w:tc>
      </w:tr>
      <w:tr w:rsidR="006D3927" w:rsidRPr="00E7101E" w:rsidTr="00664F7D">
        <w:tc>
          <w:tcPr>
            <w:tcW w:w="2552"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positionb_col1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617"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positionb_col2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5387" w:type="dxa"/>
            <w:noWrap/>
          </w:tcPr>
          <w:p w:rsidR="006D3927" w:rsidRPr="00E7101E" w:rsidRDefault="002431BA" w:rsidP="00B6565D">
            <w:pPr>
              <w:tabs>
                <w:tab w:val="left" w:pos="2186"/>
              </w:tabs>
              <w:spacing w:line="360" w:lineRule="auto"/>
              <w:rPr>
                <w:rFonts w:cs="David"/>
                <w:sz w:val="24"/>
                <w:szCs w:val="24"/>
                <w:rtl/>
              </w:rPr>
            </w:pPr>
            <w:r w:rsidRPr="00E7101E">
              <w:rPr>
                <w:rFonts w:cs="David" w:hint="cs"/>
                <w:sz w:val="24"/>
                <w:szCs w:val="24"/>
                <w:rtl/>
              </w:rPr>
              <w:t>מ</w:t>
            </w:r>
            <w:r w:rsidR="00EA1C61" w:rsidRPr="00E7101E">
              <w:rPr>
                <w:rFonts w:cs="David"/>
                <w:sz w:val="24"/>
                <w:szCs w:val="24"/>
              </w:rPr>
              <w:fldChar w:fldCharType="begin"/>
            </w:r>
            <w:r w:rsidR="00EA1C61" w:rsidRPr="00E7101E">
              <w:rPr>
                <w:rFonts w:cs="David"/>
                <w:sz w:val="24"/>
                <w:szCs w:val="24"/>
              </w:rPr>
              <w:instrText xml:space="preserve"> DOCPROPERTY positionb_col3 \* MERGEFORMAT </w:instrText>
            </w:r>
            <w:r w:rsidR="00EA1C61" w:rsidRPr="00E7101E">
              <w:rPr>
                <w:rFonts w:cs="David"/>
                <w:sz w:val="24"/>
                <w:szCs w:val="24"/>
              </w:rPr>
              <w:fldChar w:fldCharType="separate"/>
            </w:r>
            <w:r w:rsidR="00EA1C61" w:rsidRPr="00E7101E">
              <w:rPr>
                <w:rFonts w:cs="David"/>
                <w:sz w:val="24"/>
                <w:szCs w:val="24"/>
                <w:rtl/>
              </w:rPr>
              <w:t xml:space="preserve">דרך מנחם בגין 154 </w:t>
            </w:r>
            <w:r w:rsidRPr="00E7101E">
              <w:rPr>
                <w:rFonts w:cs="David" w:hint="cs"/>
                <w:sz w:val="24"/>
                <w:szCs w:val="24"/>
                <w:rtl/>
              </w:rPr>
              <w:t>(</w:t>
            </w:r>
            <w:r w:rsidR="00EA1C61" w:rsidRPr="00E7101E">
              <w:rPr>
                <w:rFonts w:cs="David"/>
                <w:sz w:val="24"/>
                <w:szCs w:val="24"/>
                <w:rtl/>
              </w:rPr>
              <w:t>בית קרדן</w:t>
            </w:r>
            <w:r w:rsidRPr="00E7101E">
              <w:rPr>
                <w:rFonts w:cs="David" w:hint="cs"/>
                <w:sz w:val="24"/>
                <w:szCs w:val="24"/>
                <w:rtl/>
              </w:rPr>
              <w:t>), תל-אביב</w:t>
            </w:r>
            <w:r w:rsidR="00EA1C61" w:rsidRPr="00E7101E">
              <w:rPr>
                <w:rFonts w:cs="David"/>
                <w:sz w:val="24"/>
                <w:szCs w:val="24"/>
                <w:rtl/>
              </w:rPr>
              <w:t xml:space="preserve"> 6492107</w:t>
            </w:r>
            <w:r w:rsidR="00EA1C61" w:rsidRPr="00E7101E">
              <w:rPr>
                <w:rFonts w:cs="David"/>
                <w:sz w:val="24"/>
                <w:szCs w:val="24"/>
              </w:rPr>
              <w:fldChar w:fldCharType="end"/>
            </w:r>
          </w:p>
        </w:tc>
      </w:tr>
      <w:tr w:rsidR="006D3927" w:rsidRPr="00E7101E" w:rsidTr="00664F7D">
        <w:tc>
          <w:tcPr>
            <w:tcW w:w="2552"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positionb_col1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617" w:type="dxa"/>
            <w:noWrap/>
          </w:tcPr>
          <w:p w:rsidR="006D3927" w:rsidRPr="00E7101E" w:rsidRDefault="00EA1C61" w:rsidP="00B6565D">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positionb_col2 \* MERGEFORMAT </w:instrText>
            </w:r>
            <w:r w:rsidRPr="00E7101E">
              <w:rPr>
                <w:rFonts w:cs="David"/>
                <w:sz w:val="24"/>
                <w:szCs w:val="24"/>
              </w:rPr>
              <w:fldChar w:fldCharType="separate"/>
            </w:r>
            <w:r w:rsidRPr="00E7101E">
              <w:rPr>
                <w:rFonts w:cs="David"/>
                <w:sz w:val="24"/>
                <w:szCs w:val="24"/>
                <w:rtl/>
              </w:rPr>
              <w:t xml:space="preserve"> </w:t>
            </w:r>
            <w:r w:rsidRPr="00E7101E">
              <w:rPr>
                <w:rFonts w:cs="David"/>
                <w:sz w:val="24"/>
                <w:szCs w:val="24"/>
              </w:rPr>
              <w:fldChar w:fldCharType="end"/>
            </w:r>
          </w:p>
        </w:tc>
        <w:tc>
          <w:tcPr>
            <w:tcW w:w="5387" w:type="dxa"/>
            <w:noWrap/>
          </w:tcPr>
          <w:p w:rsidR="006D3927" w:rsidRPr="00E7101E" w:rsidRDefault="00EA1C61" w:rsidP="002431BA">
            <w:pPr>
              <w:tabs>
                <w:tab w:val="left" w:pos="2186"/>
              </w:tabs>
              <w:spacing w:line="360" w:lineRule="auto"/>
              <w:rPr>
                <w:rFonts w:cs="David"/>
                <w:sz w:val="24"/>
                <w:szCs w:val="24"/>
                <w:rtl/>
              </w:rPr>
            </w:pPr>
            <w:r w:rsidRPr="00E7101E">
              <w:rPr>
                <w:rFonts w:cs="David"/>
                <w:sz w:val="24"/>
                <w:szCs w:val="24"/>
              </w:rPr>
              <w:fldChar w:fldCharType="begin"/>
            </w:r>
            <w:r w:rsidRPr="00E7101E">
              <w:rPr>
                <w:rFonts w:cs="David"/>
                <w:sz w:val="24"/>
                <w:szCs w:val="24"/>
              </w:rPr>
              <w:instrText xml:space="preserve"> DOCPROPERTY positionb_col3 \* MERGEFORMAT </w:instrText>
            </w:r>
            <w:r w:rsidRPr="00E7101E">
              <w:rPr>
                <w:rFonts w:cs="David"/>
                <w:sz w:val="24"/>
                <w:szCs w:val="24"/>
              </w:rPr>
              <w:fldChar w:fldCharType="separate"/>
            </w:r>
            <w:r w:rsidRPr="00E7101E">
              <w:rPr>
                <w:rFonts w:cs="David"/>
                <w:sz w:val="24"/>
                <w:szCs w:val="24"/>
                <w:rtl/>
              </w:rPr>
              <w:t>טל': 073-3736262</w:t>
            </w:r>
            <w:r w:rsidR="002431BA" w:rsidRPr="00E7101E">
              <w:rPr>
                <w:rFonts w:cs="David" w:hint="cs"/>
                <w:sz w:val="24"/>
                <w:szCs w:val="24"/>
                <w:rtl/>
              </w:rPr>
              <w:t>;</w:t>
            </w:r>
            <w:r w:rsidRPr="00E7101E">
              <w:rPr>
                <w:rFonts w:cs="David"/>
                <w:sz w:val="24"/>
                <w:szCs w:val="24"/>
                <w:rtl/>
              </w:rPr>
              <w:t xml:space="preserve"> פקס: 02-6468017</w:t>
            </w:r>
            <w:r w:rsidRPr="00E7101E">
              <w:rPr>
                <w:rFonts w:cs="David"/>
                <w:sz w:val="24"/>
                <w:szCs w:val="24"/>
              </w:rPr>
              <w:fldChar w:fldCharType="end"/>
            </w:r>
          </w:p>
        </w:tc>
      </w:tr>
    </w:tbl>
    <w:p w:rsidR="00B6565D" w:rsidRPr="00E7101E" w:rsidRDefault="00B6565D" w:rsidP="00B6565D">
      <w:pPr>
        <w:tabs>
          <w:tab w:val="left" w:pos="2186"/>
        </w:tabs>
        <w:spacing w:line="360" w:lineRule="auto"/>
        <w:rPr>
          <w:rFonts w:cs="David"/>
          <w:sz w:val="24"/>
          <w:szCs w:val="24"/>
          <w:rtl/>
        </w:rPr>
      </w:pPr>
    </w:p>
    <w:p w:rsidR="002431BA" w:rsidRPr="00726E2D" w:rsidRDefault="002431BA" w:rsidP="002431BA">
      <w:pPr>
        <w:spacing w:line="360" w:lineRule="auto"/>
        <w:jc w:val="center"/>
        <w:rPr>
          <w:rFonts w:ascii="David" w:hAnsi="David" w:cs="David"/>
          <w:b/>
          <w:bCs/>
          <w:sz w:val="32"/>
          <w:szCs w:val="32"/>
          <w:u w:val="double"/>
          <w:rtl/>
        </w:rPr>
      </w:pPr>
      <w:r w:rsidRPr="00726E2D">
        <w:rPr>
          <w:rFonts w:ascii="David" w:hAnsi="David" w:cs="David"/>
          <w:b/>
          <w:bCs/>
          <w:sz w:val="32"/>
          <w:szCs w:val="32"/>
          <w:u w:val="double"/>
          <w:rtl/>
        </w:rPr>
        <w:t>כתב הגנה מטעם המדינה</w:t>
      </w:r>
    </w:p>
    <w:p w:rsidR="002431BA" w:rsidRPr="00E7101E" w:rsidRDefault="002431BA" w:rsidP="00726E2D">
      <w:pPr>
        <w:spacing w:before="120" w:line="360" w:lineRule="auto"/>
        <w:ind w:left="357"/>
        <w:jc w:val="both"/>
        <w:rPr>
          <w:rFonts w:ascii="David" w:hAnsi="David" w:cs="David"/>
          <w:sz w:val="24"/>
          <w:szCs w:val="24"/>
          <w:rtl/>
        </w:rPr>
      </w:pPr>
      <w:r w:rsidRPr="00E7101E">
        <w:rPr>
          <w:rFonts w:ascii="David" w:hAnsi="David" w:cs="David"/>
          <w:sz w:val="24"/>
          <w:szCs w:val="24"/>
          <w:rtl/>
        </w:rPr>
        <w:t>הנתבעת (להלן גם: "</w:t>
      </w:r>
      <w:r w:rsidRPr="00726E2D">
        <w:rPr>
          <w:rFonts w:ascii="David" w:hAnsi="David" w:cs="David"/>
          <w:b/>
          <w:bCs/>
          <w:sz w:val="24"/>
          <w:szCs w:val="24"/>
          <w:rtl/>
        </w:rPr>
        <w:t>המדינה</w:t>
      </w:r>
      <w:r w:rsidRPr="00E7101E">
        <w:rPr>
          <w:rFonts w:ascii="David" w:hAnsi="David" w:cs="David"/>
          <w:sz w:val="24"/>
          <w:szCs w:val="24"/>
          <w:rtl/>
        </w:rPr>
        <w:t>" ו/או "</w:t>
      </w:r>
      <w:r w:rsidRPr="00726E2D">
        <w:rPr>
          <w:rFonts w:ascii="David" w:hAnsi="David" w:cs="David"/>
          <w:b/>
          <w:bCs/>
          <w:sz w:val="24"/>
          <w:szCs w:val="24"/>
          <w:rtl/>
        </w:rPr>
        <w:t>המשטרה</w:t>
      </w:r>
      <w:r w:rsidRPr="00E7101E">
        <w:rPr>
          <w:rFonts w:ascii="David" w:hAnsi="David" w:cs="David"/>
          <w:sz w:val="24"/>
          <w:szCs w:val="24"/>
          <w:rtl/>
        </w:rPr>
        <w:t>" ו/או "</w:t>
      </w:r>
      <w:r w:rsidRPr="00726E2D">
        <w:rPr>
          <w:rFonts w:ascii="David" w:hAnsi="David" w:cs="David"/>
          <w:b/>
          <w:bCs/>
          <w:sz w:val="24"/>
          <w:szCs w:val="24"/>
          <w:rtl/>
        </w:rPr>
        <w:t>הפרקליטות</w:t>
      </w:r>
      <w:r w:rsidRPr="00E7101E">
        <w:rPr>
          <w:rFonts w:ascii="David" w:hAnsi="David" w:cs="David"/>
          <w:sz w:val="24"/>
          <w:szCs w:val="24"/>
          <w:rtl/>
        </w:rPr>
        <w:t xml:space="preserve">") תהא מיוצגת על ידי פרקליטות מחוז </w:t>
      </w:r>
      <w:r w:rsidRPr="00E7101E">
        <w:rPr>
          <w:rFonts w:ascii="David" w:hAnsi="David" w:cs="David" w:hint="cs"/>
          <w:sz w:val="24"/>
          <w:szCs w:val="24"/>
          <w:rtl/>
        </w:rPr>
        <w:t>מרכז</w:t>
      </w:r>
      <w:r w:rsidRPr="00E7101E">
        <w:rPr>
          <w:rFonts w:ascii="David" w:hAnsi="David" w:cs="David"/>
          <w:sz w:val="24"/>
          <w:szCs w:val="24"/>
          <w:rtl/>
        </w:rPr>
        <w:t xml:space="preserve"> </w:t>
      </w:r>
      <w:r w:rsidRPr="00E7101E">
        <w:rPr>
          <w:rFonts w:ascii="David" w:hAnsi="David" w:cs="David" w:hint="cs"/>
          <w:sz w:val="24"/>
          <w:szCs w:val="24"/>
          <w:rtl/>
        </w:rPr>
        <w:t>(</w:t>
      </w:r>
      <w:r w:rsidRPr="00E7101E">
        <w:rPr>
          <w:rFonts w:ascii="David" w:hAnsi="David" w:cs="David"/>
          <w:sz w:val="24"/>
          <w:szCs w:val="24"/>
          <w:rtl/>
        </w:rPr>
        <w:t>אזרחי</w:t>
      </w:r>
      <w:r w:rsidRPr="00E7101E">
        <w:rPr>
          <w:rFonts w:ascii="David" w:hAnsi="David" w:cs="David" w:hint="cs"/>
          <w:sz w:val="24"/>
          <w:szCs w:val="24"/>
          <w:rtl/>
        </w:rPr>
        <w:t>)</w:t>
      </w:r>
      <w:r w:rsidRPr="00E7101E">
        <w:rPr>
          <w:rFonts w:ascii="David" w:hAnsi="David" w:cs="David"/>
          <w:sz w:val="24"/>
          <w:szCs w:val="24"/>
          <w:rtl/>
        </w:rPr>
        <w:t>, שמענה להמצאת כתבי בי-דין הוא כמפורט בכותרת כתב הגנה זה.</w:t>
      </w:r>
    </w:p>
    <w:p w:rsidR="00726E2D" w:rsidRDefault="00726E2D" w:rsidP="00726E2D">
      <w:pPr>
        <w:pStyle w:val="10"/>
        <w:spacing w:before="240"/>
        <w:ind w:left="360"/>
        <w:rPr>
          <w:b/>
          <w:bCs/>
          <w:u w:val="single"/>
        </w:rPr>
      </w:pPr>
      <w:r>
        <w:rPr>
          <w:rtl/>
        </w:rPr>
        <w:t xml:space="preserve">ענייננו בתביעה כנגד המדינה לפיה המדינה בכובעה כמאשימה הלכה כ"עיוורת" אחר </w:t>
      </w:r>
      <w:r>
        <w:rPr>
          <w:rFonts w:hint="cs"/>
          <w:rtl/>
        </w:rPr>
        <w:t>עד תביעה (רמזי בכר)</w:t>
      </w:r>
      <w:r>
        <w:rPr>
          <w:rtl/>
        </w:rPr>
        <w:t>, מבלי לבדוק ומבלי לחקור, והגישה כתב אישום כנגד התובע והמעורבים הנוספים בפרש</w:t>
      </w:r>
      <w:r>
        <w:rPr>
          <w:rFonts w:hint="cs"/>
          <w:rtl/>
        </w:rPr>
        <w:t>ות מושא כתב האישום אשר הוגש כנגד התובע</w:t>
      </w:r>
      <w:r>
        <w:rPr>
          <w:rtl/>
        </w:rPr>
        <w:t xml:space="preserve"> אך על בסיס עדות</w:t>
      </w:r>
      <w:r>
        <w:rPr>
          <w:rFonts w:hint="cs"/>
          <w:rtl/>
        </w:rPr>
        <w:t>ו של רמזי בכר</w:t>
      </w:r>
      <w:r>
        <w:rPr>
          <w:rtl/>
        </w:rPr>
        <w:t xml:space="preserve"> בתיק.</w:t>
      </w:r>
    </w:p>
    <w:p w:rsidR="00726E2D" w:rsidRDefault="00726E2D" w:rsidP="00726E2D">
      <w:pPr>
        <w:spacing w:before="120" w:line="360" w:lineRule="auto"/>
        <w:ind w:left="357"/>
        <w:jc w:val="both"/>
        <w:rPr>
          <w:rFonts w:ascii="David" w:hAnsi="David" w:cs="David"/>
          <w:sz w:val="24"/>
          <w:szCs w:val="24"/>
          <w:rtl/>
        </w:rPr>
      </w:pPr>
      <w:r w:rsidRPr="00726E2D">
        <w:rPr>
          <w:rFonts w:ascii="David" w:hAnsi="David" w:cs="David"/>
          <w:sz w:val="24"/>
          <w:szCs w:val="24"/>
          <w:rtl/>
        </w:rPr>
        <w:t>ברם,</w:t>
      </w:r>
      <w:r>
        <w:rPr>
          <w:rFonts w:ascii="David" w:hAnsi="David" w:cs="David" w:hint="cs"/>
          <w:sz w:val="24"/>
          <w:szCs w:val="24"/>
          <w:rtl/>
        </w:rPr>
        <w:t xml:space="preserve"> </w:t>
      </w:r>
      <w:r>
        <w:rPr>
          <w:rFonts w:ascii="David" w:hAnsi="David" w:cs="David"/>
          <w:sz w:val="24"/>
          <w:szCs w:val="24"/>
          <w:rtl/>
        </w:rPr>
        <w:t>טענות התובע</w:t>
      </w:r>
      <w:r w:rsidRPr="00726E2D">
        <w:rPr>
          <w:rFonts w:ascii="David" w:hAnsi="David" w:cs="David"/>
          <w:sz w:val="24"/>
          <w:szCs w:val="24"/>
          <w:rtl/>
        </w:rPr>
        <w:t xml:space="preserve"> </w:t>
      </w:r>
      <w:commentRangeStart w:id="2"/>
      <w:r w:rsidRPr="00726E2D">
        <w:rPr>
          <w:rFonts w:ascii="David" w:hAnsi="David" w:cs="David"/>
          <w:sz w:val="24"/>
          <w:szCs w:val="24"/>
          <w:rtl/>
        </w:rPr>
        <w:t xml:space="preserve">אינן משקפות המציאות </w:t>
      </w:r>
      <w:commentRangeEnd w:id="2"/>
      <w:r w:rsidR="009116B7">
        <w:rPr>
          <w:rStyle w:val="a8"/>
          <w:rFonts w:cs="David"/>
          <w:rtl/>
        </w:rPr>
        <w:commentReference w:id="2"/>
      </w:r>
      <w:r w:rsidRPr="00726E2D">
        <w:rPr>
          <w:rFonts w:ascii="David" w:hAnsi="David" w:cs="David"/>
          <w:sz w:val="24"/>
          <w:szCs w:val="24"/>
          <w:rtl/>
        </w:rPr>
        <w:t xml:space="preserve">ואינן עולות בקנה אחד עם טיב הראיות והטיעון כפי שהוצג </w:t>
      </w:r>
      <w:r>
        <w:rPr>
          <w:rFonts w:ascii="David" w:hAnsi="David" w:cs="David" w:hint="cs"/>
          <w:sz w:val="24"/>
          <w:szCs w:val="24"/>
          <w:rtl/>
        </w:rPr>
        <w:t>ל</w:t>
      </w:r>
      <w:r w:rsidRPr="00726E2D">
        <w:rPr>
          <w:rFonts w:ascii="David" w:hAnsi="David" w:cs="David"/>
          <w:sz w:val="24"/>
          <w:szCs w:val="24"/>
          <w:rtl/>
        </w:rPr>
        <w:t xml:space="preserve">פני </w:t>
      </w:r>
      <w:r>
        <w:rPr>
          <w:rFonts w:ascii="David" w:hAnsi="David" w:cs="David" w:hint="cs"/>
          <w:sz w:val="24"/>
          <w:szCs w:val="24"/>
          <w:rtl/>
        </w:rPr>
        <w:t>בית המשפט</w:t>
      </w:r>
      <w:r w:rsidRPr="00726E2D">
        <w:rPr>
          <w:rFonts w:ascii="David" w:hAnsi="David" w:cs="David"/>
          <w:sz w:val="24"/>
          <w:szCs w:val="24"/>
          <w:rtl/>
        </w:rPr>
        <w:t xml:space="preserve"> הפלילי</w:t>
      </w:r>
      <w:r>
        <w:rPr>
          <w:rFonts w:ascii="David" w:hAnsi="David" w:cs="David" w:hint="cs"/>
          <w:sz w:val="24"/>
          <w:szCs w:val="24"/>
          <w:rtl/>
        </w:rPr>
        <w:t>.</w:t>
      </w:r>
    </w:p>
    <w:p w:rsidR="00726E2D" w:rsidRDefault="00726E2D" w:rsidP="00726E2D">
      <w:pPr>
        <w:spacing w:before="120" w:line="360" w:lineRule="auto"/>
        <w:ind w:left="357"/>
        <w:jc w:val="both"/>
        <w:rPr>
          <w:rFonts w:ascii="David" w:hAnsi="David" w:cs="David"/>
          <w:sz w:val="24"/>
          <w:szCs w:val="24"/>
          <w:rtl/>
        </w:rPr>
      </w:pPr>
      <w:r w:rsidRPr="00E7101E">
        <w:rPr>
          <w:rFonts w:ascii="David" w:hAnsi="David" w:cs="David"/>
          <w:sz w:val="24"/>
          <w:szCs w:val="24"/>
          <w:rtl/>
        </w:rPr>
        <w:t>כפי שיפורט בכתב ההגנה דנא להלן, החלטת הנתבעת להעמיד לדין את התובע הינה החלטה שלטונית ולמאשימה נתון שיקול דעת רחב מאוד בהערכה המקצועית של דיות הראיות</w:t>
      </w:r>
      <w:r w:rsidRPr="00E7101E">
        <w:rPr>
          <w:rFonts w:ascii="David" w:hAnsi="David" w:cs="David" w:hint="cs"/>
          <w:sz w:val="24"/>
          <w:szCs w:val="24"/>
          <w:rtl/>
        </w:rPr>
        <w:t>.</w:t>
      </w:r>
      <w:r w:rsidRPr="00E7101E">
        <w:rPr>
          <w:rFonts w:ascii="David" w:hAnsi="David" w:cs="David"/>
          <w:sz w:val="24"/>
          <w:szCs w:val="24"/>
          <w:rtl/>
        </w:rPr>
        <w:t xml:space="preserve"> </w:t>
      </w:r>
    </w:p>
    <w:p w:rsidR="00726E2D" w:rsidRDefault="00726E2D" w:rsidP="00726E2D">
      <w:pPr>
        <w:keepLines/>
        <w:spacing w:before="120" w:line="360" w:lineRule="auto"/>
        <w:ind w:left="357"/>
        <w:jc w:val="both"/>
        <w:rPr>
          <w:rFonts w:ascii="David" w:hAnsi="David" w:cs="David"/>
          <w:sz w:val="24"/>
          <w:szCs w:val="24"/>
          <w:rtl/>
        </w:rPr>
      </w:pPr>
      <w:r w:rsidRPr="00726E2D">
        <w:rPr>
          <w:rFonts w:ascii="David" w:hAnsi="David" w:cs="David"/>
          <w:sz w:val="24"/>
          <w:szCs w:val="24"/>
          <w:rtl/>
        </w:rPr>
        <w:t xml:space="preserve">השאלה המשפטית שעומדת לפתח </w:t>
      </w:r>
      <w:r>
        <w:rPr>
          <w:rFonts w:ascii="David" w:hAnsi="David" w:cs="David" w:hint="cs"/>
          <w:sz w:val="24"/>
          <w:szCs w:val="24"/>
          <w:rtl/>
        </w:rPr>
        <w:t>בית המשפט</w:t>
      </w:r>
      <w:r w:rsidRPr="00726E2D">
        <w:rPr>
          <w:rFonts w:ascii="David" w:hAnsi="David" w:cs="David"/>
          <w:sz w:val="24"/>
          <w:szCs w:val="24"/>
          <w:rtl/>
        </w:rPr>
        <w:t xml:space="preserve"> הנכבד הינה האם חרגה המדינה ממתחם הסבירות בעת קבלת ההחלטה על הגשת כ</w:t>
      </w:r>
      <w:r>
        <w:rPr>
          <w:rFonts w:ascii="David" w:hAnsi="David" w:cs="David" w:hint="cs"/>
          <w:sz w:val="24"/>
          <w:szCs w:val="24"/>
          <w:rtl/>
        </w:rPr>
        <w:t>תב אישום</w:t>
      </w:r>
      <w:r w:rsidRPr="00726E2D">
        <w:rPr>
          <w:rFonts w:ascii="David" w:hAnsi="David" w:cs="David"/>
          <w:sz w:val="24"/>
          <w:szCs w:val="24"/>
          <w:rtl/>
        </w:rPr>
        <w:t xml:space="preserve"> נגד התובע. שהרי, חזקה היא </w:t>
      </w:r>
      <w:r>
        <w:rPr>
          <w:rFonts w:ascii="David" w:hAnsi="David" w:cs="David" w:hint="cs"/>
          <w:sz w:val="24"/>
          <w:szCs w:val="24"/>
          <w:rtl/>
        </w:rPr>
        <w:t>שבית המשפט</w:t>
      </w:r>
      <w:r w:rsidRPr="00726E2D">
        <w:rPr>
          <w:rFonts w:ascii="David" w:hAnsi="David" w:cs="David"/>
          <w:sz w:val="24"/>
          <w:szCs w:val="24"/>
          <w:rtl/>
        </w:rPr>
        <w:t xml:space="preserve"> </w:t>
      </w:r>
      <w:r>
        <w:rPr>
          <w:rFonts w:ascii="David" w:hAnsi="David" w:cs="David" w:hint="cs"/>
          <w:sz w:val="24"/>
          <w:szCs w:val="24"/>
          <w:rtl/>
        </w:rPr>
        <w:t xml:space="preserve">הנכבד </w:t>
      </w:r>
      <w:r w:rsidRPr="00726E2D">
        <w:rPr>
          <w:rFonts w:ascii="David" w:hAnsi="David" w:cs="David"/>
          <w:sz w:val="24"/>
          <w:szCs w:val="24"/>
          <w:rtl/>
        </w:rPr>
        <w:t xml:space="preserve">לא נדרש להחליף את </w:t>
      </w:r>
      <w:r>
        <w:rPr>
          <w:rFonts w:ascii="David" w:hAnsi="David" w:cs="David" w:hint="cs"/>
          <w:sz w:val="24"/>
          <w:szCs w:val="24"/>
          <w:rtl/>
        </w:rPr>
        <w:t>שיקול דעת</w:t>
      </w:r>
      <w:r w:rsidRPr="00726E2D">
        <w:rPr>
          <w:rFonts w:ascii="David" w:hAnsi="David" w:cs="David"/>
          <w:sz w:val="24"/>
          <w:szCs w:val="24"/>
          <w:rtl/>
        </w:rPr>
        <w:t xml:space="preserve"> הרשות המבצעת </w:t>
      </w:r>
      <w:r>
        <w:rPr>
          <w:rFonts w:ascii="David" w:hAnsi="David" w:cs="David" w:hint="cs"/>
          <w:sz w:val="24"/>
          <w:szCs w:val="24"/>
          <w:rtl/>
        </w:rPr>
        <w:t>בשיקול דעת</w:t>
      </w:r>
      <w:r w:rsidRPr="00726E2D">
        <w:rPr>
          <w:rFonts w:ascii="David" w:hAnsi="David" w:cs="David"/>
          <w:sz w:val="24"/>
          <w:szCs w:val="24"/>
          <w:rtl/>
        </w:rPr>
        <w:t xml:space="preserve"> שלו, וכי אינו בודק ככלל את תבונתה או יעילותה של ההחלטה השלטונית.</w:t>
      </w:r>
    </w:p>
    <w:p w:rsidR="00726E2D" w:rsidRDefault="00726E2D" w:rsidP="00726E2D">
      <w:pPr>
        <w:spacing w:before="120" w:line="360" w:lineRule="auto"/>
        <w:ind w:left="357"/>
        <w:jc w:val="both"/>
        <w:rPr>
          <w:rFonts w:ascii="David" w:hAnsi="David" w:cs="David"/>
          <w:sz w:val="24"/>
          <w:szCs w:val="24"/>
          <w:rtl/>
        </w:rPr>
      </w:pPr>
      <w:r w:rsidRPr="00726E2D">
        <w:rPr>
          <w:rFonts w:ascii="David" w:hAnsi="David" w:cs="David"/>
          <w:sz w:val="24"/>
          <w:szCs w:val="24"/>
          <w:rtl/>
        </w:rPr>
        <w:t>התוב</w:t>
      </w:r>
      <w:r w:rsidRPr="00726E2D">
        <w:rPr>
          <w:rFonts w:ascii="David" w:hAnsi="David" w:cs="David" w:hint="cs"/>
          <w:sz w:val="24"/>
          <w:szCs w:val="24"/>
          <w:rtl/>
        </w:rPr>
        <w:t>ע</w:t>
      </w:r>
      <w:r w:rsidRPr="00726E2D">
        <w:rPr>
          <w:rFonts w:ascii="David" w:hAnsi="David" w:cs="David"/>
          <w:sz w:val="24"/>
          <w:szCs w:val="24"/>
          <w:rtl/>
        </w:rPr>
        <w:t xml:space="preserve"> מבקש</w:t>
      </w:r>
      <w:r>
        <w:rPr>
          <w:rFonts w:ascii="David" w:hAnsi="David" w:cs="David" w:hint="cs"/>
          <w:sz w:val="24"/>
          <w:szCs w:val="24"/>
          <w:rtl/>
        </w:rPr>
        <w:t>, הלכה למעשה,</w:t>
      </w:r>
      <w:r w:rsidRPr="00726E2D">
        <w:rPr>
          <w:rFonts w:ascii="David" w:hAnsi="David" w:cs="David"/>
          <w:sz w:val="24"/>
          <w:szCs w:val="24"/>
          <w:rtl/>
        </w:rPr>
        <w:t xml:space="preserve"> מבית המשפט הנכבד לקבוע כי סופה של הפרשה מעיד על ראשיתה. ה</w:t>
      </w:r>
      <w:r w:rsidRPr="00726E2D">
        <w:rPr>
          <w:rFonts w:ascii="David" w:hAnsi="David" w:cs="David" w:hint="cs"/>
          <w:sz w:val="24"/>
          <w:szCs w:val="24"/>
          <w:rtl/>
        </w:rPr>
        <w:t>וא</w:t>
      </w:r>
      <w:r w:rsidRPr="00726E2D">
        <w:rPr>
          <w:rFonts w:ascii="David" w:hAnsi="David" w:cs="David"/>
          <w:sz w:val="24"/>
          <w:szCs w:val="24"/>
          <w:rtl/>
        </w:rPr>
        <w:t xml:space="preserve"> מבקש כי בית המשפט הנכבד יתעלם מעובדות ומהשתלשלות הפרשה, יתעלם מהראיות, העדויות ומהמועדים השונים בהם נחשפו, מקביעות בתי המשפט בערכאות השונות</w:t>
      </w:r>
      <w:r>
        <w:rPr>
          <w:rFonts w:ascii="David" w:hAnsi="David" w:cs="David" w:hint="cs"/>
          <w:sz w:val="24"/>
          <w:szCs w:val="24"/>
          <w:rtl/>
        </w:rPr>
        <w:t>, ויראה לנגד עיניו את הזיכוי (מחמת הספק) בלבד, ועל בסיסו יקבע את רשלנותה המוכחשת של הנתבעת</w:t>
      </w:r>
      <w:r w:rsidRPr="00726E2D">
        <w:rPr>
          <w:rFonts w:ascii="David" w:hAnsi="David" w:cs="David"/>
          <w:sz w:val="24"/>
          <w:szCs w:val="24"/>
          <w:rtl/>
        </w:rPr>
        <w:t>.</w:t>
      </w:r>
    </w:p>
    <w:p w:rsidR="00726E2D" w:rsidRDefault="00726E2D" w:rsidP="00726E2D">
      <w:pPr>
        <w:pStyle w:val="10"/>
        <w:spacing w:before="120" w:after="120"/>
        <w:ind w:left="357"/>
        <w:rPr>
          <w:rtl/>
        </w:rPr>
      </w:pPr>
      <w:r>
        <w:rPr>
          <w:rFonts w:hint="cs"/>
          <w:b/>
          <w:bCs/>
          <w:rtl/>
        </w:rPr>
        <w:lastRenderedPageBreak/>
        <w:t xml:space="preserve">נזכיר, כי </w:t>
      </w:r>
      <w:r w:rsidRPr="00F410B6">
        <w:rPr>
          <w:b/>
          <w:bCs/>
          <w:rtl/>
        </w:rPr>
        <w:t xml:space="preserve">על פי פסיקת </w:t>
      </w:r>
      <w:r>
        <w:rPr>
          <w:rFonts w:hint="cs"/>
          <w:b/>
          <w:bCs/>
          <w:rtl/>
        </w:rPr>
        <w:t>בית המשפט</w:t>
      </w:r>
      <w:r w:rsidRPr="00F410B6">
        <w:rPr>
          <w:b/>
          <w:bCs/>
          <w:rtl/>
        </w:rPr>
        <w:t xml:space="preserve"> העליון</w:t>
      </w:r>
      <w:r>
        <w:rPr>
          <w:b/>
          <w:bCs/>
          <w:rtl/>
        </w:rPr>
        <w:t>,</w:t>
      </w:r>
      <w:r w:rsidRPr="00F410B6">
        <w:rPr>
          <w:b/>
          <w:bCs/>
          <w:rtl/>
        </w:rPr>
        <w:t xml:space="preserve"> זיכוי מחמת הספק משמעותו כי </w:t>
      </w:r>
      <w:r>
        <w:rPr>
          <w:rFonts w:hint="cs"/>
          <w:b/>
          <w:bCs/>
          <w:rtl/>
        </w:rPr>
        <w:t>בית המשפט</w:t>
      </w:r>
      <w:r>
        <w:rPr>
          <w:b/>
          <w:bCs/>
          <w:rtl/>
        </w:rPr>
        <w:t xml:space="preserve"> </w:t>
      </w:r>
      <w:r w:rsidRPr="00F410B6">
        <w:rPr>
          <w:b/>
          <w:bCs/>
          <w:rtl/>
        </w:rPr>
        <w:t>מצא ראיות כבדות משקל הקושרות ומסבכות את הנאשם בביצוע העבירות המיוחסות לו, אך חרף אלו, נותר בלבו ספק באשמת הנאשם(!)</w:t>
      </w:r>
      <w:r>
        <w:rPr>
          <w:b/>
          <w:bCs/>
          <w:rtl/>
        </w:rPr>
        <w:t>.</w:t>
      </w:r>
      <w:r w:rsidRPr="00F410B6">
        <w:rPr>
          <w:b/>
          <w:bCs/>
          <w:rtl/>
        </w:rPr>
        <w:t xml:space="preserve"> </w:t>
      </w:r>
    </w:p>
    <w:p w:rsidR="00726E2D" w:rsidRPr="00726E2D" w:rsidRDefault="00726E2D" w:rsidP="00726E2D">
      <w:pPr>
        <w:pStyle w:val="10"/>
        <w:spacing w:before="120" w:after="120" w:line="240" w:lineRule="auto"/>
        <w:ind w:left="357"/>
        <w:rPr>
          <w:rtl/>
        </w:rPr>
      </w:pPr>
    </w:p>
    <w:p w:rsidR="00726E2D" w:rsidRDefault="00726E2D" w:rsidP="00726E2D">
      <w:pPr>
        <w:pStyle w:val="10"/>
        <w:spacing w:before="120"/>
        <w:ind w:left="357"/>
        <w:rPr>
          <w:rtl/>
        </w:rPr>
      </w:pPr>
      <w:r>
        <w:rPr>
          <w:rtl/>
        </w:rPr>
        <w:t xml:space="preserve">התובע </w:t>
      </w:r>
      <w:r w:rsidRPr="00F410B6">
        <w:rPr>
          <w:b/>
          <w:bCs/>
          <w:u w:val="single"/>
          <w:rtl/>
        </w:rPr>
        <w:t>הורשע</w:t>
      </w:r>
      <w:r>
        <w:rPr>
          <w:b/>
          <w:bCs/>
          <w:rtl/>
        </w:rPr>
        <w:t xml:space="preserve"> </w:t>
      </w:r>
      <w:r>
        <w:rPr>
          <w:rFonts w:hint="cs"/>
          <w:b/>
          <w:bCs/>
          <w:rtl/>
        </w:rPr>
        <w:t xml:space="preserve">בבית המשפט המחוזי בדעת רוב </w:t>
      </w:r>
      <w:r>
        <w:rPr>
          <w:rFonts w:hint="cs"/>
          <w:rtl/>
        </w:rPr>
        <w:t>בפרשת דניאל כהן (אשר תפורט בהמשך), ודעת הרוב</w:t>
      </w:r>
      <w:r>
        <w:rPr>
          <w:rtl/>
        </w:rPr>
        <w:t xml:space="preserve"> מצא</w:t>
      </w:r>
      <w:r>
        <w:rPr>
          <w:rFonts w:hint="cs"/>
          <w:rtl/>
        </w:rPr>
        <w:t>ה</w:t>
      </w:r>
      <w:r>
        <w:rPr>
          <w:rtl/>
        </w:rPr>
        <w:t>,</w:t>
      </w:r>
      <w:r>
        <w:rPr>
          <w:rFonts w:hint="cs"/>
          <w:rtl/>
        </w:rPr>
        <w:t xml:space="preserve"> </w:t>
      </w:r>
      <w:r>
        <w:rPr>
          <w:rtl/>
        </w:rPr>
        <w:t>לאחר שמיעת הראיות וטענות התובע בדבר מחדלי החקירה הנטענים, כי יש להרשיע התובע</w:t>
      </w:r>
      <w:r>
        <w:rPr>
          <w:rFonts w:hint="cs"/>
          <w:rtl/>
        </w:rPr>
        <w:t>.</w:t>
      </w:r>
    </w:p>
    <w:p w:rsidR="00D65582" w:rsidRPr="00D65582" w:rsidRDefault="00D65582" w:rsidP="00D65582">
      <w:pPr>
        <w:keepLines/>
        <w:spacing w:before="60" w:line="360" w:lineRule="auto"/>
        <w:ind w:left="357"/>
        <w:jc w:val="both"/>
        <w:rPr>
          <w:rFonts w:ascii="David" w:hAnsi="David" w:cs="David"/>
          <w:sz w:val="24"/>
          <w:szCs w:val="24"/>
        </w:rPr>
      </w:pPr>
      <w:r w:rsidRPr="00D65582">
        <w:rPr>
          <w:rFonts w:ascii="David" w:hAnsi="David" w:cs="David"/>
          <w:sz w:val="24"/>
          <w:szCs w:val="24"/>
          <w:rtl/>
        </w:rPr>
        <w:t>מחומר החקירה שנאסף והיה בפני ה</w:t>
      </w:r>
      <w:r w:rsidRPr="00D65582">
        <w:rPr>
          <w:rFonts w:ascii="David" w:hAnsi="David" w:cs="David" w:hint="cs"/>
          <w:sz w:val="24"/>
          <w:szCs w:val="24"/>
          <w:rtl/>
        </w:rPr>
        <w:t>מדינה</w:t>
      </w:r>
      <w:r w:rsidRPr="00D65582">
        <w:rPr>
          <w:rFonts w:ascii="David" w:hAnsi="David" w:cs="David"/>
          <w:sz w:val="24"/>
          <w:szCs w:val="24"/>
          <w:rtl/>
        </w:rPr>
        <w:t xml:space="preserve"> נוצרה תמונה כוללת, באשר לפוטנציאל הראייתי אשר היה טמון בחומר החקירה ואשר היה בו כדי לבסס קיומו של סיכוי סביר להרשעת התובע, </w:t>
      </w:r>
      <w:r w:rsidRPr="00D65582">
        <w:rPr>
          <w:rFonts w:ascii="David" w:hAnsi="David" w:cs="David"/>
          <w:b/>
          <w:bCs/>
          <w:sz w:val="24"/>
          <w:szCs w:val="24"/>
          <w:rtl/>
        </w:rPr>
        <w:t>ולראיה – ה</w:t>
      </w:r>
      <w:r w:rsidRPr="00D65582">
        <w:rPr>
          <w:rFonts w:ascii="David" w:hAnsi="David" w:cs="David" w:hint="cs"/>
          <w:b/>
          <w:bCs/>
          <w:sz w:val="24"/>
          <w:szCs w:val="24"/>
          <w:rtl/>
        </w:rPr>
        <w:t>תובע אכן הורשע בדעת רוב באישומים 4-6 בערכאה הדיונית בבית המשפט המחוזי</w:t>
      </w:r>
      <w:r w:rsidRPr="00D65582">
        <w:rPr>
          <w:rFonts w:ascii="David" w:hAnsi="David" w:cs="David" w:hint="cs"/>
          <w:sz w:val="24"/>
          <w:szCs w:val="24"/>
          <w:rtl/>
        </w:rPr>
        <w:t xml:space="preserve">. </w:t>
      </w:r>
    </w:p>
    <w:p w:rsidR="00D65582" w:rsidRPr="00D65582" w:rsidRDefault="00D65582" w:rsidP="00D65582">
      <w:pPr>
        <w:spacing w:before="120" w:line="360" w:lineRule="auto"/>
        <w:ind w:left="357"/>
        <w:jc w:val="both"/>
        <w:rPr>
          <w:rFonts w:ascii="David" w:hAnsi="David" w:cs="David"/>
          <w:sz w:val="24"/>
          <w:szCs w:val="24"/>
        </w:rPr>
      </w:pPr>
      <w:r w:rsidRPr="00D65582">
        <w:rPr>
          <w:rFonts w:ascii="David" w:hAnsi="David" w:cs="David"/>
          <w:sz w:val="24"/>
          <w:szCs w:val="24"/>
          <w:rtl/>
        </w:rPr>
        <w:t>יוטעם בהקשר זה, כי בית המשפט העליון זיכה א</w:t>
      </w:r>
      <w:r w:rsidRPr="00D65582">
        <w:rPr>
          <w:rFonts w:ascii="David" w:hAnsi="David" w:cs="David" w:hint="cs"/>
          <w:sz w:val="24"/>
          <w:szCs w:val="24"/>
          <w:rtl/>
        </w:rPr>
        <w:t>ת התובע</w:t>
      </w:r>
      <w:r w:rsidRPr="00D65582">
        <w:rPr>
          <w:rFonts w:ascii="David" w:hAnsi="David" w:cs="David"/>
          <w:sz w:val="24"/>
          <w:szCs w:val="24"/>
          <w:rtl/>
        </w:rPr>
        <w:t xml:space="preserve"> </w:t>
      </w:r>
      <w:r w:rsidRPr="00D65582">
        <w:rPr>
          <w:rFonts w:ascii="David" w:hAnsi="David" w:cs="David" w:hint="cs"/>
          <w:sz w:val="24"/>
          <w:szCs w:val="24"/>
          <w:rtl/>
        </w:rPr>
        <w:t xml:space="preserve">בדעת רוב </w:t>
      </w:r>
      <w:r w:rsidRPr="00D65582">
        <w:rPr>
          <w:rFonts w:ascii="David" w:hAnsi="David" w:cs="David"/>
          <w:sz w:val="24"/>
          <w:szCs w:val="24"/>
          <w:rtl/>
        </w:rPr>
        <w:t xml:space="preserve">אך </w:t>
      </w:r>
      <w:r w:rsidRPr="00D65582">
        <w:rPr>
          <w:rFonts w:ascii="David" w:hAnsi="David" w:cs="David"/>
          <w:b/>
          <w:bCs/>
          <w:sz w:val="24"/>
          <w:szCs w:val="24"/>
          <w:u w:val="single"/>
          <w:rtl/>
        </w:rPr>
        <w:t>מחמת הספק</w:t>
      </w:r>
      <w:r w:rsidRPr="00D65582">
        <w:rPr>
          <w:rFonts w:ascii="David" w:hAnsi="David" w:cs="David"/>
          <w:sz w:val="24"/>
          <w:szCs w:val="24"/>
          <w:rtl/>
        </w:rPr>
        <w:t>. במצב דברים זה, דומה כי לא יכולה להישמע כל טענה מצד התובע כי לא היה כל מקום להגשת כתב אישום כנגד</w:t>
      </w:r>
      <w:r w:rsidRPr="00D65582">
        <w:rPr>
          <w:rFonts w:ascii="David" w:hAnsi="David" w:cs="David" w:hint="cs"/>
          <w:sz w:val="24"/>
          <w:szCs w:val="24"/>
          <w:rtl/>
        </w:rPr>
        <w:t>ו</w:t>
      </w:r>
      <w:r w:rsidRPr="00D65582">
        <w:rPr>
          <w:rFonts w:ascii="David" w:hAnsi="David" w:cs="David"/>
          <w:sz w:val="24"/>
          <w:szCs w:val="24"/>
          <w:rtl/>
        </w:rPr>
        <w:t xml:space="preserve"> מלכתחילה. </w:t>
      </w:r>
      <w:r w:rsidRPr="00D65582">
        <w:rPr>
          <w:rFonts w:ascii="David" w:hAnsi="David" w:cs="David"/>
          <w:b/>
          <w:bCs/>
          <w:sz w:val="24"/>
          <w:szCs w:val="24"/>
          <w:rtl/>
        </w:rPr>
        <w:t>יתרה מכך, הפוך והפוך את פסק דינו של בית המשפט העליון הנכבד, ולא תמצא בהכרעת הדין כל ביקורת על התנהלות המשטרה או הפרקליטות, והנה כיום מבקש התובע להטיל אחריות בנזיקין על הנתבעת</w:t>
      </w:r>
      <w:r w:rsidRPr="00D65582">
        <w:rPr>
          <w:rFonts w:ascii="David" w:hAnsi="David" w:cs="David"/>
          <w:sz w:val="24"/>
          <w:szCs w:val="24"/>
          <w:rtl/>
        </w:rPr>
        <w:t>.</w:t>
      </w:r>
    </w:p>
    <w:p w:rsidR="00D65582" w:rsidRPr="00D65582" w:rsidRDefault="00D65582" w:rsidP="00D65582">
      <w:pPr>
        <w:keepLines/>
        <w:spacing w:before="60" w:line="360" w:lineRule="auto"/>
        <w:ind w:left="357"/>
        <w:jc w:val="both"/>
        <w:rPr>
          <w:rFonts w:ascii="David" w:hAnsi="David" w:cs="David"/>
          <w:sz w:val="24"/>
          <w:szCs w:val="24"/>
        </w:rPr>
      </w:pPr>
      <w:r w:rsidRPr="00D65582">
        <w:rPr>
          <w:rFonts w:ascii="David" w:hAnsi="David" w:cs="David"/>
          <w:b/>
          <w:bCs/>
          <w:sz w:val="24"/>
          <w:szCs w:val="24"/>
          <w:rtl/>
        </w:rPr>
        <w:t>זיכוי מחמת הספק אינו מהווה ראיה לכך שלא היה מקום להגיש כתב אישום מלכתחילה, ואין בו כל קביעה פוזיטיבית שהתובע לא ביצע את המעשים המיוחסים ל</w:t>
      </w:r>
      <w:r w:rsidRPr="00D65582">
        <w:rPr>
          <w:rFonts w:ascii="David" w:hAnsi="David" w:cs="David" w:hint="cs"/>
          <w:b/>
          <w:bCs/>
          <w:sz w:val="24"/>
          <w:szCs w:val="24"/>
          <w:rtl/>
        </w:rPr>
        <w:t>ו</w:t>
      </w:r>
      <w:r w:rsidRPr="00D65582">
        <w:rPr>
          <w:rFonts w:ascii="David" w:hAnsi="David" w:cs="David"/>
          <w:b/>
          <w:bCs/>
          <w:sz w:val="24"/>
          <w:szCs w:val="24"/>
          <w:rtl/>
        </w:rPr>
        <w:t xml:space="preserve"> כולם או מקצתם</w:t>
      </w:r>
      <w:r w:rsidRPr="00D65582">
        <w:rPr>
          <w:rFonts w:ascii="David" w:hAnsi="David" w:cs="David"/>
          <w:sz w:val="24"/>
          <w:szCs w:val="24"/>
          <w:rtl/>
        </w:rPr>
        <w:t>.</w:t>
      </w:r>
    </w:p>
    <w:p w:rsidR="00D65582" w:rsidRPr="00E7101E" w:rsidRDefault="00D65582" w:rsidP="00D65582">
      <w:pPr>
        <w:keepLines/>
        <w:spacing w:before="120" w:line="360" w:lineRule="auto"/>
        <w:ind w:left="357"/>
        <w:jc w:val="both"/>
        <w:rPr>
          <w:rFonts w:ascii="David" w:hAnsi="David" w:cs="David"/>
          <w:sz w:val="24"/>
          <w:szCs w:val="24"/>
          <w:rtl/>
        </w:rPr>
      </w:pPr>
      <w:commentRangeStart w:id="3"/>
      <w:r w:rsidRPr="00D65582">
        <w:rPr>
          <w:rFonts w:ascii="David" w:hAnsi="David" w:cs="David" w:hint="cs"/>
          <w:sz w:val="24"/>
          <w:szCs w:val="24"/>
          <w:rtl/>
        </w:rPr>
        <w:t xml:space="preserve">ההפך הוא הנכון. </w:t>
      </w:r>
      <w:r w:rsidRPr="00D65582">
        <w:rPr>
          <w:rFonts w:ascii="David" w:hAnsi="David" w:cs="David" w:hint="cs"/>
          <w:b/>
          <w:bCs/>
          <w:sz w:val="24"/>
          <w:szCs w:val="24"/>
          <w:rtl/>
        </w:rPr>
        <w:t>דעת הרוב</w:t>
      </w:r>
      <w:r w:rsidRPr="00D65582">
        <w:rPr>
          <w:rFonts w:ascii="David" w:hAnsi="David" w:cs="David" w:hint="cs"/>
          <w:sz w:val="24"/>
          <w:szCs w:val="24"/>
          <w:rtl/>
        </w:rPr>
        <w:t xml:space="preserve"> בבית המשפט העליון עמדה על כך כי החשדות כנגד התובע הינם כבדים, </w:t>
      </w:r>
      <w:r w:rsidRPr="00D65582">
        <w:rPr>
          <w:rFonts w:ascii="David" w:hAnsi="David" w:cs="David" w:hint="cs"/>
          <w:b/>
          <w:bCs/>
          <w:sz w:val="24"/>
          <w:szCs w:val="24"/>
          <w:u w:val="single"/>
          <w:rtl/>
        </w:rPr>
        <w:t>וכי הספק אשר נותר בליבם הינו עמוס חשדות</w:t>
      </w:r>
      <w:r w:rsidRPr="00D65582">
        <w:rPr>
          <w:rFonts w:ascii="David" w:hAnsi="David" w:cs="David" w:hint="cs"/>
          <w:sz w:val="24"/>
          <w:szCs w:val="24"/>
          <w:rtl/>
        </w:rPr>
        <w:t xml:space="preserve"> (ר' דבריי כבוד השופט רובינשטיין בעמ' 91 לפסק דינו של בית המשפט העליון הנכבד).</w:t>
      </w:r>
      <w:commentRangeEnd w:id="3"/>
      <w:r w:rsidR="008F3E3B">
        <w:rPr>
          <w:rStyle w:val="a8"/>
          <w:rFonts w:cs="David"/>
          <w:rtl/>
        </w:rPr>
        <w:commentReference w:id="3"/>
      </w:r>
    </w:p>
    <w:p w:rsidR="00726E2D" w:rsidRDefault="00726E2D" w:rsidP="00D65582">
      <w:pPr>
        <w:pStyle w:val="10"/>
        <w:spacing w:before="120"/>
        <w:ind w:left="357"/>
        <w:rPr>
          <w:rtl/>
        </w:rPr>
      </w:pPr>
      <w:r>
        <w:rPr>
          <w:rFonts w:hint="cs"/>
          <w:rtl/>
        </w:rPr>
        <w:t>כבוד השופט מזוז, בדעת מיעוט, מצא כי קביעת דעת הרוב בבית המשפט המחוזי מבוססת היטב בראיות ובעלות משקל משכנע לאחר שהתרשם מחומר הראיות, וסבר כי אין כל מקום להתערב בהרשעת התובע בפרשת דניאל כהן בנוסף להרשעתו בפרשת ייעוץ זוגי (אשר תפורט בהמשך).</w:t>
      </w:r>
    </w:p>
    <w:p w:rsidR="00726E2D" w:rsidRPr="00726E2D" w:rsidRDefault="00726E2D" w:rsidP="00726E2D">
      <w:pPr>
        <w:spacing w:before="120" w:line="360" w:lineRule="auto"/>
        <w:ind w:left="357"/>
        <w:jc w:val="both"/>
        <w:rPr>
          <w:rFonts w:ascii="David" w:hAnsi="David" w:cs="David"/>
          <w:sz w:val="24"/>
          <w:szCs w:val="24"/>
          <w:rtl/>
        </w:rPr>
      </w:pPr>
      <w:r w:rsidRPr="00726E2D">
        <w:rPr>
          <w:rFonts w:ascii="David" w:hAnsi="David" w:cs="David" w:hint="cs"/>
          <w:sz w:val="24"/>
          <w:szCs w:val="24"/>
          <w:rtl/>
        </w:rPr>
        <w:t>גם כבוד השופט י' עמית אשר</w:t>
      </w:r>
      <w:r>
        <w:rPr>
          <w:rFonts w:ascii="David" w:hAnsi="David" w:cs="David" w:hint="cs"/>
          <w:sz w:val="24"/>
          <w:szCs w:val="24"/>
          <w:rtl/>
        </w:rPr>
        <w:t xml:space="preserve"> נמנה על דעת הרוב</w:t>
      </w:r>
      <w:r w:rsidRPr="00726E2D">
        <w:rPr>
          <w:rFonts w:ascii="David" w:hAnsi="David" w:cs="David" w:hint="cs"/>
          <w:sz w:val="24"/>
          <w:szCs w:val="24"/>
          <w:rtl/>
        </w:rPr>
        <w:t xml:space="preserve"> </w:t>
      </w:r>
      <w:r>
        <w:rPr>
          <w:rFonts w:ascii="David" w:hAnsi="David" w:cs="David" w:hint="cs"/>
          <w:sz w:val="24"/>
          <w:szCs w:val="24"/>
          <w:rtl/>
        </w:rPr>
        <w:t>ו</w:t>
      </w:r>
      <w:r w:rsidRPr="00726E2D">
        <w:rPr>
          <w:rFonts w:ascii="David" w:hAnsi="David" w:cs="David" w:hint="cs"/>
          <w:sz w:val="24"/>
          <w:szCs w:val="24"/>
          <w:rtl/>
        </w:rPr>
        <w:t xml:space="preserve">מצא כי יש לזכות את התובע </w:t>
      </w:r>
      <w:r w:rsidRPr="00726E2D">
        <w:rPr>
          <w:rFonts w:ascii="David" w:hAnsi="David" w:cs="David" w:hint="cs"/>
          <w:b/>
          <w:bCs/>
          <w:sz w:val="24"/>
          <w:szCs w:val="24"/>
          <w:rtl/>
        </w:rPr>
        <w:t>מחמת הספק</w:t>
      </w:r>
      <w:r w:rsidRPr="00726E2D">
        <w:rPr>
          <w:rFonts w:ascii="David" w:hAnsi="David" w:cs="David" w:hint="cs"/>
          <w:sz w:val="24"/>
          <w:szCs w:val="24"/>
          <w:rtl/>
        </w:rPr>
        <w:t xml:space="preserve"> עמד במסגרת פסק דינו על שאלת הסבירות ומצא כי </w:t>
      </w:r>
      <w:r>
        <w:rPr>
          <w:rFonts w:ascii="David" w:hAnsi="David" w:cs="David" w:hint="cs"/>
          <w:sz w:val="24"/>
          <w:szCs w:val="24"/>
          <w:rtl/>
        </w:rPr>
        <w:t>מסקנה מרשיעה היא אפשרית, הגיונית וסבירה, כדלהלן:</w:t>
      </w:r>
      <w:r w:rsidRPr="00726E2D">
        <w:rPr>
          <w:rFonts w:ascii="David" w:hAnsi="David" w:cs="David" w:hint="cs"/>
          <w:sz w:val="24"/>
          <w:szCs w:val="24"/>
          <w:rtl/>
        </w:rPr>
        <w:t xml:space="preserve"> </w:t>
      </w:r>
    </w:p>
    <w:p w:rsidR="00726E2D" w:rsidRPr="00FA0D9B" w:rsidRDefault="00726E2D" w:rsidP="00726E2D">
      <w:pPr>
        <w:spacing w:before="120" w:line="360" w:lineRule="auto"/>
        <w:ind w:left="357"/>
        <w:jc w:val="both"/>
        <w:rPr>
          <w:rFonts w:ascii="David" w:hAnsi="David" w:cs="David"/>
          <w:sz w:val="24"/>
          <w:szCs w:val="24"/>
          <w:rtl/>
        </w:rPr>
      </w:pPr>
      <w:r w:rsidRPr="00726E2D">
        <w:rPr>
          <w:rFonts w:ascii="David" w:hAnsi="David" w:cs="David" w:hint="cs"/>
          <w:sz w:val="24"/>
          <w:szCs w:val="24"/>
          <w:rtl/>
        </w:rPr>
        <w:t>"</w:t>
      </w:r>
      <w:r w:rsidRPr="00726E2D">
        <w:rPr>
          <w:rFonts w:ascii="David" w:hAnsi="David" w:cs="David" w:hint="cs"/>
          <w:b/>
          <w:bCs/>
          <w:sz w:val="24"/>
          <w:szCs w:val="24"/>
          <w:rtl/>
        </w:rPr>
        <w:t xml:space="preserve">ולבסוף, אחזור ואדגיש </w:t>
      </w:r>
      <w:r w:rsidRPr="00726E2D">
        <w:rPr>
          <w:rFonts w:ascii="David" w:hAnsi="David" w:cs="David" w:hint="cs"/>
          <w:b/>
          <w:bCs/>
          <w:sz w:val="24"/>
          <w:szCs w:val="24"/>
          <w:u w:val="single"/>
          <w:rtl/>
        </w:rPr>
        <w:t xml:space="preserve">כי המסקנה המרשיעה אליה הגיע חברי היא </w:t>
      </w:r>
      <w:r w:rsidRPr="00726E2D">
        <w:rPr>
          <w:rFonts w:ascii="David" w:hAnsi="David" w:cs="David" w:hint="cs"/>
          <w:b/>
          <w:bCs/>
          <w:sz w:val="24"/>
          <w:szCs w:val="24"/>
          <w:u w:val="double"/>
          <w:rtl/>
        </w:rPr>
        <w:t>אפשרית</w:t>
      </w:r>
      <w:r w:rsidRPr="00726E2D">
        <w:rPr>
          <w:rFonts w:ascii="David" w:hAnsi="David" w:cs="David" w:hint="cs"/>
          <w:b/>
          <w:bCs/>
          <w:sz w:val="24"/>
          <w:szCs w:val="24"/>
          <w:u w:val="single"/>
          <w:rtl/>
        </w:rPr>
        <w:t xml:space="preserve">, </w:t>
      </w:r>
      <w:r w:rsidRPr="00726E2D">
        <w:rPr>
          <w:rFonts w:ascii="David" w:hAnsi="David" w:cs="David" w:hint="cs"/>
          <w:b/>
          <w:bCs/>
          <w:sz w:val="24"/>
          <w:szCs w:val="24"/>
          <w:u w:val="double"/>
          <w:rtl/>
        </w:rPr>
        <w:t>הגיונית</w:t>
      </w:r>
      <w:r w:rsidRPr="00726E2D">
        <w:rPr>
          <w:rFonts w:ascii="David" w:hAnsi="David" w:cs="David" w:hint="cs"/>
          <w:b/>
          <w:bCs/>
          <w:sz w:val="24"/>
          <w:szCs w:val="24"/>
          <w:u w:val="single"/>
          <w:rtl/>
        </w:rPr>
        <w:t xml:space="preserve"> </w:t>
      </w:r>
      <w:r w:rsidRPr="00726E2D">
        <w:rPr>
          <w:rFonts w:ascii="David" w:hAnsi="David" w:cs="David" w:hint="cs"/>
          <w:b/>
          <w:bCs/>
          <w:sz w:val="24"/>
          <w:szCs w:val="24"/>
          <w:u w:val="double"/>
          <w:rtl/>
        </w:rPr>
        <w:t>וסבירה</w:t>
      </w:r>
      <w:r w:rsidRPr="00726E2D">
        <w:rPr>
          <w:rFonts w:ascii="David" w:hAnsi="David" w:cs="David" w:hint="cs"/>
          <w:b/>
          <w:bCs/>
          <w:sz w:val="24"/>
          <w:szCs w:val="24"/>
          <w:rtl/>
        </w:rPr>
        <w:t xml:space="preserve">, </w:t>
      </w:r>
      <w:r w:rsidRPr="00726E2D">
        <w:rPr>
          <w:rFonts w:ascii="David" w:hAnsi="David" w:cs="David" w:hint="cs"/>
          <w:b/>
          <w:bCs/>
          <w:sz w:val="24"/>
          <w:szCs w:val="24"/>
          <w:u w:val="double"/>
          <w:rtl/>
        </w:rPr>
        <w:t>והיא מתיישבת עם חומר הראיות</w:t>
      </w:r>
      <w:r w:rsidRPr="00726E2D">
        <w:rPr>
          <w:rFonts w:ascii="David" w:hAnsi="David" w:cs="David" w:hint="cs"/>
          <w:b/>
          <w:bCs/>
          <w:sz w:val="24"/>
          <w:szCs w:val="24"/>
          <w:rtl/>
        </w:rPr>
        <w:t>. אך עדין אין בכך כדי לשלול קיומה של אפשרות סבירה אחרת</w:t>
      </w:r>
      <w:r w:rsidRPr="00726E2D">
        <w:rPr>
          <w:rFonts w:ascii="David" w:hAnsi="David" w:cs="David" w:hint="cs"/>
          <w:sz w:val="24"/>
          <w:szCs w:val="24"/>
          <w:rtl/>
        </w:rPr>
        <w:t>..." (ההדגש</w:t>
      </w:r>
      <w:r>
        <w:rPr>
          <w:rFonts w:ascii="David" w:hAnsi="David" w:cs="David" w:hint="cs"/>
          <w:sz w:val="24"/>
          <w:szCs w:val="24"/>
          <w:rtl/>
        </w:rPr>
        <w:t xml:space="preserve">ות </w:t>
      </w:r>
      <w:r w:rsidRPr="00726E2D">
        <w:rPr>
          <w:rFonts w:ascii="David" w:hAnsi="David" w:cs="David" w:hint="cs"/>
          <w:sz w:val="24"/>
          <w:szCs w:val="24"/>
          <w:rtl/>
        </w:rPr>
        <w:t xml:space="preserve"> אינ</w:t>
      </w:r>
      <w:r>
        <w:rPr>
          <w:rFonts w:ascii="David" w:hAnsi="David" w:cs="David" w:hint="cs"/>
          <w:sz w:val="24"/>
          <w:szCs w:val="24"/>
          <w:rtl/>
        </w:rPr>
        <w:t>ן</w:t>
      </w:r>
      <w:r w:rsidRPr="00726E2D">
        <w:rPr>
          <w:rFonts w:ascii="David" w:hAnsi="David" w:cs="David" w:hint="cs"/>
          <w:sz w:val="24"/>
          <w:szCs w:val="24"/>
          <w:rtl/>
        </w:rPr>
        <w:t xml:space="preserve"> במקור </w:t>
      </w:r>
      <w:r w:rsidRPr="00726E2D">
        <w:rPr>
          <w:rFonts w:ascii="David" w:hAnsi="David" w:cs="David"/>
          <w:sz w:val="24"/>
          <w:szCs w:val="24"/>
          <w:rtl/>
        </w:rPr>
        <w:t>–</w:t>
      </w:r>
      <w:r w:rsidRPr="00726E2D">
        <w:rPr>
          <w:rFonts w:ascii="David" w:hAnsi="David" w:cs="David" w:hint="cs"/>
          <w:sz w:val="24"/>
          <w:szCs w:val="24"/>
          <w:rtl/>
        </w:rPr>
        <w:t xml:space="preserve"> הח"מ).</w:t>
      </w:r>
    </w:p>
    <w:p w:rsidR="00726E2D" w:rsidRPr="00726E2D" w:rsidRDefault="00726E2D" w:rsidP="00726E2D">
      <w:pPr>
        <w:spacing w:before="120" w:line="360" w:lineRule="auto"/>
        <w:ind w:left="357"/>
        <w:jc w:val="both"/>
        <w:rPr>
          <w:rFonts w:ascii="David" w:hAnsi="David" w:cs="David"/>
          <w:sz w:val="24"/>
          <w:szCs w:val="24"/>
          <w:rtl/>
        </w:rPr>
      </w:pPr>
      <w:r w:rsidRPr="00726E2D">
        <w:rPr>
          <w:rFonts w:ascii="David" w:hAnsi="David" w:cs="David" w:hint="cs"/>
          <w:sz w:val="24"/>
          <w:szCs w:val="24"/>
          <w:rtl/>
        </w:rPr>
        <w:t>(ר' סעיף 89 לפסק דינו של כבוד השופט יצחק עמית בעמ' 74 לפסק הדין בע"פ7253/14 ו-7314/14 בעניינו של התובע).</w:t>
      </w:r>
    </w:p>
    <w:p w:rsidR="00D65582" w:rsidRPr="00726E2D" w:rsidRDefault="00726E2D" w:rsidP="00D65582">
      <w:pPr>
        <w:keepLines/>
        <w:spacing w:before="120" w:line="360" w:lineRule="auto"/>
        <w:ind w:left="357"/>
        <w:jc w:val="both"/>
        <w:rPr>
          <w:rFonts w:ascii="David" w:hAnsi="David" w:cs="David"/>
          <w:sz w:val="24"/>
          <w:szCs w:val="24"/>
        </w:rPr>
      </w:pPr>
      <w:r>
        <w:rPr>
          <w:rFonts w:ascii="David" w:hAnsi="David" w:cs="David" w:hint="cs"/>
          <w:sz w:val="24"/>
          <w:szCs w:val="24"/>
          <w:rtl/>
        </w:rPr>
        <w:t xml:space="preserve">דברים אלו כמו גם הרשעת התובע מדברים בעד עצמם ומלמדים שהגשת כתב האישום כנגד התובע הייתה </w:t>
      </w:r>
      <w:r w:rsidRPr="00D9760D">
        <w:rPr>
          <w:rFonts w:ascii="David" w:hAnsi="David" w:cs="David" w:hint="cs"/>
          <w:b/>
          <w:bCs/>
          <w:sz w:val="24"/>
          <w:szCs w:val="24"/>
          <w:u w:val="single"/>
          <w:rtl/>
        </w:rPr>
        <w:t>ראויה</w:t>
      </w:r>
      <w:r w:rsidR="00D9760D" w:rsidRPr="00D9760D">
        <w:rPr>
          <w:rFonts w:ascii="David" w:hAnsi="David" w:cs="David" w:hint="cs"/>
          <w:b/>
          <w:bCs/>
          <w:sz w:val="24"/>
          <w:szCs w:val="24"/>
          <w:u w:val="single"/>
          <w:rtl/>
        </w:rPr>
        <w:t>, סבירה ומתחייבת</w:t>
      </w:r>
      <w:r w:rsidR="00D9760D">
        <w:rPr>
          <w:rFonts w:ascii="David" w:hAnsi="David" w:cs="David" w:hint="cs"/>
          <w:sz w:val="24"/>
          <w:szCs w:val="24"/>
          <w:rtl/>
        </w:rPr>
        <w:t xml:space="preserve"> לאור הרף הראייתי הנדרש להגשת כתב אישום על ידי המדינה (ר' לעניין זה גם בג"ץ </w:t>
      </w:r>
      <w:r w:rsidR="00D9760D" w:rsidRPr="00E7101E">
        <w:rPr>
          <w:rFonts w:ascii="David" w:hAnsi="David" w:cs="David"/>
          <w:sz w:val="24"/>
          <w:szCs w:val="24"/>
          <w:rtl/>
        </w:rPr>
        <w:t xml:space="preserve">2534/97 </w:t>
      </w:r>
      <w:r w:rsidR="00D9760D" w:rsidRPr="00974E51">
        <w:rPr>
          <w:rFonts w:ascii="David" w:hAnsi="David" w:cs="David"/>
          <w:b/>
          <w:bCs/>
          <w:sz w:val="24"/>
          <w:szCs w:val="24"/>
          <w:rtl/>
        </w:rPr>
        <w:t>ח"כ יהב ואח' נ' פרקליטות המדינה</w:t>
      </w:r>
      <w:r w:rsidR="00D9760D" w:rsidRPr="00E7101E">
        <w:rPr>
          <w:rFonts w:ascii="David" w:hAnsi="David" w:cs="David"/>
          <w:sz w:val="24"/>
          <w:szCs w:val="24"/>
          <w:rtl/>
        </w:rPr>
        <w:t xml:space="preserve"> , פ"ד נא (3)</w:t>
      </w:r>
      <w:r w:rsidR="00D9760D">
        <w:rPr>
          <w:rFonts w:ascii="David" w:hAnsi="David" w:cs="David" w:hint="cs"/>
          <w:sz w:val="24"/>
          <w:szCs w:val="24"/>
          <w:rtl/>
        </w:rPr>
        <w:t>)</w:t>
      </w:r>
      <w:r>
        <w:rPr>
          <w:rFonts w:ascii="David" w:hAnsi="David" w:cs="David" w:hint="cs"/>
          <w:sz w:val="24"/>
          <w:szCs w:val="24"/>
          <w:rtl/>
        </w:rPr>
        <w:t>.</w:t>
      </w:r>
    </w:p>
    <w:p w:rsidR="00726E2D" w:rsidRDefault="00726E2D" w:rsidP="00726E2D">
      <w:pPr>
        <w:spacing w:before="120" w:line="360" w:lineRule="auto"/>
        <w:ind w:left="357"/>
        <w:jc w:val="both"/>
        <w:rPr>
          <w:rFonts w:ascii="David" w:hAnsi="David" w:cs="David"/>
          <w:sz w:val="24"/>
          <w:szCs w:val="24"/>
          <w:rtl/>
        </w:rPr>
      </w:pPr>
      <w:r w:rsidRPr="00726E2D">
        <w:rPr>
          <w:rFonts w:ascii="David" w:hAnsi="David" w:cs="David" w:hint="cs"/>
          <w:sz w:val="24"/>
          <w:szCs w:val="24"/>
          <w:rtl/>
        </w:rPr>
        <w:t>בית המשפט העליון</w:t>
      </w:r>
      <w:r w:rsidRPr="00726E2D">
        <w:rPr>
          <w:rFonts w:ascii="David" w:hAnsi="David" w:cs="David"/>
          <w:sz w:val="24"/>
          <w:szCs w:val="24"/>
          <w:rtl/>
        </w:rPr>
        <w:t xml:space="preserve"> ה</w:t>
      </w:r>
      <w:r w:rsidRPr="00726E2D">
        <w:rPr>
          <w:rFonts w:ascii="David" w:hAnsi="David" w:cs="David" w:hint="cs"/>
          <w:sz w:val="24"/>
          <w:szCs w:val="24"/>
          <w:rtl/>
        </w:rPr>
        <w:t>נכבד</w:t>
      </w:r>
      <w:r w:rsidRPr="00726E2D">
        <w:rPr>
          <w:rFonts w:ascii="David" w:hAnsi="David" w:cs="David"/>
          <w:sz w:val="24"/>
          <w:szCs w:val="24"/>
          <w:rtl/>
        </w:rPr>
        <w:t xml:space="preserve"> קבע במסגרת ע"א 3580/06 ו-ע"א 3726/06 </w:t>
      </w:r>
      <w:r w:rsidRPr="00726E2D">
        <w:rPr>
          <w:rFonts w:ascii="David" w:hAnsi="David" w:cs="David"/>
          <w:b/>
          <w:bCs/>
          <w:sz w:val="24"/>
          <w:szCs w:val="24"/>
          <w:rtl/>
        </w:rPr>
        <w:t>ע.מ. חגי יוסף ז"ל ואח' נ' מדינת ישראל</w:t>
      </w:r>
      <w:r w:rsidRPr="00726E2D">
        <w:rPr>
          <w:rFonts w:ascii="David" w:hAnsi="David" w:cs="David"/>
          <w:sz w:val="24"/>
          <w:szCs w:val="24"/>
          <w:rtl/>
        </w:rPr>
        <w:t xml:space="preserve"> (מיום 21/03/11, פורסם באתר הרשות השופטת</w:t>
      </w:r>
      <w:r w:rsidRPr="00726E2D">
        <w:rPr>
          <w:rFonts w:ascii="David" w:hAnsi="David" w:cs="David" w:hint="cs"/>
          <w:sz w:val="24"/>
          <w:szCs w:val="24"/>
          <w:rtl/>
        </w:rPr>
        <w:t>)</w:t>
      </w:r>
      <w:r w:rsidRPr="00726E2D">
        <w:rPr>
          <w:rFonts w:ascii="David" w:hAnsi="David" w:cs="David"/>
          <w:sz w:val="24"/>
          <w:szCs w:val="24"/>
          <w:rtl/>
        </w:rPr>
        <w:t xml:space="preserve"> כי לא התוצאה וקיום נזק צריכים להשפיע על שאלת קביעת האחריות, וכי אין לראות את הדברים ב"חכמה בדיעבד".</w:t>
      </w:r>
    </w:p>
    <w:p w:rsidR="00726E2D" w:rsidRPr="00726E2D" w:rsidRDefault="00726E2D" w:rsidP="00726E2D">
      <w:pPr>
        <w:spacing w:before="120" w:line="360" w:lineRule="auto"/>
        <w:ind w:left="357"/>
        <w:jc w:val="both"/>
        <w:rPr>
          <w:rFonts w:ascii="David" w:hAnsi="David" w:cs="David"/>
          <w:sz w:val="24"/>
          <w:szCs w:val="24"/>
          <w:rtl/>
        </w:rPr>
      </w:pPr>
      <w:r>
        <w:rPr>
          <w:rFonts w:ascii="David" w:hAnsi="David" w:cs="David" w:hint="cs"/>
          <w:sz w:val="24"/>
          <w:szCs w:val="24"/>
          <w:rtl/>
        </w:rPr>
        <w:t xml:space="preserve">בענייננו, לא זו בלבד שדין התביעה להידחות מחמת היעדר אחריות המדינה אלא גם מחמת </w:t>
      </w:r>
      <w:commentRangeStart w:id="4"/>
      <w:r>
        <w:rPr>
          <w:rFonts w:ascii="David" w:hAnsi="David" w:cs="David" w:hint="cs"/>
          <w:sz w:val="24"/>
          <w:szCs w:val="24"/>
          <w:rtl/>
        </w:rPr>
        <w:t>העדר יכולת התובע להוכיח את רכיב הנזק (הנטען והמוכחש כשלעצמו)</w:t>
      </w:r>
      <w:commentRangeEnd w:id="4"/>
      <w:r w:rsidR="008F3E3B">
        <w:rPr>
          <w:rStyle w:val="a8"/>
          <w:rFonts w:cs="David"/>
          <w:rtl/>
        </w:rPr>
        <w:commentReference w:id="4"/>
      </w:r>
      <w:r>
        <w:rPr>
          <w:rFonts w:ascii="David" w:hAnsi="David" w:cs="David" w:hint="cs"/>
          <w:sz w:val="24"/>
          <w:szCs w:val="24"/>
          <w:rtl/>
        </w:rPr>
        <w:t xml:space="preserve"> מקום בו הנזק הנטען בכתב התביעה נובע מכך </w:t>
      </w:r>
      <w:r>
        <w:rPr>
          <w:rFonts w:ascii="David" w:hAnsi="David" w:cs="David" w:hint="cs"/>
          <w:sz w:val="24"/>
          <w:szCs w:val="24"/>
          <w:rtl/>
        </w:rPr>
        <w:lastRenderedPageBreak/>
        <w:t>שלחובת התובע עומדת הרשעה חלוטה פה אחד בפרשת ייעוץ זוגי (אישומים 13-15) בגינה ריצה מאסר 66 חודשי מאסר ובגינה אף נשלל רישיון עורך הדין שלו.</w:t>
      </w:r>
    </w:p>
    <w:p w:rsidR="00D9760D" w:rsidRDefault="00726E2D" w:rsidP="00D9760D">
      <w:pPr>
        <w:spacing w:before="120" w:line="360" w:lineRule="auto"/>
        <w:ind w:left="357"/>
        <w:jc w:val="both"/>
        <w:rPr>
          <w:rFonts w:ascii="David" w:hAnsi="David" w:cs="David"/>
          <w:sz w:val="24"/>
          <w:szCs w:val="24"/>
          <w:rtl/>
        </w:rPr>
      </w:pPr>
      <w:r w:rsidRPr="00726E2D">
        <w:rPr>
          <w:rFonts w:ascii="David" w:hAnsi="David" w:cs="David" w:hint="cs"/>
          <w:sz w:val="24"/>
          <w:szCs w:val="24"/>
          <w:rtl/>
        </w:rPr>
        <w:t xml:space="preserve">לא למותר לציין, כי </w:t>
      </w:r>
      <w:r>
        <w:rPr>
          <w:rFonts w:ascii="David" w:hAnsi="David" w:cs="David" w:hint="cs"/>
          <w:sz w:val="24"/>
          <w:szCs w:val="24"/>
          <w:rtl/>
        </w:rPr>
        <w:t>טענת התובע לפיה לא היה מבצע את העבירות בגינן הורשע בפרשת ייעוץ זוגי אלמלא ההתרשלות הנטענת והמוכחשת של הנתבעת דינן להידחות על אתר</w:t>
      </w:r>
      <w:r w:rsidR="00D9760D">
        <w:rPr>
          <w:rFonts w:ascii="David" w:hAnsi="David" w:cs="David" w:hint="cs"/>
          <w:sz w:val="24"/>
          <w:szCs w:val="24"/>
          <w:rtl/>
        </w:rPr>
        <w:t>.</w:t>
      </w:r>
    </w:p>
    <w:p w:rsidR="00726E2D" w:rsidRDefault="00D9760D" w:rsidP="00D9760D">
      <w:pPr>
        <w:spacing w:before="120" w:line="360" w:lineRule="auto"/>
        <w:ind w:left="357"/>
        <w:jc w:val="both"/>
        <w:rPr>
          <w:rFonts w:ascii="David" w:hAnsi="David" w:cs="David"/>
          <w:sz w:val="24"/>
          <w:szCs w:val="24"/>
          <w:rtl/>
        </w:rPr>
      </w:pPr>
      <w:r>
        <w:rPr>
          <w:rFonts w:ascii="David" w:hAnsi="David" w:cs="David" w:hint="cs"/>
          <w:sz w:val="24"/>
          <w:szCs w:val="24"/>
          <w:rtl/>
        </w:rPr>
        <w:t>התובע</w:t>
      </w:r>
      <w:r w:rsidR="00726E2D">
        <w:rPr>
          <w:rFonts w:ascii="David" w:hAnsi="David" w:cs="David" w:hint="cs"/>
          <w:sz w:val="24"/>
          <w:szCs w:val="24"/>
          <w:rtl/>
        </w:rPr>
        <w:t xml:space="preserve"> לא רק שהורשע </w:t>
      </w:r>
      <w:r w:rsidR="00726E2D" w:rsidRPr="00726E2D">
        <w:rPr>
          <w:rFonts w:ascii="David" w:hAnsi="David" w:cs="David" w:hint="cs"/>
          <w:b/>
          <w:bCs/>
          <w:sz w:val="24"/>
          <w:szCs w:val="24"/>
          <w:rtl/>
        </w:rPr>
        <w:t xml:space="preserve"> כדין</w:t>
      </w:r>
      <w:r w:rsidR="00726E2D">
        <w:rPr>
          <w:rFonts w:ascii="David" w:hAnsi="David" w:cs="David" w:hint="cs"/>
          <w:sz w:val="24"/>
          <w:szCs w:val="24"/>
          <w:rtl/>
        </w:rPr>
        <w:t xml:space="preserve"> בביצוע עבירות חמורות באורח מופלג שעניינן קשירת קשר לרצח ובניסיון לשידול לרצח עדי תביעה (כולל של רמזי בכר), שידול לחבלה חמורה (בדניאל כהן), שיבוש מהלכי משפט, עבירות נשק והטרדת עדים אלא גם לנוכח הקביעה הפוזיטיבית והחלוטה של בית המשפט הפלילי אודות נחישות התובע לבצע עבירות אלו ודחיית הטענה בדבר הדחת סוכן.</w:t>
      </w:r>
    </w:p>
    <w:p w:rsidR="00726E2D" w:rsidRDefault="00726E2D" w:rsidP="00726E2D">
      <w:pPr>
        <w:spacing w:before="120" w:line="360" w:lineRule="auto"/>
        <w:ind w:left="357"/>
        <w:jc w:val="both"/>
        <w:rPr>
          <w:rFonts w:ascii="David" w:hAnsi="David" w:cs="David"/>
          <w:sz w:val="24"/>
          <w:szCs w:val="24"/>
          <w:rtl/>
        </w:rPr>
      </w:pPr>
      <w:r>
        <w:rPr>
          <w:rFonts w:ascii="David" w:hAnsi="David" w:cs="David" w:hint="cs"/>
          <w:sz w:val="24"/>
          <w:szCs w:val="24"/>
          <w:rtl/>
        </w:rPr>
        <w:t xml:space="preserve"> בית המשפט הנכבד מופנה בהקשר זה לאמור בסעיף 294 להכרעת הדין של כבוד השופטת שרה דותן  בעמוד 120 להכרעת הדין, כדלהלן:</w:t>
      </w:r>
    </w:p>
    <w:p w:rsidR="00726E2D" w:rsidRPr="00D65582" w:rsidRDefault="00726E2D" w:rsidP="00D65582">
      <w:pPr>
        <w:spacing w:before="120" w:line="360" w:lineRule="auto"/>
        <w:ind w:left="357"/>
        <w:jc w:val="both"/>
        <w:rPr>
          <w:rFonts w:ascii="David" w:hAnsi="David" w:cs="David"/>
          <w:sz w:val="24"/>
          <w:szCs w:val="24"/>
          <w:rtl/>
        </w:rPr>
      </w:pPr>
      <w:r>
        <w:rPr>
          <w:rFonts w:ascii="David" w:hAnsi="David" w:cs="David" w:hint="cs"/>
          <w:b/>
          <w:bCs/>
          <w:sz w:val="24"/>
          <w:szCs w:val="24"/>
          <w:rtl/>
        </w:rPr>
        <w:t xml:space="preserve">"...לבסוף, מן הראיות שהוצגו לפני בית המשפט הנאשם אינו מצטייר כמי שמובל, משודל או נגרר לביצוע העבירות כאמור, אלא כמזמין עבירה: הנאשם עומד מפורשות על האופן שבו ירצח עד התביעה </w:t>
      </w:r>
      <w:r>
        <w:rPr>
          <w:rFonts w:ascii="David" w:hAnsi="David" w:cs="David"/>
          <w:b/>
          <w:bCs/>
          <w:sz w:val="24"/>
          <w:szCs w:val="24"/>
          <w:rtl/>
        </w:rPr>
        <w:t>–</w:t>
      </w:r>
      <w:r>
        <w:rPr>
          <w:rFonts w:ascii="David" w:hAnsi="David" w:cs="David" w:hint="cs"/>
          <w:b/>
          <w:bCs/>
          <w:sz w:val="24"/>
          <w:szCs w:val="24"/>
          <w:rtl/>
        </w:rPr>
        <w:t xml:space="preserve"> באמצעות מנת יתר של סם; מתעניין במועד הביצוע כמי שהזמן דוחק בו והוא מצפה כבר להשלמת המעשה; מבקש לוודא שלא יוותרו ראיות שיצביעו על כך שנרצח, כאחרון העבריינים וכמובן משלם למי שהוא מקווה שיבצע את הרצח, באמצעות אביו. זאת ועוד, הנאשם עצמו מודה כי בעניין רציחתו של עד המדינה פנה לרובינוב ל-ג.א. ולנוספים שאת שמם לא ציין ולמעשה שינה את מטרת הפגיעה רק עם התבהרות תמונת הראיות נגדו. יש בכך כדי ללמד על נחישותו לקטול את מי שסבר כי עלולים להעיד נגדו ולפיכך, לולא ג.א, יתכן שהיה מוצא אסיר אחר שבעזרתו היה משיג את מבוקשו. הנה כי כן מצאתי שיש לדחות את טענת ההדחה מיניה וביה"</w:t>
      </w:r>
      <w:r>
        <w:rPr>
          <w:rFonts w:ascii="David" w:hAnsi="David" w:cs="David" w:hint="cs"/>
          <w:sz w:val="24"/>
          <w:szCs w:val="24"/>
          <w:rtl/>
        </w:rPr>
        <w:t xml:space="preserve">  </w:t>
      </w:r>
    </w:p>
    <w:p w:rsidR="002431BA" w:rsidRPr="00E7101E" w:rsidRDefault="002431BA" w:rsidP="00D95442">
      <w:pPr>
        <w:spacing w:before="120" w:line="360" w:lineRule="auto"/>
        <w:ind w:left="357"/>
        <w:jc w:val="both"/>
        <w:rPr>
          <w:rFonts w:ascii="David" w:hAnsi="David" w:cs="David"/>
          <w:sz w:val="28"/>
          <w:szCs w:val="28"/>
        </w:rPr>
      </w:pPr>
      <w:r w:rsidRPr="00424BFC">
        <w:rPr>
          <w:rFonts w:ascii="David" w:hAnsi="David" w:cs="David"/>
          <w:b/>
          <w:bCs/>
          <w:sz w:val="28"/>
          <w:szCs w:val="28"/>
          <w:rtl/>
        </w:rPr>
        <w:t>א.</w:t>
      </w:r>
      <w:r w:rsidRPr="00E7101E">
        <w:rPr>
          <w:rFonts w:ascii="David" w:hAnsi="David" w:cs="David"/>
          <w:sz w:val="28"/>
          <w:szCs w:val="28"/>
          <w:rtl/>
        </w:rPr>
        <w:t xml:space="preserve">  </w:t>
      </w:r>
      <w:r w:rsidRPr="00424BFC">
        <w:rPr>
          <w:rFonts w:ascii="David" w:hAnsi="David" w:cs="David"/>
          <w:b/>
          <w:bCs/>
          <w:sz w:val="28"/>
          <w:szCs w:val="28"/>
          <w:u w:val="double"/>
          <w:rtl/>
        </w:rPr>
        <w:t>כללי</w:t>
      </w:r>
    </w:p>
    <w:p w:rsidR="00D95442" w:rsidRPr="00E7101E" w:rsidRDefault="00D95442" w:rsidP="00D95442">
      <w:pPr>
        <w:keepLines/>
        <w:numPr>
          <w:ilvl w:val="0"/>
          <w:numId w:val="21"/>
        </w:numPr>
        <w:spacing w:line="360" w:lineRule="auto"/>
        <w:ind w:left="651" w:hanging="291"/>
        <w:jc w:val="both"/>
        <w:rPr>
          <w:rFonts w:ascii="David" w:hAnsi="David" w:cs="David"/>
          <w:sz w:val="24"/>
          <w:szCs w:val="24"/>
        </w:rPr>
      </w:pPr>
      <w:r w:rsidRPr="00E7101E">
        <w:rPr>
          <w:rFonts w:ascii="David" w:hAnsi="David" w:cs="David" w:hint="cs"/>
          <w:sz w:val="24"/>
          <w:szCs w:val="24"/>
          <w:rtl/>
        </w:rPr>
        <w:t xml:space="preserve">  </w:t>
      </w:r>
      <w:r w:rsidR="002431BA" w:rsidRPr="00E7101E">
        <w:rPr>
          <w:rFonts w:ascii="David" w:hAnsi="David" w:cs="David"/>
          <w:sz w:val="24"/>
          <w:szCs w:val="24"/>
          <w:rtl/>
        </w:rPr>
        <w:t xml:space="preserve">א.    </w:t>
      </w:r>
      <w:r w:rsidR="00D84F91" w:rsidRPr="00E7101E">
        <w:rPr>
          <w:rFonts w:ascii="David" w:hAnsi="David" w:cs="David" w:hint="cs"/>
          <w:sz w:val="24"/>
          <w:szCs w:val="24"/>
          <w:rtl/>
        </w:rPr>
        <w:t xml:space="preserve"> </w:t>
      </w:r>
      <w:r w:rsidR="002431BA" w:rsidRPr="00E7101E">
        <w:rPr>
          <w:rFonts w:ascii="David" w:hAnsi="David" w:cs="David"/>
          <w:sz w:val="24"/>
          <w:szCs w:val="24"/>
          <w:rtl/>
        </w:rPr>
        <w:t xml:space="preserve">כל הטענות המשפטיות בכתב הגנה זה הנן משלימות זו את זו או חלופיות זו לזו, הכל לפי הדבק </w:t>
      </w:r>
      <w:r w:rsidRPr="00E7101E">
        <w:rPr>
          <w:rFonts w:ascii="David" w:hAnsi="David" w:cs="David" w:hint="cs"/>
          <w:sz w:val="24"/>
          <w:szCs w:val="24"/>
          <w:rtl/>
        </w:rPr>
        <w:t xml:space="preserve"> </w:t>
      </w:r>
    </w:p>
    <w:p w:rsidR="002431BA" w:rsidRPr="00E7101E" w:rsidRDefault="002431BA" w:rsidP="00D95442">
      <w:pPr>
        <w:keepLines/>
        <w:spacing w:line="360" w:lineRule="auto"/>
        <w:ind w:left="1152" w:firstLine="69"/>
        <w:jc w:val="both"/>
        <w:rPr>
          <w:rFonts w:ascii="David" w:hAnsi="David" w:cs="David"/>
          <w:sz w:val="24"/>
          <w:szCs w:val="24"/>
        </w:rPr>
      </w:pPr>
      <w:r w:rsidRPr="00E7101E">
        <w:rPr>
          <w:rFonts w:ascii="David" w:hAnsi="David" w:cs="David"/>
          <w:sz w:val="24"/>
          <w:szCs w:val="24"/>
          <w:rtl/>
        </w:rPr>
        <w:t>הדברים והקשרם.</w:t>
      </w:r>
    </w:p>
    <w:p w:rsidR="002431BA" w:rsidRPr="00E7101E" w:rsidRDefault="002431BA" w:rsidP="00D84F91">
      <w:pPr>
        <w:spacing w:line="360" w:lineRule="auto"/>
        <w:ind w:left="1221" w:hanging="501"/>
        <w:jc w:val="both"/>
        <w:rPr>
          <w:rFonts w:ascii="David" w:hAnsi="David" w:cs="David"/>
          <w:sz w:val="24"/>
          <w:szCs w:val="24"/>
          <w:rtl/>
        </w:rPr>
      </w:pPr>
      <w:r w:rsidRPr="00E7101E">
        <w:rPr>
          <w:rFonts w:ascii="David" w:hAnsi="David" w:cs="David"/>
          <w:sz w:val="24"/>
          <w:szCs w:val="24"/>
          <w:rtl/>
        </w:rPr>
        <w:t xml:space="preserve">ב.    כל הטענות העובדתיות בכתב הגנה זה נטענות במצטבר ובאופן משלים, הכל לפי הדבק הדברים </w:t>
      </w:r>
      <w:r w:rsidR="00D84F91" w:rsidRPr="00E7101E">
        <w:rPr>
          <w:rFonts w:ascii="David" w:hAnsi="David" w:cs="David" w:hint="cs"/>
          <w:sz w:val="24"/>
          <w:szCs w:val="24"/>
          <w:rtl/>
        </w:rPr>
        <w:t xml:space="preserve"> </w:t>
      </w:r>
      <w:r w:rsidRPr="00E7101E">
        <w:rPr>
          <w:rFonts w:ascii="David" w:hAnsi="David" w:cs="David"/>
          <w:sz w:val="24"/>
          <w:szCs w:val="24"/>
          <w:rtl/>
        </w:rPr>
        <w:t>והקשרם.</w:t>
      </w:r>
    </w:p>
    <w:p w:rsidR="002431BA" w:rsidRPr="00E7101E" w:rsidRDefault="002431BA" w:rsidP="00D95442">
      <w:pPr>
        <w:tabs>
          <w:tab w:val="left" w:pos="1221"/>
        </w:tabs>
        <w:spacing w:line="360" w:lineRule="auto"/>
        <w:ind w:left="1221" w:hanging="501"/>
        <w:jc w:val="both"/>
        <w:rPr>
          <w:rFonts w:ascii="David" w:hAnsi="David" w:cs="David"/>
          <w:sz w:val="24"/>
          <w:szCs w:val="24"/>
          <w:rtl/>
        </w:rPr>
      </w:pPr>
      <w:r w:rsidRPr="00E7101E">
        <w:rPr>
          <w:rFonts w:ascii="David" w:hAnsi="David" w:cs="David"/>
          <w:sz w:val="24"/>
          <w:szCs w:val="24"/>
          <w:rtl/>
        </w:rPr>
        <w:t xml:space="preserve">ג.   </w:t>
      </w:r>
      <w:r w:rsidR="00D95442" w:rsidRPr="00E7101E">
        <w:rPr>
          <w:rFonts w:ascii="David" w:hAnsi="David" w:cs="David" w:hint="cs"/>
          <w:sz w:val="24"/>
          <w:szCs w:val="24"/>
          <w:rtl/>
        </w:rPr>
        <w:t xml:space="preserve">   </w:t>
      </w:r>
      <w:r w:rsidRPr="00E7101E">
        <w:rPr>
          <w:rFonts w:ascii="David" w:hAnsi="David" w:cs="David"/>
          <w:sz w:val="24"/>
          <w:szCs w:val="24"/>
          <w:rtl/>
        </w:rPr>
        <w:t>טענות עובדתיות חלופיות נטענות אך במקום בו אין העובדות כהוויתן ידועות לנתבעת.</w:t>
      </w:r>
    </w:p>
    <w:p w:rsidR="002431BA" w:rsidRPr="00E7101E" w:rsidRDefault="002431BA" w:rsidP="00D95442">
      <w:pPr>
        <w:spacing w:line="360" w:lineRule="auto"/>
        <w:ind w:left="1221" w:hanging="501"/>
        <w:jc w:val="both"/>
        <w:rPr>
          <w:rFonts w:ascii="David" w:hAnsi="David" w:cs="David"/>
          <w:sz w:val="24"/>
          <w:szCs w:val="24"/>
          <w:rtl/>
        </w:rPr>
      </w:pPr>
      <w:r w:rsidRPr="00E7101E">
        <w:rPr>
          <w:rFonts w:ascii="David" w:hAnsi="David" w:cs="David"/>
          <w:sz w:val="24"/>
          <w:szCs w:val="24"/>
          <w:rtl/>
        </w:rPr>
        <w:t xml:space="preserve">ד.   </w:t>
      </w:r>
      <w:r w:rsidR="00D95442" w:rsidRPr="00E7101E">
        <w:rPr>
          <w:rFonts w:ascii="David" w:hAnsi="David" w:cs="David" w:hint="cs"/>
          <w:sz w:val="24"/>
          <w:szCs w:val="24"/>
          <w:rtl/>
        </w:rPr>
        <w:t xml:space="preserve">   </w:t>
      </w:r>
      <w:r w:rsidRPr="00E7101E">
        <w:rPr>
          <w:rFonts w:ascii="David" w:hAnsi="David" w:cs="David"/>
          <w:sz w:val="24"/>
          <w:szCs w:val="24"/>
          <w:rtl/>
        </w:rPr>
        <w:t>מוכחשת כל טענה ועובדה בכתב התביעה למעט מה שהנתבעת תודה בו להלן במפורש.</w:t>
      </w:r>
    </w:p>
    <w:p w:rsidR="002431BA" w:rsidRPr="00E7101E" w:rsidRDefault="002431BA" w:rsidP="00D95442">
      <w:pPr>
        <w:spacing w:line="360" w:lineRule="auto"/>
        <w:ind w:left="1221" w:hanging="501"/>
        <w:jc w:val="both"/>
        <w:rPr>
          <w:rFonts w:ascii="David" w:hAnsi="David" w:cs="David"/>
          <w:sz w:val="24"/>
          <w:szCs w:val="24"/>
          <w:rtl/>
        </w:rPr>
      </w:pPr>
      <w:r w:rsidRPr="00E7101E">
        <w:rPr>
          <w:rFonts w:ascii="David" w:hAnsi="David" w:cs="David"/>
          <w:sz w:val="24"/>
          <w:szCs w:val="24"/>
          <w:rtl/>
        </w:rPr>
        <w:t>ה.     הנתבעת אינה נוטלת על עצמה את עול הראיה ו/או נטל ההוכחה מקום שעול זה ו/או נטל זה אינו מוטל עליה מפורשות על פי הדין.</w:t>
      </w:r>
    </w:p>
    <w:p w:rsidR="002431BA" w:rsidRPr="00E7101E" w:rsidRDefault="002431BA" w:rsidP="00D95442">
      <w:pPr>
        <w:spacing w:line="360" w:lineRule="auto"/>
        <w:ind w:left="1221" w:hanging="501"/>
        <w:jc w:val="both"/>
        <w:rPr>
          <w:rFonts w:ascii="David" w:hAnsi="David" w:cs="David"/>
          <w:sz w:val="24"/>
          <w:szCs w:val="24"/>
          <w:rtl/>
        </w:rPr>
      </w:pPr>
      <w:r w:rsidRPr="00E7101E">
        <w:rPr>
          <w:rFonts w:ascii="David" w:hAnsi="David" w:cs="David"/>
          <w:sz w:val="24"/>
          <w:szCs w:val="24"/>
          <w:rtl/>
        </w:rPr>
        <w:t>ו.</w:t>
      </w:r>
      <w:r w:rsidRPr="00E7101E">
        <w:rPr>
          <w:rFonts w:ascii="David" w:hAnsi="David" w:cs="David"/>
          <w:sz w:val="24"/>
          <w:szCs w:val="24"/>
          <w:rtl/>
        </w:rPr>
        <w:tab/>
        <w:t>אין בטענה כלשהי מטענות המדינה בכתב הגנה זה משום ויתור על טענה ו/או פגיעה בטענה כזו.</w:t>
      </w:r>
    </w:p>
    <w:p w:rsidR="002431BA" w:rsidRPr="00E7101E" w:rsidRDefault="002431BA" w:rsidP="00D95442">
      <w:pPr>
        <w:spacing w:line="360" w:lineRule="auto"/>
        <w:ind w:left="1221" w:hanging="501"/>
        <w:jc w:val="both"/>
        <w:rPr>
          <w:rFonts w:ascii="David" w:hAnsi="David" w:cs="David"/>
          <w:sz w:val="24"/>
          <w:szCs w:val="24"/>
          <w:highlight w:val="green"/>
          <w:rtl/>
        </w:rPr>
      </w:pPr>
      <w:r w:rsidRPr="00E7101E">
        <w:rPr>
          <w:rFonts w:ascii="David" w:hAnsi="David" w:cs="David"/>
          <w:sz w:val="24"/>
          <w:szCs w:val="24"/>
          <w:rtl/>
        </w:rPr>
        <w:t>ז.</w:t>
      </w:r>
      <w:r w:rsidRPr="00E7101E">
        <w:rPr>
          <w:rFonts w:ascii="David" w:hAnsi="David" w:cs="David"/>
          <w:sz w:val="24"/>
          <w:szCs w:val="24"/>
          <w:rtl/>
        </w:rPr>
        <w:tab/>
        <w:t>שום דבר מן האמור בכתב הגנה זה, אין לראות בו משום אישור ו/או אישרור ו/או נטילת חבות ישירה ו/או שילוחית ו/או הצדקה למעשים ו/או מחדלים (אם נעשו שלא כדין) ו/או משום הודאה בביצוע המעשים והמחדלים הנטענים ו/או הנזקים הנטענים.</w:t>
      </w:r>
    </w:p>
    <w:p w:rsidR="002431BA" w:rsidRPr="00E7101E" w:rsidRDefault="002431BA" w:rsidP="00D95442">
      <w:pPr>
        <w:spacing w:line="360" w:lineRule="auto"/>
        <w:ind w:left="1221" w:hanging="501"/>
        <w:jc w:val="both"/>
        <w:rPr>
          <w:rFonts w:ascii="David" w:hAnsi="David" w:cs="David"/>
          <w:sz w:val="24"/>
          <w:szCs w:val="24"/>
          <w:rtl/>
        </w:rPr>
      </w:pPr>
      <w:r w:rsidRPr="00E7101E">
        <w:rPr>
          <w:rFonts w:ascii="David" w:hAnsi="David" w:cs="David"/>
          <w:sz w:val="24"/>
          <w:szCs w:val="24"/>
          <w:rtl/>
        </w:rPr>
        <w:t>ח.</w:t>
      </w:r>
      <w:r w:rsidRPr="00E7101E">
        <w:rPr>
          <w:rFonts w:ascii="David" w:hAnsi="David" w:cs="David"/>
          <w:sz w:val="24"/>
          <w:szCs w:val="24"/>
          <w:rtl/>
        </w:rPr>
        <w:tab/>
        <w:t>הנתבעת שומרת על זכותה לתקן ו/או להוסיף לכתב הגנתה, היה שיתבררו עובדות נוספות הרלוונטיות לכתב הגנתה.</w:t>
      </w:r>
    </w:p>
    <w:p w:rsidR="002431BA" w:rsidRPr="00E7101E" w:rsidRDefault="002431BA" w:rsidP="00D95442">
      <w:pPr>
        <w:spacing w:line="360" w:lineRule="auto"/>
        <w:ind w:left="1221" w:hanging="501"/>
        <w:jc w:val="both"/>
        <w:rPr>
          <w:rFonts w:ascii="David" w:hAnsi="David" w:cs="David"/>
          <w:sz w:val="24"/>
          <w:szCs w:val="24"/>
          <w:rtl/>
        </w:rPr>
      </w:pPr>
      <w:r w:rsidRPr="00E7101E">
        <w:rPr>
          <w:rFonts w:ascii="David" w:hAnsi="David" w:cs="David"/>
          <w:sz w:val="24"/>
          <w:szCs w:val="24"/>
          <w:rtl/>
        </w:rPr>
        <w:t>ט.</w:t>
      </w:r>
      <w:r w:rsidRPr="00E7101E">
        <w:rPr>
          <w:rFonts w:ascii="David" w:hAnsi="David" w:cs="David"/>
          <w:sz w:val="24"/>
          <w:szCs w:val="24"/>
          <w:rtl/>
        </w:rPr>
        <w:tab/>
      </w:r>
      <w:commentRangeStart w:id="5"/>
      <w:r w:rsidRPr="00E7101E">
        <w:rPr>
          <w:rFonts w:ascii="David" w:hAnsi="David" w:cs="David"/>
          <w:sz w:val="24"/>
          <w:szCs w:val="24"/>
          <w:rtl/>
        </w:rPr>
        <w:t>מוכחשים תוכנם וקבילותם של המסמכים שצורפו לכתב התביעה. הנתבעת טוענת כבר עתה כי מסמכים אלה אינם מהווים ראיה לתוכנם, וכי על התובע להוכיח תוכנם. התובע</w:t>
      </w:r>
      <w:r w:rsidR="00D95442" w:rsidRPr="00E7101E">
        <w:rPr>
          <w:rFonts w:ascii="David" w:hAnsi="David" w:cs="David"/>
          <w:sz w:val="24"/>
          <w:szCs w:val="24"/>
          <w:rtl/>
        </w:rPr>
        <w:t xml:space="preserve"> יידרש</w:t>
      </w:r>
      <w:r w:rsidRPr="00E7101E">
        <w:rPr>
          <w:rFonts w:ascii="David" w:hAnsi="David" w:cs="David"/>
          <w:sz w:val="24"/>
          <w:szCs w:val="24"/>
          <w:rtl/>
        </w:rPr>
        <w:t xml:space="preserve"> להשמעת עדות ו/או מסמכים קבילים. בנוסף, הנתבעת מודיעה כבר עתה כי היא מתנגדת להגשת כל </w:t>
      </w:r>
      <w:r w:rsidRPr="00E7101E">
        <w:rPr>
          <w:rFonts w:ascii="David" w:hAnsi="David" w:cs="David"/>
          <w:sz w:val="24"/>
          <w:szCs w:val="24"/>
          <w:rtl/>
        </w:rPr>
        <w:lastRenderedPageBreak/>
        <w:t>המסמכים שצורפו לכתב התביעה שלא ב</w:t>
      </w:r>
      <w:r w:rsidR="00D95442" w:rsidRPr="00E7101E">
        <w:rPr>
          <w:rFonts w:ascii="David" w:hAnsi="David" w:cs="David"/>
          <w:sz w:val="24"/>
          <w:szCs w:val="24"/>
          <w:rtl/>
        </w:rPr>
        <w:t>אמצעות עורכיהם, אם וככל שהתובע יבקש</w:t>
      </w:r>
      <w:r w:rsidRPr="00E7101E">
        <w:rPr>
          <w:rFonts w:ascii="David" w:hAnsi="David" w:cs="David"/>
          <w:sz w:val="24"/>
          <w:szCs w:val="24"/>
          <w:rtl/>
        </w:rPr>
        <w:t xml:space="preserve"> להסתמך עליהם, וכן שומרת על זכותה לחקור עורכי המסמך בחקירה נגדית.</w:t>
      </w:r>
      <w:commentRangeEnd w:id="5"/>
      <w:r w:rsidR="008F3E3B">
        <w:rPr>
          <w:rStyle w:val="a8"/>
          <w:rFonts w:cs="David"/>
          <w:rtl/>
        </w:rPr>
        <w:commentReference w:id="5"/>
      </w:r>
    </w:p>
    <w:p w:rsidR="002431BA" w:rsidRPr="00E7101E" w:rsidRDefault="002431BA" w:rsidP="002431BA">
      <w:pPr>
        <w:spacing w:before="120" w:line="360" w:lineRule="auto"/>
        <w:ind w:left="357"/>
        <w:rPr>
          <w:rFonts w:ascii="David" w:hAnsi="David" w:cs="David"/>
          <w:sz w:val="28"/>
          <w:szCs w:val="28"/>
        </w:rPr>
      </w:pPr>
      <w:r w:rsidRPr="00424BFC">
        <w:rPr>
          <w:rFonts w:ascii="David" w:hAnsi="David" w:cs="David"/>
          <w:b/>
          <w:bCs/>
          <w:sz w:val="28"/>
          <w:szCs w:val="28"/>
          <w:rtl/>
        </w:rPr>
        <w:t>ב.</w:t>
      </w:r>
      <w:r w:rsidRPr="00E7101E">
        <w:rPr>
          <w:rFonts w:ascii="David" w:hAnsi="David" w:cs="David"/>
          <w:sz w:val="28"/>
          <w:szCs w:val="28"/>
          <w:rtl/>
        </w:rPr>
        <w:t xml:space="preserve">  </w:t>
      </w:r>
      <w:r w:rsidRPr="00424BFC">
        <w:rPr>
          <w:rFonts w:ascii="David" w:hAnsi="David" w:cs="David"/>
          <w:b/>
          <w:bCs/>
          <w:sz w:val="28"/>
          <w:szCs w:val="28"/>
          <w:u w:val="double"/>
          <w:rtl/>
        </w:rPr>
        <w:t>תמצית השתלשלות ההליכים</w:t>
      </w:r>
    </w:p>
    <w:p w:rsidR="002431BA" w:rsidRPr="00E7101E" w:rsidRDefault="002431BA" w:rsidP="002049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sz w:val="24"/>
          <w:szCs w:val="24"/>
          <w:rtl/>
        </w:rPr>
        <w:t>בטרם תפרט המדינה את תמצית ההליכים שקדמו להגשת התביעה, מבקשת המדינה להדגיש, כי תמצית זו נערכה לנוחות ולמיקוד הסכסוך בלבד. אין בתמצית זו כדי לגרוע באופן כלשהו מהטענות המפורטות בכתב ההגנה ומהמסכת העובדתית שבכוונת הנתבעת להוכיח בהתאם למהלך האירועים וחומר החקירה הרלוונטי לתביעה, מסכת שמטבע הדברים, מוכ</w:t>
      </w:r>
      <w:r w:rsidR="00E36022" w:rsidRPr="00E7101E">
        <w:rPr>
          <w:rFonts w:ascii="David" w:hAnsi="David" w:cs="David" w:hint="cs"/>
          <w:sz w:val="24"/>
          <w:szCs w:val="24"/>
          <w:rtl/>
        </w:rPr>
        <w:t>ח</w:t>
      </w:r>
      <w:r w:rsidRPr="00E7101E">
        <w:rPr>
          <w:rFonts w:ascii="David" w:hAnsi="David" w:cs="David"/>
          <w:sz w:val="24"/>
          <w:szCs w:val="24"/>
          <w:rtl/>
        </w:rPr>
        <w:t>ת בעת ניהול ההוכחות והגשת התצהירים, ומשכך, ככל שטענה עובדתית או משפטית כלשהי לא נטענה בתמצית זו, אין בכך משום ויתור עליה.</w:t>
      </w:r>
    </w:p>
    <w:p w:rsidR="00F15C1D" w:rsidRPr="00E7101E" w:rsidRDefault="00B94308" w:rsidP="00F15C1D">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 xml:space="preserve">בתאריך 19.5.11 הוגש </w:t>
      </w:r>
      <w:r w:rsidR="0020494B" w:rsidRPr="00E7101E">
        <w:rPr>
          <w:rFonts w:ascii="David" w:hAnsi="David" w:cs="David" w:hint="cs"/>
          <w:sz w:val="24"/>
          <w:szCs w:val="24"/>
          <w:rtl/>
        </w:rPr>
        <w:t>נגד גור פינקלשטיין (להלן גם: "</w:t>
      </w:r>
      <w:r w:rsidR="0020494B" w:rsidRPr="00FA0D9B">
        <w:rPr>
          <w:rFonts w:ascii="David" w:hAnsi="David" w:cs="David" w:hint="cs"/>
          <w:b/>
          <w:bCs/>
          <w:sz w:val="24"/>
          <w:szCs w:val="24"/>
          <w:rtl/>
        </w:rPr>
        <w:t>התובע</w:t>
      </w:r>
      <w:r w:rsidR="0020494B" w:rsidRPr="00E7101E">
        <w:rPr>
          <w:rFonts w:ascii="David" w:hAnsi="David" w:cs="David" w:hint="cs"/>
          <w:sz w:val="24"/>
          <w:szCs w:val="24"/>
          <w:rtl/>
        </w:rPr>
        <w:t>"), ניזאר בכר (להלן גם: "</w:t>
      </w:r>
      <w:r w:rsidR="0020494B" w:rsidRPr="00FA0D9B">
        <w:rPr>
          <w:rFonts w:ascii="David" w:hAnsi="David" w:cs="David" w:hint="cs"/>
          <w:b/>
          <w:bCs/>
          <w:sz w:val="24"/>
          <w:szCs w:val="24"/>
          <w:rtl/>
        </w:rPr>
        <w:t>ניזאר</w:t>
      </w:r>
      <w:r w:rsidR="0020494B" w:rsidRPr="00E7101E">
        <w:rPr>
          <w:rFonts w:ascii="David" w:hAnsi="David" w:cs="David" w:hint="cs"/>
          <w:sz w:val="24"/>
          <w:szCs w:val="24"/>
          <w:rtl/>
        </w:rPr>
        <w:t>"</w:t>
      </w:r>
      <w:r w:rsidR="00FA0D9B">
        <w:rPr>
          <w:rFonts w:ascii="David" w:hAnsi="David" w:cs="David" w:hint="cs"/>
          <w:sz w:val="24"/>
          <w:szCs w:val="24"/>
          <w:rtl/>
        </w:rPr>
        <w:t>) ויוסף בכר (להלן גם:</w:t>
      </w:r>
      <w:r w:rsidR="0020494B" w:rsidRPr="00E7101E">
        <w:rPr>
          <w:rFonts w:ascii="David" w:hAnsi="David" w:cs="David" w:hint="cs"/>
          <w:sz w:val="24"/>
          <w:szCs w:val="24"/>
          <w:rtl/>
        </w:rPr>
        <w:t>"</w:t>
      </w:r>
      <w:r w:rsidR="0020494B" w:rsidRPr="00FA0D9B">
        <w:rPr>
          <w:rFonts w:ascii="David" w:hAnsi="David" w:cs="David" w:hint="cs"/>
          <w:b/>
          <w:bCs/>
          <w:sz w:val="24"/>
          <w:szCs w:val="24"/>
          <w:rtl/>
        </w:rPr>
        <w:t>יוסף</w:t>
      </w:r>
      <w:r w:rsidR="0020494B" w:rsidRPr="00E7101E">
        <w:rPr>
          <w:rFonts w:ascii="David" w:hAnsi="David" w:cs="David" w:hint="cs"/>
          <w:sz w:val="24"/>
          <w:szCs w:val="24"/>
          <w:rtl/>
        </w:rPr>
        <w:t>"), כתב אישום בתפ"ח 34337-05-11. בתאריך 12.9.11 אוחד כתב אישום זה עם כתב האישום בתפ"ח 49121-07-11 אשר הוגש נגד התובע ואביו יצחק פינקלשטיין (להלן גם: "</w:t>
      </w:r>
      <w:r w:rsidR="0020494B" w:rsidRPr="00FA0D9B">
        <w:rPr>
          <w:rFonts w:ascii="David" w:hAnsi="David" w:cs="David" w:hint="cs"/>
          <w:b/>
          <w:bCs/>
          <w:sz w:val="24"/>
          <w:szCs w:val="24"/>
          <w:rtl/>
        </w:rPr>
        <w:t>יצחק</w:t>
      </w:r>
      <w:r w:rsidR="0020494B" w:rsidRPr="00E7101E">
        <w:rPr>
          <w:rFonts w:ascii="David" w:hAnsi="David" w:cs="David" w:hint="cs"/>
          <w:sz w:val="24"/>
          <w:szCs w:val="24"/>
          <w:rtl/>
        </w:rPr>
        <w:t>") ביום 28.7.11.</w:t>
      </w:r>
    </w:p>
    <w:p w:rsidR="0020494B" w:rsidRPr="00E7101E" w:rsidRDefault="0020494B" w:rsidP="00F15C1D">
      <w:pPr>
        <w:keepLines/>
        <w:spacing w:before="120" w:line="360" w:lineRule="auto"/>
        <w:ind w:left="646"/>
        <w:jc w:val="both"/>
        <w:rPr>
          <w:rFonts w:ascii="David" w:hAnsi="David" w:cs="David"/>
          <w:sz w:val="24"/>
          <w:szCs w:val="24"/>
          <w:rtl/>
        </w:rPr>
      </w:pPr>
      <w:r w:rsidRPr="00E7101E">
        <w:rPr>
          <w:rFonts w:ascii="David" w:hAnsi="David" w:cs="David" w:hint="cs"/>
          <w:sz w:val="24"/>
          <w:szCs w:val="24"/>
          <w:rtl/>
        </w:rPr>
        <w:t>כתב האישום המאוחד כלל חמישה עשר אישומים, שמתוכם שלושה עשר יוחסו לתובע.</w:t>
      </w:r>
    </w:p>
    <w:p w:rsidR="006B2BA7" w:rsidRPr="00E7101E" w:rsidRDefault="006B2BA7" w:rsidP="002049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לשם נוחיות בית המשפט הנכבד יוצגו להלן בקצרה הנפשות הפועלות:</w:t>
      </w:r>
    </w:p>
    <w:p w:rsidR="0020494B" w:rsidRPr="00E7101E" w:rsidRDefault="006B2BA7" w:rsidP="0020494B">
      <w:pPr>
        <w:keepLines/>
        <w:spacing w:before="120" w:line="360" w:lineRule="auto"/>
        <w:ind w:left="652"/>
        <w:jc w:val="both"/>
        <w:rPr>
          <w:rFonts w:ascii="David" w:hAnsi="David" w:cs="David"/>
          <w:sz w:val="24"/>
          <w:szCs w:val="24"/>
          <w:rtl/>
        </w:rPr>
      </w:pPr>
      <w:r w:rsidRPr="00E7101E">
        <w:rPr>
          <w:rFonts w:ascii="David" w:hAnsi="David" w:cs="David" w:hint="cs"/>
          <w:sz w:val="24"/>
          <w:szCs w:val="24"/>
          <w:rtl/>
        </w:rPr>
        <w:t xml:space="preserve">התובע, שהיה עו"ד </w:t>
      </w:r>
      <w:r w:rsidR="00FA0D9B">
        <w:rPr>
          <w:rFonts w:ascii="David" w:hAnsi="David" w:cs="David" w:hint="cs"/>
          <w:sz w:val="24"/>
          <w:szCs w:val="24"/>
          <w:rtl/>
        </w:rPr>
        <w:t>והבעלים של משרד בתל-אביב (להלן:</w:t>
      </w:r>
      <w:r w:rsidRPr="00E7101E">
        <w:rPr>
          <w:rFonts w:ascii="David" w:hAnsi="David" w:cs="David" w:hint="cs"/>
          <w:sz w:val="24"/>
          <w:szCs w:val="24"/>
          <w:rtl/>
        </w:rPr>
        <w:t>"</w:t>
      </w:r>
      <w:r w:rsidRPr="00FA0D9B">
        <w:rPr>
          <w:rFonts w:ascii="David" w:hAnsi="David" w:cs="David" w:hint="cs"/>
          <w:b/>
          <w:bCs/>
          <w:sz w:val="24"/>
          <w:szCs w:val="24"/>
          <w:rtl/>
        </w:rPr>
        <w:t>המשרד</w:t>
      </w:r>
      <w:r w:rsidRPr="00E7101E">
        <w:rPr>
          <w:rFonts w:ascii="David" w:hAnsi="David" w:cs="David" w:hint="cs"/>
          <w:sz w:val="24"/>
          <w:szCs w:val="24"/>
          <w:rtl/>
        </w:rPr>
        <w:t>"), הועסק כיזם שיפוץ מבנה בשדרות ירושלים ביפו, המשמש כיום מרכז לימוד כת הסיינטולוגיה (להלן: "</w:t>
      </w:r>
      <w:r w:rsidRPr="00FA0D9B">
        <w:rPr>
          <w:rFonts w:ascii="David" w:hAnsi="David" w:cs="David" w:hint="cs"/>
          <w:b/>
          <w:bCs/>
          <w:sz w:val="24"/>
          <w:szCs w:val="24"/>
          <w:rtl/>
        </w:rPr>
        <w:t>מבנה הסיינטולוגיה</w:t>
      </w:r>
      <w:r w:rsidRPr="00E7101E">
        <w:rPr>
          <w:rFonts w:ascii="David" w:hAnsi="David" w:cs="David" w:hint="cs"/>
          <w:sz w:val="24"/>
          <w:szCs w:val="24"/>
          <w:rtl/>
        </w:rPr>
        <w:t>"). התובע קיבל עמלה על כל עסקה הקשורה בשיפוץ. בין התובע לרמזי בכר (להלן גם: "</w:t>
      </w:r>
      <w:r w:rsidRPr="00FA0D9B">
        <w:rPr>
          <w:rFonts w:ascii="David" w:hAnsi="David" w:cs="David" w:hint="cs"/>
          <w:b/>
          <w:bCs/>
          <w:sz w:val="24"/>
          <w:szCs w:val="24"/>
          <w:rtl/>
        </w:rPr>
        <w:t>רמזי</w:t>
      </w:r>
      <w:r w:rsidRPr="00E7101E">
        <w:rPr>
          <w:rFonts w:ascii="David" w:hAnsi="David" w:cs="David" w:hint="cs"/>
          <w:sz w:val="24"/>
          <w:szCs w:val="24"/>
          <w:rtl/>
        </w:rPr>
        <w:t xml:space="preserve">") והנאשמים 2 ו-3 (ניזאר ויוסף) התקיימו קשרים עסקיים, קשרי חברות ועבודה. </w:t>
      </w:r>
    </w:p>
    <w:p w:rsidR="0020494B" w:rsidRPr="00E7101E" w:rsidRDefault="006B2BA7" w:rsidP="0020494B">
      <w:pPr>
        <w:keepLines/>
        <w:spacing w:before="120" w:line="360" w:lineRule="auto"/>
        <w:ind w:left="652"/>
        <w:jc w:val="both"/>
        <w:rPr>
          <w:rFonts w:ascii="David" w:hAnsi="David" w:cs="David"/>
          <w:sz w:val="24"/>
          <w:szCs w:val="24"/>
          <w:rtl/>
        </w:rPr>
      </w:pPr>
      <w:r w:rsidRPr="00E7101E">
        <w:rPr>
          <w:rFonts w:ascii="David" w:hAnsi="David" w:cs="David" w:hint="cs"/>
          <w:sz w:val="24"/>
          <w:szCs w:val="24"/>
          <w:rtl/>
        </w:rPr>
        <w:t xml:space="preserve">בתקופה הרלבנטית לכתב האישום, העסיק התובע את רמזי ויוסף (נאשם 3) כעובדים במבנה הסיינטולוגיה. בשלב מסוים פוטר רמזי מעבודתו במבנה הסינטולוגייה והתובע המשיך להעסיקו כשומר במשרד. </w:t>
      </w:r>
    </w:p>
    <w:p w:rsidR="006B2BA7" w:rsidRPr="00E7101E" w:rsidRDefault="006B2BA7" w:rsidP="0020494B">
      <w:pPr>
        <w:keepLines/>
        <w:spacing w:before="120" w:line="360" w:lineRule="auto"/>
        <w:ind w:left="652"/>
        <w:jc w:val="both"/>
        <w:rPr>
          <w:rFonts w:ascii="David" w:hAnsi="David" w:cs="David"/>
          <w:sz w:val="24"/>
          <w:szCs w:val="24"/>
          <w:rtl/>
        </w:rPr>
      </w:pPr>
      <w:r w:rsidRPr="00E7101E">
        <w:rPr>
          <w:rFonts w:ascii="David" w:hAnsi="David" w:cs="David" w:hint="cs"/>
          <w:sz w:val="24"/>
          <w:szCs w:val="24"/>
          <w:rtl/>
        </w:rPr>
        <w:t>ניזאר (נאשם 2) הינו אביהם של יוסף ורמזי. עבדאללה בכר (להלן גם: "</w:t>
      </w:r>
      <w:r w:rsidRPr="00FA0D9B">
        <w:rPr>
          <w:rFonts w:ascii="David" w:hAnsi="David" w:cs="David" w:hint="cs"/>
          <w:b/>
          <w:bCs/>
          <w:sz w:val="24"/>
          <w:szCs w:val="24"/>
          <w:rtl/>
        </w:rPr>
        <w:t>עבדי</w:t>
      </w:r>
      <w:r w:rsidRPr="00E7101E">
        <w:rPr>
          <w:rFonts w:ascii="David" w:hAnsi="David" w:cs="David" w:hint="cs"/>
          <w:sz w:val="24"/>
          <w:szCs w:val="24"/>
          <w:rtl/>
        </w:rPr>
        <w:t>") ומוחמד יוסף בכר (להלן גם: "בינקי") הינם אחייניו של ניזאר. א.א. (להלן גם: "</w:t>
      </w:r>
      <w:r w:rsidRPr="00FA0D9B">
        <w:rPr>
          <w:rFonts w:ascii="David" w:hAnsi="David" w:cs="David" w:hint="cs"/>
          <w:b/>
          <w:bCs/>
          <w:sz w:val="24"/>
          <w:szCs w:val="24"/>
          <w:rtl/>
        </w:rPr>
        <w:t>א.א</w:t>
      </w:r>
      <w:r w:rsidRPr="00E7101E">
        <w:rPr>
          <w:rFonts w:ascii="David" w:hAnsi="David" w:cs="David" w:hint="cs"/>
          <w:sz w:val="24"/>
          <w:szCs w:val="24"/>
          <w:rtl/>
        </w:rPr>
        <w:t>." ו/או "</w:t>
      </w:r>
      <w:r w:rsidRPr="00FA0D9B">
        <w:rPr>
          <w:rFonts w:ascii="David" w:hAnsi="David" w:cs="David" w:hint="cs"/>
          <w:b/>
          <w:bCs/>
          <w:sz w:val="24"/>
          <w:szCs w:val="24"/>
          <w:rtl/>
        </w:rPr>
        <w:t>עד המדינה</w:t>
      </w:r>
      <w:r w:rsidRPr="00E7101E">
        <w:rPr>
          <w:rFonts w:ascii="David" w:hAnsi="David" w:cs="David" w:hint="cs"/>
          <w:sz w:val="24"/>
          <w:szCs w:val="24"/>
          <w:rtl/>
        </w:rPr>
        <w:t>") הינו מכר של עבדי ובינקי, שהכירו בינו לבין יוסף ורמזי. רמזי, עבדי, בינקי ו-א.א. יקראו להלן: "</w:t>
      </w:r>
      <w:r w:rsidRPr="00FA0D9B">
        <w:rPr>
          <w:rFonts w:ascii="David" w:hAnsi="David" w:cs="David" w:hint="cs"/>
          <w:b/>
          <w:bCs/>
          <w:sz w:val="24"/>
          <w:szCs w:val="24"/>
          <w:rtl/>
        </w:rPr>
        <w:t>הקושרים".</w:t>
      </w:r>
    </w:p>
    <w:p w:rsidR="00F15C1D" w:rsidRPr="00E7101E" w:rsidRDefault="00F15C1D" w:rsidP="002049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באותו יום, 19.5.11, הוגשו שני כתבי אישום נוספים בפרשה; האחד נגד עד המדינה, המכונה א.א. (תפ"ח 34341-05-11). השני, בתפ"ח 34398-05-11 נגד עבדאללה (עבדי) בכר, רמזי (רן) בכר ו-מוחמד יוסף (בינקי) בכר.</w:t>
      </w:r>
    </w:p>
    <w:p w:rsidR="00163302" w:rsidRPr="00E7101E" w:rsidRDefault="00163302" w:rsidP="00163302">
      <w:pPr>
        <w:keepLines/>
        <w:spacing w:before="120" w:line="360" w:lineRule="auto"/>
        <w:ind w:left="646"/>
        <w:jc w:val="both"/>
        <w:rPr>
          <w:rFonts w:ascii="David" w:hAnsi="David" w:cs="David"/>
          <w:sz w:val="24"/>
          <w:szCs w:val="24"/>
          <w:rtl/>
        </w:rPr>
      </w:pPr>
      <w:r w:rsidRPr="00E7101E">
        <w:rPr>
          <w:rFonts w:ascii="David" w:hAnsi="David" w:cs="David" w:hint="cs"/>
          <w:sz w:val="24"/>
          <w:szCs w:val="24"/>
          <w:rtl/>
        </w:rPr>
        <w:t>בהמשך, הוגשו 3 כתבי אישום נוספים נגד 5 מעורבים אחרים בפרשה.</w:t>
      </w:r>
    </w:p>
    <w:p w:rsidR="00163302" w:rsidRPr="00E7101E" w:rsidRDefault="00163302" w:rsidP="00163302">
      <w:pPr>
        <w:keepLines/>
        <w:spacing w:before="120" w:line="360" w:lineRule="auto"/>
        <w:ind w:left="646"/>
        <w:jc w:val="both"/>
        <w:rPr>
          <w:rFonts w:ascii="David" w:hAnsi="David" w:cs="David"/>
          <w:sz w:val="24"/>
          <w:szCs w:val="24"/>
          <w:rtl/>
        </w:rPr>
      </w:pPr>
      <w:r w:rsidRPr="00E7101E">
        <w:rPr>
          <w:rFonts w:ascii="David" w:hAnsi="David" w:cs="David" w:hint="cs"/>
          <w:sz w:val="24"/>
          <w:szCs w:val="24"/>
          <w:rtl/>
        </w:rPr>
        <w:t>סך הכל הוגשו בפרשה 7 כתבי אישום (שניים מהם אוחדו) נגד 13 נאשמים. מרבית התיקים הסתיימו בהסדרי טיעון.</w:t>
      </w:r>
    </w:p>
    <w:p w:rsidR="00163302" w:rsidRDefault="00163302" w:rsidP="00163302">
      <w:pPr>
        <w:keepLines/>
        <w:spacing w:before="120" w:line="360" w:lineRule="auto"/>
        <w:ind w:left="646"/>
        <w:jc w:val="both"/>
        <w:rPr>
          <w:rFonts w:ascii="David" w:hAnsi="David" w:cs="David"/>
          <w:sz w:val="24"/>
          <w:szCs w:val="24"/>
          <w:rtl/>
        </w:rPr>
      </w:pPr>
      <w:r w:rsidRPr="00E7101E">
        <w:rPr>
          <w:rFonts w:ascii="David" w:hAnsi="David" w:cs="David" w:hint="cs"/>
          <w:sz w:val="24"/>
          <w:szCs w:val="24"/>
          <w:rtl/>
        </w:rPr>
        <w:t xml:space="preserve">כתבי האישום כללו אישומים רבים בעבירות חמורות </w:t>
      </w:r>
      <w:r w:rsidRPr="00E7101E">
        <w:rPr>
          <w:rFonts w:ascii="David" w:hAnsi="David" w:cs="David"/>
          <w:sz w:val="24"/>
          <w:szCs w:val="24"/>
          <w:rtl/>
        </w:rPr>
        <w:t>–</w:t>
      </w:r>
      <w:r w:rsidRPr="00E7101E">
        <w:rPr>
          <w:rFonts w:ascii="David" w:hAnsi="David" w:cs="David" w:hint="cs"/>
          <w:sz w:val="24"/>
          <w:szCs w:val="24"/>
          <w:rtl/>
        </w:rPr>
        <w:t xml:space="preserve"> ניסיונות רצח, הצתות, היזק בחומר נפיץ, סחר בנשק ועוד, איש איש על פי חלקו. לימים תוקנות חלק מכתבי האישום.</w:t>
      </w:r>
    </w:p>
    <w:p w:rsidR="000F674F" w:rsidRDefault="000F674F" w:rsidP="00163302">
      <w:pPr>
        <w:keepLines/>
        <w:spacing w:before="120" w:line="360" w:lineRule="auto"/>
        <w:ind w:left="646"/>
        <w:jc w:val="both"/>
        <w:rPr>
          <w:rFonts w:ascii="David" w:hAnsi="David" w:cs="David"/>
          <w:sz w:val="24"/>
          <w:szCs w:val="24"/>
          <w:rtl/>
        </w:rPr>
      </w:pPr>
    </w:p>
    <w:p w:rsidR="000F674F" w:rsidRPr="00E7101E" w:rsidRDefault="000F674F" w:rsidP="00163302">
      <w:pPr>
        <w:keepLines/>
        <w:spacing w:before="120" w:line="360" w:lineRule="auto"/>
        <w:ind w:left="646"/>
        <w:jc w:val="both"/>
        <w:rPr>
          <w:rFonts w:ascii="David" w:hAnsi="David" w:cs="David"/>
          <w:sz w:val="24"/>
          <w:szCs w:val="24"/>
        </w:rPr>
      </w:pPr>
    </w:p>
    <w:p w:rsidR="0026731F" w:rsidRPr="00E7101E" w:rsidRDefault="0026731F" w:rsidP="006E17F2">
      <w:pPr>
        <w:keepLines/>
        <w:numPr>
          <w:ilvl w:val="0"/>
          <w:numId w:val="21"/>
        </w:numPr>
        <w:spacing w:before="120" w:line="360" w:lineRule="auto"/>
        <w:ind w:left="646" w:hanging="289"/>
        <w:jc w:val="both"/>
        <w:rPr>
          <w:rFonts w:ascii="David" w:hAnsi="David" w:cs="David"/>
          <w:sz w:val="24"/>
          <w:szCs w:val="24"/>
        </w:rPr>
      </w:pPr>
      <w:r w:rsidRPr="00FA0D9B">
        <w:rPr>
          <w:rFonts w:ascii="David" w:hAnsi="David" w:cs="David" w:hint="cs"/>
          <w:b/>
          <w:bCs/>
          <w:sz w:val="24"/>
          <w:szCs w:val="24"/>
          <w:rtl/>
        </w:rPr>
        <w:lastRenderedPageBreak/>
        <w:t xml:space="preserve">כתב האישום </w:t>
      </w:r>
      <w:r w:rsidR="002648C3" w:rsidRPr="00FA0D9B">
        <w:rPr>
          <w:rFonts w:ascii="David" w:hAnsi="David" w:cs="David" w:hint="cs"/>
          <w:b/>
          <w:bCs/>
          <w:sz w:val="24"/>
          <w:szCs w:val="24"/>
          <w:rtl/>
        </w:rPr>
        <w:t xml:space="preserve">המתוקן והמאוחד </w:t>
      </w:r>
      <w:r w:rsidRPr="00FA0D9B">
        <w:rPr>
          <w:rFonts w:ascii="David" w:hAnsi="David" w:cs="David" w:hint="cs"/>
          <w:b/>
          <w:bCs/>
          <w:sz w:val="24"/>
          <w:szCs w:val="24"/>
          <w:rtl/>
        </w:rPr>
        <w:t>ייחס לתובע מעורבות בחמש פרשיות שונות, כדלהלן</w:t>
      </w:r>
      <w:r w:rsidRPr="00E7101E">
        <w:rPr>
          <w:rFonts w:ascii="David" w:hAnsi="David" w:cs="David" w:hint="cs"/>
          <w:sz w:val="24"/>
          <w:szCs w:val="24"/>
          <w:rtl/>
        </w:rPr>
        <w:t>:</w:t>
      </w:r>
    </w:p>
    <w:p w:rsidR="00B94B43" w:rsidRPr="00E7101E" w:rsidRDefault="0026731F" w:rsidP="0020494B">
      <w:pPr>
        <w:pStyle w:val="af4"/>
        <w:keepLines/>
        <w:numPr>
          <w:ilvl w:val="1"/>
          <w:numId w:val="24"/>
        </w:numPr>
        <w:spacing w:before="120" w:line="360" w:lineRule="auto"/>
        <w:ind w:left="936" w:hanging="284"/>
        <w:jc w:val="both"/>
        <w:rPr>
          <w:rFonts w:ascii="David" w:hAnsi="David" w:cs="David"/>
          <w:sz w:val="24"/>
          <w:szCs w:val="24"/>
        </w:rPr>
      </w:pPr>
      <w:r w:rsidRPr="00FA0D9B">
        <w:rPr>
          <w:rFonts w:ascii="David" w:hAnsi="David" w:cs="David" w:hint="cs"/>
          <w:b/>
          <w:bCs/>
          <w:sz w:val="24"/>
          <w:szCs w:val="24"/>
          <w:rtl/>
        </w:rPr>
        <w:t>פרשת הפגיעה בשוטה חובל</w:t>
      </w:r>
      <w:r w:rsidRPr="00E7101E">
        <w:rPr>
          <w:rFonts w:ascii="David" w:hAnsi="David" w:cs="David" w:hint="cs"/>
          <w:sz w:val="24"/>
          <w:szCs w:val="24"/>
          <w:rtl/>
        </w:rPr>
        <w:t xml:space="preserve"> (להלן גם: "</w:t>
      </w:r>
      <w:r w:rsidRPr="00FA0D9B">
        <w:rPr>
          <w:rFonts w:ascii="David" w:hAnsi="David" w:cs="David" w:hint="cs"/>
          <w:b/>
          <w:bCs/>
          <w:sz w:val="24"/>
          <w:szCs w:val="24"/>
          <w:rtl/>
        </w:rPr>
        <w:t>חובל</w:t>
      </w:r>
      <w:r w:rsidRPr="00E7101E">
        <w:rPr>
          <w:rFonts w:ascii="David" w:hAnsi="David" w:cs="David" w:hint="cs"/>
          <w:sz w:val="24"/>
          <w:szCs w:val="24"/>
          <w:rtl/>
        </w:rPr>
        <w:t>") המפורטת באישומים 1-2.</w:t>
      </w:r>
      <w:r w:rsidR="00DC4D7C" w:rsidRPr="00E7101E">
        <w:rPr>
          <w:rFonts w:ascii="David" w:hAnsi="David" w:cs="David" w:hint="cs"/>
          <w:sz w:val="24"/>
          <w:szCs w:val="24"/>
          <w:rtl/>
        </w:rPr>
        <w:t xml:space="preserve"> במסגרת פרשה זו יוחסה לתובע מעורבות בשני אירועים שכללו פגיעה בשוטה חובל, מנהל אגף רישוי ופיקוח על הבניה בעיריית תל-אביב יפו. </w:t>
      </w:r>
    </w:p>
    <w:p w:rsidR="00FA0D9B" w:rsidRDefault="00FA0D9B" w:rsidP="00FA0D9B">
      <w:pPr>
        <w:pStyle w:val="af4"/>
        <w:keepLines/>
        <w:spacing w:before="120"/>
        <w:ind w:left="936"/>
        <w:jc w:val="both"/>
        <w:rPr>
          <w:rFonts w:ascii="David" w:hAnsi="David" w:cs="David"/>
          <w:sz w:val="24"/>
          <w:szCs w:val="24"/>
          <w:rtl/>
        </w:rPr>
      </w:pPr>
    </w:p>
    <w:p w:rsidR="0026731F" w:rsidRPr="00E7101E" w:rsidRDefault="00DC4D7C" w:rsidP="00B94B43">
      <w:pPr>
        <w:pStyle w:val="af4"/>
        <w:keepLines/>
        <w:spacing w:before="120" w:line="360" w:lineRule="auto"/>
        <w:ind w:left="936"/>
        <w:jc w:val="both"/>
        <w:rPr>
          <w:rFonts w:ascii="David" w:hAnsi="David" w:cs="David"/>
          <w:sz w:val="24"/>
          <w:szCs w:val="24"/>
          <w:rtl/>
        </w:rPr>
      </w:pPr>
      <w:r w:rsidRPr="00E7101E">
        <w:rPr>
          <w:rFonts w:ascii="David" w:hAnsi="David" w:cs="David" w:hint="cs"/>
          <w:sz w:val="24"/>
          <w:szCs w:val="24"/>
          <w:rtl/>
        </w:rPr>
        <w:t>אירוע אחד עסק בתקיפה של חובל באמצעות מכות וחפץ כהה, תוך שהפוגעים מתחזים לשוטרים. אירוע שני, כלל הטמנת מטען נפץ ברכבו של שוטה חובל</w:t>
      </w:r>
      <w:r w:rsidR="00AA3D7B" w:rsidRPr="00E7101E">
        <w:rPr>
          <w:rFonts w:ascii="David" w:hAnsi="David" w:cs="David" w:hint="cs"/>
          <w:sz w:val="24"/>
          <w:szCs w:val="24"/>
          <w:rtl/>
        </w:rPr>
        <w:t>, שהתפוצץ כאשר חובל ישב בתוך רכבו. על פי עובדות כתב האישום, הרקע לפגיעות בחובל היה צו הפסקת עבודה שהוציא שוטה חובל למבנה הסיינטולוגיה, שעל שיפוצו היה אמון התובע.</w:t>
      </w:r>
    </w:p>
    <w:p w:rsidR="00A17F04" w:rsidRPr="00E7101E" w:rsidRDefault="00A17F04" w:rsidP="00E4116E">
      <w:pPr>
        <w:pStyle w:val="af4"/>
        <w:keepLines/>
        <w:spacing w:before="120"/>
        <w:ind w:left="936"/>
        <w:jc w:val="both"/>
        <w:rPr>
          <w:rFonts w:ascii="David" w:hAnsi="David" w:cs="David"/>
          <w:sz w:val="24"/>
          <w:szCs w:val="24"/>
          <w:rtl/>
        </w:rPr>
      </w:pPr>
    </w:p>
    <w:p w:rsidR="00A17F04" w:rsidRPr="00E7101E" w:rsidRDefault="00A17F04" w:rsidP="00B94B43">
      <w:pPr>
        <w:pStyle w:val="af4"/>
        <w:keepLines/>
        <w:spacing w:before="120" w:line="360" w:lineRule="auto"/>
        <w:ind w:left="936"/>
        <w:jc w:val="both"/>
        <w:rPr>
          <w:rFonts w:ascii="David" w:hAnsi="David" w:cs="David"/>
          <w:sz w:val="24"/>
          <w:szCs w:val="24"/>
        </w:rPr>
      </w:pPr>
      <w:r w:rsidRPr="00E7101E">
        <w:rPr>
          <w:rFonts w:ascii="David" w:hAnsi="David" w:cs="David" w:hint="cs"/>
          <w:sz w:val="24"/>
          <w:szCs w:val="24"/>
          <w:rtl/>
        </w:rPr>
        <w:t xml:space="preserve">הראיות אשר היו בידי הנתבעת לימדו כי התובע הוא זה שהזמין את הפגיעות בשוטה חובל, בתגובה להוצאת צו הפסקת עבודה למבנה הסיינטולוגיה. </w:t>
      </w:r>
    </w:p>
    <w:p w:rsidR="00AB3217" w:rsidRPr="00E7101E" w:rsidRDefault="00AB3217" w:rsidP="00E4116E">
      <w:pPr>
        <w:pStyle w:val="af4"/>
        <w:keepLines/>
        <w:spacing w:before="240"/>
        <w:ind w:left="936"/>
        <w:jc w:val="both"/>
        <w:rPr>
          <w:rFonts w:ascii="David" w:hAnsi="David" w:cs="David"/>
          <w:sz w:val="24"/>
          <w:szCs w:val="24"/>
        </w:rPr>
      </w:pPr>
    </w:p>
    <w:p w:rsidR="00AB3217" w:rsidRPr="00E7101E" w:rsidRDefault="00AA3D7B" w:rsidP="0020494B">
      <w:pPr>
        <w:pStyle w:val="af4"/>
        <w:keepLines/>
        <w:numPr>
          <w:ilvl w:val="1"/>
          <w:numId w:val="24"/>
        </w:numPr>
        <w:spacing w:before="240" w:line="360" w:lineRule="auto"/>
        <w:ind w:left="936" w:hanging="284"/>
        <w:jc w:val="both"/>
        <w:rPr>
          <w:rFonts w:ascii="David" w:hAnsi="David" w:cs="David"/>
          <w:sz w:val="24"/>
          <w:szCs w:val="24"/>
          <w:rtl/>
        </w:rPr>
      </w:pPr>
      <w:r w:rsidRPr="00FA0D9B">
        <w:rPr>
          <w:rFonts w:ascii="David" w:hAnsi="David" w:cs="David" w:hint="cs"/>
          <w:b/>
          <w:bCs/>
          <w:sz w:val="24"/>
          <w:szCs w:val="24"/>
          <w:rtl/>
        </w:rPr>
        <w:t>פרשת הפגיעה בדניאל כהן</w:t>
      </w:r>
      <w:r w:rsidRPr="00E7101E">
        <w:rPr>
          <w:rFonts w:ascii="David" w:hAnsi="David" w:cs="David" w:hint="cs"/>
          <w:sz w:val="24"/>
          <w:szCs w:val="24"/>
          <w:rtl/>
        </w:rPr>
        <w:t xml:space="preserve"> (להלן גם:"</w:t>
      </w:r>
      <w:r w:rsidRPr="00FA0D9B">
        <w:rPr>
          <w:rFonts w:ascii="David" w:hAnsi="David" w:cs="David" w:hint="cs"/>
          <w:b/>
          <w:bCs/>
          <w:sz w:val="24"/>
          <w:szCs w:val="24"/>
          <w:rtl/>
        </w:rPr>
        <w:t>דניאל</w:t>
      </w:r>
      <w:r w:rsidRPr="00E7101E">
        <w:rPr>
          <w:rFonts w:ascii="David" w:hAnsi="David" w:cs="David" w:hint="cs"/>
          <w:sz w:val="24"/>
          <w:szCs w:val="24"/>
          <w:rtl/>
        </w:rPr>
        <w:t>") הכוללת את אישומים 3-6 לכתב האישום. במסגרת פרשה זו, יוחסו לתובע ארבעה אישומים המפרטים פגיעות וניסיונות פגי</w:t>
      </w:r>
      <w:r w:rsidR="00B94B43" w:rsidRPr="00E7101E">
        <w:rPr>
          <w:rFonts w:ascii="David" w:hAnsi="David" w:cs="David" w:hint="cs"/>
          <w:sz w:val="24"/>
          <w:szCs w:val="24"/>
          <w:rtl/>
        </w:rPr>
        <w:t>עה בדניאל כהן, בן זוגה של גרושת</w:t>
      </w:r>
      <w:r w:rsidR="00D84F91" w:rsidRPr="00E7101E">
        <w:rPr>
          <w:rFonts w:ascii="David" w:hAnsi="David" w:cs="David" w:hint="cs"/>
          <w:sz w:val="24"/>
          <w:szCs w:val="24"/>
          <w:rtl/>
        </w:rPr>
        <w:t xml:space="preserve"> התובע. האירועים המתוארים באי</w:t>
      </w:r>
      <w:r w:rsidRPr="00E7101E">
        <w:rPr>
          <w:rFonts w:ascii="David" w:hAnsi="David" w:cs="David" w:hint="cs"/>
          <w:sz w:val="24"/>
          <w:szCs w:val="24"/>
          <w:rtl/>
        </w:rPr>
        <w:t>שומים אלה, כוללים ניסיונות לפגוע בדניאל כהן באמצעות סכין וחומצה, מעקבים רבים אחריו והטמנת מטען חבלה מתחת לרכבו, שהופעל כ</w:t>
      </w:r>
      <w:r w:rsidR="00B94B43" w:rsidRPr="00E7101E">
        <w:rPr>
          <w:rFonts w:ascii="David" w:hAnsi="David" w:cs="David" w:hint="cs"/>
          <w:sz w:val="24"/>
          <w:szCs w:val="24"/>
          <w:rtl/>
        </w:rPr>
        <w:t>אש</w:t>
      </w:r>
      <w:r w:rsidRPr="00E7101E">
        <w:rPr>
          <w:rFonts w:ascii="David" w:hAnsi="David" w:cs="David" w:hint="cs"/>
          <w:sz w:val="24"/>
          <w:szCs w:val="24"/>
          <w:rtl/>
        </w:rPr>
        <w:t>ר דניאל כהן עמד בסמוך לרכב וביתו הפעוטה בת השלוש ישבה בתוך הרכב.</w:t>
      </w:r>
    </w:p>
    <w:p w:rsidR="00AB3217" w:rsidRPr="00FA0D9B" w:rsidRDefault="00AB3217" w:rsidP="00E4116E">
      <w:pPr>
        <w:pStyle w:val="af4"/>
        <w:keepLines/>
        <w:spacing w:before="240"/>
        <w:ind w:left="936"/>
        <w:jc w:val="both"/>
        <w:rPr>
          <w:rFonts w:ascii="David" w:hAnsi="David" w:cs="David"/>
          <w:b/>
          <w:bCs/>
          <w:sz w:val="24"/>
          <w:szCs w:val="24"/>
          <w:rtl/>
        </w:rPr>
      </w:pPr>
    </w:p>
    <w:p w:rsidR="00A17F04" w:rsidRPr="00E7101E" w:rsidRDefault="00A17F04" w:rsidP="00A17F04">
      <w:pPr>
        <w:pStyle w:val="af4"/>
        <w:keepLines/>
        <w:spacing w:before="240" w:line="360" w:lineRule="auto"/>
        <w:ind w:left="936"/>
        <w:jc w:val="both"/>
        <w:rPr>
          <w:rFonts w:ascii="David" w:hAnsi="David" w:cs="David"/>
          <w:sz w:val="24"/>
          <w:szCs w:val="24"/>
          <w:rtl/>
        </w:rPr>
      </w:pPr>
      <w:r w:rsidRPr="00FA0D9B">
        <w:rPr>
          <w:rFonts w:ascii="David" w:hAnsi="David" w:cs="David" w:hint="cs"/>
          <w:b/>
          <w:bCs/>
          <w:sz w:val="24"/>
          <w:szCs w:val="24"/>
          <w:rtl/>
        </w:rPr>
        <w:t>עניינו של האישום השלישי,</w:t>
      </w:r>
      <w:r w:rsidRPr="00E7101E">
        <w:rPr>
          <w:rFonts w:ascii="David" w:hAnsi="David" w:cs="David" w:hint="cs"/>
          <w:sz w:val="24"/>
          <w:szCs w:val="24"/>
          <w:rtl/>
        </w:rPr>
        <w:t xml:space="preserve"> בתקיפת דניאל כהן, בן הזוג של גרושתו של התובע בערב ראש השנה, ספטמבר 2010. עובדות אישום זה היו רלבנטיות גם לאישומים 4-6, שכן בעקבות תקיפה זו חש דניאל כהן מאוים ואף התקין מצלמות אבטחה, אשר סייעו בפענוח זהות המבצעים באישומים 4-6. </w:t>
      </w:r>
    </w:p>
    <w:p w:rsidR="00A17F04" w:rsidRPr="00E7101E" w:rsidRDefault="00A17F04" w:rsidP="00E4116E">
      <w:pPr>
        <w:pStyle w:val="af4"/>
        <w:keepLines/>
        <w:spacing w:before="240"/>
        <w:ind w:left="936"/>
        <w:jc w:val="both"/>
        <w:rPr>
          <w:rFonts w:ascii="David" w:hAnsi="David" w:cs="David"/>
          <w:sz w:val="24"/>
          <w:szCs w:val="24"/>
          <w:rtl/>
        </w:rPr>
      </w:pPr>
    </w:p>
    <w:p w:rsidR="00A17F04" w:rsidRPr="00E7101E" w:rsidRDefault="00A17F04" w:rsidP="00A17F04">
      <w:pPr>
        <w:pStyle w:val="af4"/>
        <w:keepLines/>
        <w:spacing w:before="240" w:line="360" w:lineRule="auto"/>
        <w:ind w:left="936"/>
        <w:jc w:val="both"/>
        <w:rPr>
          <w:rFonts w:ascii="David" w:hAnsi="David" w:cs="David"/>
          <w:sz w:val="24"/>
          <w:szCs w:val="24"/>
          <w:rtl/>
        </w:rPr>
      </w:pPr>
      <w:r w:rsidRPr="00FA0D9B">
        <w:rPr>
          <w:rFonts w:ascii="David" w:hAnsi="David" w:cs="David" w:hint="cs"/>
          <w:b/>
          <w:bCs/>
          <w:sz w:val="24"/>
          <w:szCs w:val="24"/>
          <w:rtl/>
        </w:rPr>
        <w:t>אישומים 4-6</w:t>
      </w:r>
      <w:r w:rsidRPr="00E7101E">
        <w:rPr>
          <w:rFonts w:ascii="David" w:hAnsi="David" w:cs="David" w:hint="cs"/>
          <w:sz w:val="24"/>
          <w:szCs w:val="24"/>
          <w:rtl/>
        </w:rPr>
        <w:t xml:space="preserve"> נסבו על אירועים שהתרחשו בחודשים אוקטובר </w:t>
      </w:r>
      <w:r w:rsidRPr="00E7101E">
        <w:rPr>
          <w:rFonts w:ascii="David" w:hAnsi="David" w:cs="David"/>
          <w:sz w:val="24"/>
          <w:szCs w:val="24"/>
          <w:rtl/>
        </w:rPr>
        <w:t>–</w:t>
      </w:r>
      <w:r w:rsidRPr="00E7101E">
        <w:rPr>
          <w:rFonts w:ascii="David" w:hAnsi="David" w:cs="David" w:hint="cs"/>
          <w:sz w:val="24"/>
          <w:szCs w:val="24"/>
          <w:rtl/>
        </w:rPr>
        <w:t xml:space="preserve"> נובמבר 2010. על פי הראיות אשר עמדו ביסוד כתב האישום הזמין התובע מהקושרים פגיעה בדניאל כהן, בעקבות סכסוך משמורת בנו. הקושרים הגיעו פעמים רבות </w:t>
      </w:r>
      <w:commentRangeStart w:id="6"/>
      <w:r w:rsidRPr="00E7101E">
        <w:rPr>
          <w:rFonts w:ascii="David" w:hAnsi="David" w:cs="David" w:hint="cs"/>
          <w:sz w:val="24"/>
          <w:szCs w:val="24"/>
          <w:rtl/>
        </w:rPr>
        <w:t>לחיפה</w:t>
      </w:r>
      <w:commentRangeEnd w:id="6"/>
      <w:r w:rsidR="00231198">
        <w:rPr>
          <w:rStyle w:val="a8"/>
          <w:rFonts w:cs="David"/>
          <w:rtl/>
        </w:rPr>
        <w:commentReference w:id="6"/>
      </w:r>
      <w:r w:rsidRPr="00E7101E">
        <w:rPr>
          <w:rFonts w:ascii="David" w:hAnsi="David" w:cs="David" w:hint="cs"/>
          <w:sz w:val="24"/>
          <w:szCs w:val="24"/>
          <w:rtl/>
        </w:rPr>
        <w:t xml:space="preserve">, סמוך לביתו של דניאל כהן, במטרה לפגוע בו בדרכים שונות, בין היתר באמצעות התזת חומצה ודקירה בסכין </w:t>
      </w:r>
      <w:r w:rsidRPr="00E7101E">
        <w:rPr>
          <w:rFonts w:ascii="David" w:hAnsi="David" w:cs="David"/>
          <w:sz w:val="24"/>
          <w:szCs w:val="24"/>
          <w:rtl/>
        </w:rPr>
        <w:t>–</w:t>
      </w:r>
      <w:r w:rsidRPr="00E7101E">
        <w:rPr>
          <w:rFonts w:ascii="David" w:hAnsi="David" w:cs="David" w:hint="cs"/>
          <w:sz w:val="24"/>
          <w:szCs w:val="24"/>
          <w:rtl/>
        </w:rPr>
        <w:t xml:space="preserve"> אולם כל מאמציהם עלו בתוהו. לבסוף הטמינו ב- 21.11.10 מטען חבלה רב עוצמה מתחת לרכבו של דניאל כהן. המטען הופעל בעת שביתו בת ה- שלוש ישבה ברכב מאחור ודניאל כהן עמד לידו. דניאל כהן נפצע קשה ובתו נפצעה קל.   </w:t>
      </w:r>
    </w:p>
    <w:p w:rsidR="00A17F04" w:rsidRPr="00E7101E" w:rsidRDefault="00A17F04" w:rsidP="00AB3217">
      <w:pPr>
        <w:pStyle w:val="af4"/>
        <w:keepLines/>
        <w:spacing w:before="240"/>
        <w:ind w:left="936"/>
        <w:jc w:val="both"/>
        <w:rPr>
          <w:rFonts w:ascii="David" w:hAnsi="David" w:cs="David"/>
          <w:sz w:val="24"/>
          <w:szCs w:val="24"/>
        </w:rPr>
      </w:pPr>
    </w:p>
    <w:p w:rsidR="00AB3217" w:rsidRPr="00E7101E" w:rsidRDefault="00AA3D7B" w:rsidP="0020494B">
      <w:pPr>
        <w:pStyle w:val="af4"/>
        <w:keepLines/>
        <w:numPr>
          <w:ilvl w:val="1"/>
          <w:numId w:val="24"/>
        </w:numPr>
        <w:spacing w:before="240" w:line="360" w:lineRule="auto"/>
        <w:ind w:left="936" w:hanging="284"/>
        <w:jc w:val="both"/>
        <w:rPr>
          <w:rFonts w:ascii="David" w:hAnsi="David" w:cs="David"/>
          <w:sz w:val="24"/>
          <w:szCs w:val="24"/>
          <w:rtl/>
        </w:rPr>
      </w:pPr>
      <w:r w:rsidRPr="00FA0D9B">
        <w:rPr>
          <w:rFonts w:ascii="David" w:hAnsi="David" w:cs="David" w:hint="cs"/>
          <w:b/>
          <w:bCs/>
          <w:sz w:val="24"/>
          <w:szCs w:val="24"/>
          <w:rtl/>
        </w:rPr>
        <w:t>קשירת קשר לרצוח את ע.ש</w:t>
      </w:r>
      <w:r w:rsidRPr="00E7101E">
        <w:rPr>
          <w:rFonts w:ascii="David" w:hAnsi="David" w:cs="David" w:hint="cs"/>
          <w:sz w:val="24"/>
          <w:szCs w:val="24"/>
          <w:rtl/>
        </w:rPr>
        <w:t xml:space="preserve">. המפורט באישום 7. התובע הואשם שקשר קשר עם אחר לרצוח את ע.ש. </w:t>
      </w:r>
      <w:r w:rsidRPr="00E7101E">
        <w:rPr>
          <w:rFonts w:ascii="David" w:hAnsi="David" w:cs="David"/>
          <w:sz w:val="24"/>
          <w:szCs w:val="24"/>
          <w:rtl/>
        </w:rPr>
        <w:t>–</w:t>
      </w:r>
      <w:r w:rsidR="00B94B43" w:rsidRPr="00E7101E">
        <w:rPr>
          <w:rFonts w:ascii="David" w:hAnsi="David" w:cs="David" w:hint="cs"/>
          <w:sz w:val="24"/>
          <w:szCs w:val="24"/>
          <w:rtl/>
        </w:rPr>
        <w:t xml:space="preserve"> גרושת</w:t>
      </w:r>
      <w:r w:rsidRPr="00E7101E">
        <w:rPr>
          <w:rFonts w:ascii="David" w:hAnsi="David" w:cs="David" w:hint="cs"/>
          <w:sz w:val="24"/>
          <w:szCs w:val="24"/>
          <w:rtl/>
        </w:rPr>
        <w:t xml:space="preserve"> התובע ובת זוגו של דניאל כהן.</w:t>
      </w:r>
    </w:p>
    <w:p w:rsidR="00AB3217" w:rsidRPr="00E7101E" w:rsidRDefault="00AB3217" w:rsidP="00E4116E">
      <w:pPr>
        <w:pStyle w:val="af4"/>
        <w:keepLines/>
        <w:spacing w:before="240"/>
        <w:ind w:left="936"/>
        <w:jc w:val="both"/>
        <w:rPr>
          <w:rFonts w:ascii="David" w:hAnsi="David" w:cs="David"/>
          <w:sz w:val="24"/>
          <w:szCs w:val="24"/>
        </w:rPr>
      </w:pPr>
    </w:p>
    <w:p w:rsidR="00AA3D7B" w:rsidRPr="00E7101E" w:rsidRDefault="00AA3D7B" w:rsidP="00291172">
      <w:pPr>
        <w:pStyle w:val="af4"/>
        <w:keepLines/>
        <w:numPr>
          <w:ilvl w:val="1"/>
          <w:numId w:val="24"/>
        </w:numPr>
        <w:spacing w:before="240" w:line="360" w:lineRule="auto"/>
        <w:ind w:left="936" w:hanging="284"/>
        <w:jc w:val="both"/>
        <w:rPr>
          <w:rFonts w:ascii="David" w:hAnsi="David" w:cs="David"/>
          <w:sz w:val="24"/>
          <w:szCs w:val="24"/>
        </w:rPr>
      </w:pPr>
      <w:r w:rsidRPr="00FA0D9B">
        <w:rPr>
          <w:rFonts w:ascii="David" w:hAnsi="David" w:cs="David" w:hint="cs"/>
          <w:b/>
          <w:bCs/>
          <w:sz w:val="24"/>
          <w:szCs w:val="24"/>
          <w:rtl/>
        </w:rPr>
        <w:t>הצתות מבנה הסיינטולוגיה</w:t>
      </w:r>
      <w:r w:rsidRPr="00E7101E">
        <w:rPr>
          <w:rFonts w:ascii="David" w:hAnsi="David" w:cs="David" w:hint="cs"/>
          <w:sz w:val="24"/>
          <w:szCs w:val="24"/>
          <w:rtl/>
        </w:rPr>
        <w:t xml:space="preserve"> </w:t>
      </w:r>
      <w:r w:rsidR="00F242ED" w:rsidRPr="00E7101E">
        <w:rPr>
          <w:rFonts w:ascii="David" w:hAnsi="David" w:cs="David"/>
          <w:sz w:val="24"/>
          <w:szCs w:val="24"/>
          <w:rtl/>
        </w:rPr>
        <w:t>–</w:t>
      </w:r>
      <w:r w:rsidRPr="00E7101E">
        <w:rPr>
          <w:rFonts w:ascii="David" w:hAnsi="David" w:cs="David" w:hint="cs"/>
          <w:sz w:val="24"/>
          <w:szCs w:val="24"/>
          <w:rtl/>
        </w:rPr>
        <w:t xml:space="preserve"> </w:t>
      </w:r>
      <w:r w:rsidR="00F242ED" w:rsidRPr="00E7101E">
        <w:rPr>
          <w:rFonts w:ascii="David" w:hAnsi="David" w:cs="David" w:hint="cs"/>
          <w:sz w:val="24"/>
          <w:szCs w:val="24"/>
          <w:rtl/>
        </w:rPr>
        <w:t>אירועים המפורטים באישומים 8-9 לכתב האישום. התובע הואשם שקשר קשר עם אחרים להצית את מבנה הסיינטולוגיה. כתב האישום מפרט שני אירועי הצתה חמורים, שכללו תכנון מפורט ושימוש באמצעים מתוחכמים.</w:t>
      </w:r>
      <w:r w:rsidR="00A17F04" w:rsidRPr="00E7101E">
        <w:rPr>
          <w:rFonts w:ascii="David" w:hAnsi="David" w:cs="David" w:hint="cs"/>
          <w:sz w:val="24"/>
          <w:szCs w:val="24"/>
          <w:rtl/>
        </w:rPr>
        <w:t xml:space="preserve"> בפברואר 2011, ניסו הקושרים להצית ולפוצץ את מבנה הסיינטולוגיה. בפעם הראשונה באמצעות משאית תופת ובפעם השנייה על ידי העברת דלק וגז שפוזרו במבנה הענק על ידי אחמד עבד אל רחמן. </w:t>
      </w:r>
      <w:r w:rsidR="00291172" w:rsidRPr="00E7101E">
        <w:rPr>
          <w:rFonts w:ascii="David" w:hAnsi="David" w:cs="David" w:hint="cs"/>
          <w:sz w:val="24"/>
          <w:szCs w:val="24"/>
          <w:rtl/>
        </w:rPr>
        <w:t xml:space="preserve">ניסיונות אלו, חרף פוטנציאל הנזק הרב שנשקף מהם והתכנון המוקפד </w:t>
      </w:r>
      <w:r w:rsidR="00291172" w:rsidRPr="00E7101E">
        <w:rPr>
          <w:rFonts w:ascii="David" w:hAnsi="David" w:cs="David"/>
          <w:sz w:val="24"/>
          <w:szCs w:val="24"/>
          <w:rtl/>
        </w:rPr>
        <w:t>–</w:t>
      </w:r>
      <w:r w:rsidR="00291172" w:rsidRPr="00E7101E">
        <w:rPr>
          <w:rFonts w:ascii="David" w:hAnsi="David" w:cs="David" w:hint="cs"/>
          <w:sz w:val="24"/>
          <w:szCs w:val="24"/>
          <w:rtl/>
        </w:rPr>
        <w:t xml:space="preserve"> לא נשאו פרי, למזלם הרב של העוברים והשבים באזור. התובע מסר בחקירותיו במשטרה כי היה לו המניע לבצע פגיעות אלו, שכן נהנה הן מכספי הנאמנות והן מהעמלות שקיבל מקבלן השיפוצים </w:t>
      </w:r>
      <w:r w:rsidR="00291172" w:rsidRPr="00E7101E">
        <w:rPr>
          <w:rFonts w:ascii="David" w:hAnsi="David" w:cs="David"/>
          <w:sz w:val="24"/>
          <w:szCs w:val="24"/>
          <w:rtl/>
        </w:rPr>
        <w:t>–</w:t>
      </w:r>
      <w:r w:rsidR="00291172" w:rsidRPr="00E7101E">
        <w:rPr>
          <w:rFonts w:ascii="David" w:hAnsi="David" w:cs="David" w:hint="cs"/>
          <w:sz w:val="24"/>
          <w:szCs w:val="24"/>
          <w:rtl/>
        </w:rPr>
        <w:t xml:space="preserve"> נאיף סלטי (להלן : "סלטי"), המסתכמות בכ- 4 מיליון ₪.   </w:t>
      </w:r>
    </w:p>
    <w:p w:rsidR="00291172" w:rsidRPr="00E7101E" w:rsidRDefault="00291172" w:rsidP="00E4116E">
      <w:pPr>
        <w:pStyle w:val="af4"/>
        <w:rPr>
          <w:rFonts w:ascii="David" w:hAnsi="David" w:cs="David"/>
          <w:sz w:val="24"/>
          <w:szCs w:val="24"/>
          <w:rtl/>
        </w:rPr>
      </w:pPr>
    </w:p>
    <w:p w:rsidR="00291172" w:rsidRPr="00E7101E" w:rsidRDefault="00291172" w:rsidP="00291172">
      <w:pPr>
        <w:pStyle w:val="af4"/>
        <w:keepLines/>
        <w:numPr>
          <w:ilvl w:val="1"/>
          <w:numId w:val="24"/>
        </w:numPr>
        <w:spacing w:before="240" w:line="360" w:lineRule="auto"/>
        <w:ind w:left="936" w:hanging="284"/>
        <w:jc w:val="both"/>
        <w:rPr>
          <w:rFonts w:ascii="David" w:hAnsi="David" w:cs="David"/>
          <w:sz w:val="24"/>
          <w:szCs w:val="24"/>
        </w:rPr>
      </w:pPr>
      <w:r w:rsidRPr="00FA0D9B">
        <w:rPr>
          <w:rFonts w:ascii="David" w:hAnsi="David" w:cs="David" w:hint="cs"/>
          <w:b/>
          <w:bCs/>
          <w:sz w:val="24"/>
          <w:szCs w:val="24"/>
          <w:rtl/>
        </w:rPr>
        <w:t>אישומים עשירי ואחד עשר</w:t>
      </w:r>
      <w:r w:rsidRPr="00E7101E">
        <w:rPr>
          <w:rFonts w:ascii="David" w:hAnsi="David" w:cs="David" w:hint="cs"/>
          <w:sz w:val="24"/>
          <w:szCs w:val="24"/>
          <w:rtl/>
        </w:rPr>
        <w:t xml:space="preserve"> </w:t>
      </w:r>
      <w:r w:rsidRPr="00E7101E">
        <w:rPr>
          <w:rFonts w:ascii="David" w:hAnsi="David" w:cs="David"/>
          <w:sz w:val="24"/>
          <w:szCs w:val="24"/>
          <w:rtl/>
        </w:rPr>
        <w:t>–</w:t>
      </w:r>
      <w:r w:rsidRPr="00E7101E">
        <w:rPr>
          <w:rFonts w:ascii="David" w:hAnsi="David" w:cs="David" w:hint="cs"/>
          <w:sz w:val="24"/>
          <w:szCs w:val="24"/>
          <w:rtl/>
        </w:rPr>
        <w:t xml:space="preserve"> לא יוחסו לתובע, אלא רק לניזאר וליוסף, מי שהיו שותפיו לכתב האישום. להשלמת התמונה יצוין, כי באישומים אלו הקושרים ביקשו לפגוע ביריב עסקי של ניזאר </w:t>
      </w:r>
      <w:r w:rsidRPr="00E7101E">
        <w:rPr>
          <w:rFonts w:ascii="David" w:hAnsi="David" w:cs="David"/>
          <w:sz w:val="24"/>
          <w:szCs w:val="24"/>
          <w:rtl/>
        </w:rPr>
        <w:t>–</w:t>
      </w:r>
      <w:r w:rsidRPr="00E7101E">
        <w:rPr>
          <w:rFonts w:ascii="David" w:hAnsi="David" w:cs="David" w:hint="cs"/>
          <w:sz w:val="24"/>
          <w:szCs w:val="24"/>
          <w:rtl/>
        </w:rPr>
        <w:t xml:space="preserve"> אליא זקאק (להלן: "זקאק"), תחילה באמצעות רימון ובהמשך באמצעות מטען חבלה שהטמינו תחת רכבו של זקאק. בתאריך 16.3.11 נפגע אחד מבניו מהתפוצצות המטען. </w:t>
      </w:r>
    </w:p>
    <w:p w:rsidR="00291172" w:rsidRPr="00FA0D9B" w:rsidRDefault="00291172" w:rsidP="00E4116E">
      <w:pPr>
        <w:pStyle w:val="af4"/>
        <w:rPr>
          <w:rFonts w:ascii="David" w:hAnsi="David" w:cs="David"/>
          <w:b/>
          <w:bCs/>
          <w:sz w:val="24"/>
          <w:szCs w:val="24"/>
          <w:rtl/>
        </w:rPr>
      </w:pPr>
    </w:p>
    <w:p w:rsidR="002648C3" w:rsidRPr="00E7101E" w:rsidRDefault="00291172" w:rsidP="00291172">
      <w:pPr>
        <w:pStyle w:val="af4"/>
        <w:keepLines/>
        <w:numPr>
          <w:ilvl w:val="1"/>
          <w:numId w:val="24"/>
        </w:numPr>
        <w:spacing w:before="240" w:line="360" w:lineRule="auto"/>
        <w:ind w:left="936" w:hanging="284"/>
        <w:jc w:val="both"/>
        <w:rPr>
          <w:rFonts w:ascii="David" w:hAnsi="David" w:cs="David"/>
          <w:sz w:val="24"/>
          <w:szCs w:val="24"/>
          <w:rtl/>
        </w:rPr>
      </w:pPr>
      <w:r w:rsidRPr="00FA0D9B">
        <w:rPr>
          <w:rFonts w:ascii="David" w:hAnsi="David" w:cs="David" w:hint="cs"/>
          <w:b/>
          <w:bCs/>
          <w:sz w:val="24"/>
          <w:szCs w:val="24"/>
          <w:rtl/>
        </w:rPr>
        <w:t>אישום שניים עשר</w:t>
      </w:r>
      <w:r w:rsidRPr="00E7101E">
        <w:rPr>
          <w:rFonts w:ascii="David" w:hAnsi="David" w:cs="David" w:hint="cs"/>
          <w:sz w:val="24"/>
          <w:szCs w:val="24"/>
          <w:rtl/>
        </w:rPr>
        <w:t xml:space="preserve"> </w:t>
      </w:r>
      <w:r w:rsidRPr="00E7101E">
        <w:rPr>
          <w:rFonts w:ascii="David" w:hAnsi="David" w:cs="David"/>
          <w:sz w:val="24"/>
          <w:szCs w:val="24"/>
          <w:rtl/>
        </w:rPr>
        <w:t>–</w:t>
      </w:r>
      <w:r w:rsidRPr="00E7101E">
        <w:rPr>
          <w:rFonts w:ascii="David" w:hAnsi="David" w:cs="David" w:hint="cs"/>
          <w:sz w:val="24"/>
          <w:szCs w:val="24"/>
          <w:rtl/>
        </w:rPr>
        <w:t xml:space="preserve"> גם אישום זה לא יוחס לתובע, אלא רק ליוסף ועניינו ניסיון יוסף ואחרים לרכוש במרץ 2011 רימונים עבור בינקי מאבו שוקרי ואבו ג'מאל.   </w:t>
      </w:r>
    </w:p>
    <w:p w:rsidR="002648C3" w:rsidRPr="00E7101E" w:rsidRDefault="002648C3" w:rsidP="002648C3">
      <w:pPr>
        <w:pStyle w:val="af4"/>
        <w:keepLines/>
        <w:spacing w:before="240" w:line="360" w:lineRule="auto"/>
        <w:ind w:left="936"/>
        <w:jc w:val="both"/>
        <w:rPr>
          <w:rFonts w:ascii="David" w:hAnsi="David" w:cs="David"/>
          <w:sz w:val="24"/>
          <w:szCs w:val="24"/>
        </w:rPr>
      </w:pPr>
      <w:r w:rsidRPr="00E7101E">
        <w:rPr>
          <w:rFonts w:ascii="David" w:hAnsi="David" w:cs="David" w:hint="cs"/>
          <w:sz w:val="24"/>
          <w:szCs w:val="24"/>
          <w:rtl/>
        </w:rPr>
        <w:t>פרשות הפגיעה בשוטה חובל, דניאל כהן, ע.ש. והסיינטולוגיה יוחסו לתובע בתפ"ח 34337-05-11 ונקראו במסגרת ההליך הפלילי "</w:t>
      </w:r>
      <w:r w:rsidRPr="00FA0D9B">
        <w:rPr>
          <w:rFonts w:ascii="David" w:hAnsi="David" w:cs="David" w:hint="cs"/>
          <w:b/>
          <w:bCs/>
          <w:sz w:val="24"/>
          <w:szCs w:val="24"/>
          <w:rtl/>
        </w:rPr>
        <w:t>פרשת זר סיגליות</w:t>
      </w:r>
      <w:r w:rsidRPr="00E7101E">
        <w:rPr>
          <w:rFonts w:ascii="David" w:hAnsi="David" w:cs="David" w:hint="cs"/>
          <w:sz w:val="24"/>
          <w:szCs w:val="24"/>
          <w:rtl/>
        </w:rPr>
        <w:t>".</w:t>
      </w:r>
    </w:p>
    <w:p w:rsidR="00F242ED" w:rsidRPr="00E7101E" w:rsidRDefault="00F242ED" w:rsidP="00E4116E">
      <w:pPr>
        <w:pStyle w:val="af4"/>
        <w:rPr>
          <w:rFonts w:ascii="David" w:hAnsi="David" w:cs="David"/>
          <w:sz w:val="24"/>
          <w:szCs w:val="24"/>
          <w:rtl/>
        </w:rPr>
      </w:pPr>
    </w:p>
    <w:p w:rsidR="00F242ED" w:rsidRPr="00E7101E" w:rsidRDefault="00F242ED" w:rsidP="0020494B">
      <w:pPr>
        <w:pStyle w:val="af4"/>
        <w:keepLines/>
        <w:numPr>
          <w:ilvl w:val="1"/>
          <w:numId w:val="24"/>
        </w:numPr>
        <w:spacing w:before="240" w:line="360" w:lineRule="auto"/>
        <w:ind w:left="936" w:hanging="284"/>
        <w:jc w:val="both"/>
        <w:rPr>
          <w:rFonts w:ascii="David" w:hAnsi="David" w:cs="David"/>
          <w:sz w:val="24"/>
          <w:szCs w:val="24"/>
          <w:rtl/>
        </w:rPr>
      </w:pPr>
      <w:r w:rsidRPr="00FA0D9B">
        <w:rPr>
          <w:rFonts w:ascii="David" w:hAnsi="David" w:cs="David" w:hint="cs"/>
          <w:b/>
          <w:bCs/>
          <w:sz w:val="24"/>
          <w:szCs w:val="24"/>
          <w:rtl/>
        </w:rPr>
        <w:t>פרשת השיבוש</w:t>
      </w:r>
      <w:r w:rsidRPr="00E7101E">
        <w:rPr>
          <w:rFonts w:ascii="David" w:hAnsi="David" w:cs="David" w:hint="cs"/>
          <w:sz w:val="24"/>
          <w:szCs w:val="24"/>
          <w:rtl/>
        </w:rPr>
        <w:t xml:space="preserve"> </w:t>
      </w:r>
      <w:r w:rsidR="002648C3" w:rsidRPr="00E7101E">
        <w:rPr>
          <w:rFonts w:ascii="David" w:hAnsi="David" w:cs="David" w:hint="cs"/>
          <w:sz w:val="24"/>
          <w:szCs w:val="24"/>
          <w:rtl/>
        </w:rPr>
        <w:t>שפורטה</w:t>
      </w:r>
      <w:r w:rsidRPr="00E7101E">
        <w:rPr>
          <w:rFonts w:ascii="David" w:hAnsi="David" w:cs="David" w:hint="cs"/>
          <w:sz w:val="24"/>
          <w:szCs w:val="24"/>
          <w:rtl/>
        </w:rPr>
        <w:t xml:space="preserve"> באישומים 13-15 לכתב האישום</w:t>
      </w:r>
      <w:r w:rsidR="002648C3" w:rsidRPr="00E7101E">
        <w:rPr>
          <w:rFonts w:ascii="David" w:hAnsi="David" w:cs="David" w:hint="cs"/>
          <w:sz w:val="24"/>
          <w:szCs w:val="24"/>
          <w:rtl/>
        </w:rPr>
        <w:t xml:space="preserve"> כונתה במסגרת ההליך הפלילי </w:t>
      </w:r>
      <w:r w:rsidR="00B94B43" w:rsidRPr="00E7101E">
        <w:rPr>
          <w:rFonts w:ascii="David" w:hAnsi="David" w:cs="David" w:hint="cs"/>
          <w:sz w:val="24"/>
          <w:szCs w:val="24"/>
          <w:rtl/>
        </w:rPr>
        <w:t>"</w:t>
      </w:r>
      <w:r w:rsidR="002648C3" w:rsidRPr="00FA0D9B">
        <w:rPr>
          <w:rFonts w:ascii="David" w:hAnsi="David" w:cs="David" w:hint="cs"/>
          <w:b/>
          <w:bCs/>
          <w:sz w:val="24"/>
          <w:szCs w:val="24"/>
          <w:rtl/>
        </w:rPr>
        <w:t>פרשת ייעוץ זוגי</w:t>
      </w:r>
      <w:r w:rsidR="002648C3" w:rsidRPr="00E7101E">
        <w:rPr>
          <w:rFonts w:ascii="David" w:hAnsi="David" w:cs="David" w:hint="cs"/>
          <w:sz w:val="24"/>
          <w:szCs w:val="24"/>
          <w:rtl/>
        </w:rPr>
        <w:t>"</w:t>
      </w:r>
      <w:r w:rsidRPr="00E7101E">
        <w:rPr>
          <w:rFonts w:ascii="David" w:hAnsi="David" w:cs="David" w:hint="cs"/>
          <w:sz w:val="24"/>
          <w:szCs w:val="24"/>
          <w:rtl/>
        </w:rPr>
        <w:t>. במסגרת פרשה זו, יוחסו לתובע עבירות שבוצעו בעודו ע</w:t>
      </w:r>
      <w:r w:rsidR="00D84F91" w:rsidRPr="00E7101E">
        <w:rPr>
          <w:rFonts w:ascii="David" w:hAnsi="David" w:cs="David" w:hint="cs"/>
          <w:sz w:val="24"/>
          <w:szCs w:val="24"/>
          <w:rtl/>
        </w:rPr>
        <w:t>צור בגין האירועים המפורטים בפרשו</w:t>
      </w:r>
      <w:r w:rsidRPr="00E7101E">
        <w:rPr>
          <w:rFonts w:ascii="David" w:hAnsi="David" w:cs="David" w:hint="cs"/>
          <w:sz w:val="24"/>
          <w:szCs w:val="24"/>
          <w:rtl/>
        </w:rPr>
        <w:t xml:space="preserve">ת </w:t>
      </w:r>
      <w:r w:rsidR="00D84F91" w:rsidRPr="00E7101E">
        <w:rPr>
          <w:rFonts w:ascii="David" w:hAnsi="David" w:cs="David" w:hint="cs"/>
          <w:sz w:val="24"/>
          <w:szCs w:val="24"/>
          <w:rtl/>
        </w:rPr>
        <w:t>"</w:t>
      </w:r>
      <w:r w:rsidR="00D84F91" w:rsidRPr="00FA0D9B">
        <w:rPr>
          <w:rFonts w:ascii="David" w:hAnsi="David" w:cs="David" w:hint="cs"/>
          <w:b/>
          <w:bCs/>
          <w:sz w:val="24"/>
          <w:szCs w:val="24"/>
          <w:rtl/>
        </w:rPr>
        <w:t>זר סיגליות</w:t>
      </w:r>
      <w:r w:rsidR="00D84F91" w:rsidRPr="00E7101E">
        <w:rPr>
          <w:rFonts w:ascii="David" w:hAnsi="David" w:cs="David" w:hint="cs"/>
          <w:sz w:val="24"/>
          <w:szCs w:val="24"/>
          <w:rtl/>
        </w:rPr>
        <w:t xml:space="preserve">" </w:t>
      </w:r>
      <w:r w:rsidRPr="00E7101E">
        <w:rPr>
          <w:rFonts w:ascii="David" w:hAnsi="David" w:cs="David" w:hint="cs"/>
          <w:sz w:val="24"/>
          <w:szCs w:val="24"/>
          <w:rtl/>
        </w:rPr>
        <w:t>המתוארות לעיל ובין היתר:</w:t>
      </w:r>
    </w:p>
    <w:p w:rsidR="00F242ED" w:rsidRPr="00E7101E" w:rsidRDefault="00F242ED" w:rsidP="0020494B">
      <w:pPr>
        <w:pStyle w:val="af4"/>
        <w:keepLines/>
        <w:numPr>
          <w:ilvl w:val="2"/>
          <w:numId w:val="24"/>
        </w:numPr>
        <w:spacing w:before="60" w:line="360" w:lineRule="auto"/>
        <w:ind w:left="1220" w:hanging="284"/>
        <w:jc w:val="both"/>
        <w:rPr>
          <w:rFonts w:ascii="David" w:hAnsi="David" w:cs="David"/>
          <w:sz w:val="24"/>
          <w:szCs w:val="24"/>
        </w:rPr>
      </w:pPr>
      <w:r w:rsidRPr="00E7101E">
        <w:rPr>
          <w:rFonts w:ascii="David" w:hAnsi="David" w:cs="David" w:hint="cs"/>
          <w:sz w:val="24"/>
          <w:szCs w:val="24"/>
          <w:rtl/>
        </w:rPr>
        <w:t>הזמנת רצח של עד מרכזי בתיק והזמנת פגיעה נוספת בדניאל כהן.</w:t>
      </w:r>
    </w:p>
    <w:p w:rsidR="00F242ED" w:rsidRPr="00E7101E" w:rsidRDefault="00F242ED" w:rsidP="0020494B">
      <w:pPr>
        <w:pStyle w:val="af4"/>
        <w:keepLines/>
        <w:numPr>
          <w:ilvl w:val="2"/>
          <w:numId w:val="24"/>
        </w:numPr>
        <w:spacing w:before="240" w:line="360" w:lineRule="auto"/>
        <w:ind w:left="1218" w:hanging="284"/>
        <w:jc w:val="both"/>
        <w:rPr>
          <w:rFonts w:ascii="David" w:hAnsi="David" w:cs="David"/>
          <w:sz w:val="24"/>
          <w:szCs w:val="24"/>
        </w:rPr>
      </w:pPr>
      <w:r w:rsidRPr="00E7101E">
        <w:rPr>
          <w:rFonts w:ascii="David" w:hAnsi="David" w:cs="David" w:hint="cs"/>
          <w:sz w:val="24"/>
          <w:szCs w:val="24"/>
          <w:rtl/>
        </w:rPr>
        <w:t xml:space="preserve">קשירת קשר לרכוש כלי נשק, להטמינם בחצר </w:t>
      </w:r>
      <w:r w:rsidR="00707391" w:rsidRPr="00E7101E">
        <w:rPr>
          <w:rFonts w:ascii="David" w:hAnsi="David" w:cs="David" w:hint="cs"/>
          <w:sz w:val="24"/>
          <w:szCs w:val="24"/>
          <w:rtl/>
        </w:rPr>
        <w:t>ביתם של מעורבים אחרים בתיק, כשמטרתו של התובע היא למסור את מיקום הנשק למשטרה</w:t>
      </w:r>
      <w:r w:rsidR="00D84F91" w:rsidRPr="00E7101E">
        <w:rPr>
          <w:rFonts w:ascii="David" w:hAnsi="David" w:cs="David" w:hint="cs"/>
          <w:sz w:val="24"/>
          <w:szCs w:val="24"/>
          <w:rtl/>
        </w:rPr>
        <w:t>,</w:t>
      </w:r>
      <w:r w:rsidR="00707391" w:rsidRPr="00E7101E">
        <w:rPr>
          <w:rFonts w:ascii="David" w:hAnsi="David" w:cs="David" w:hint="cs"/>
          <w:sz w:val="24"/>
          <w:szCs w:val="24"/>
          <w:rtl/>
        </w:rPr>
        <w:t xml:space="preserve"> וכך לזכות להקלה בעונש ובתנאי השחרור.</w:t>
      </w:r>
    </w:p>
    <w:p w:rsidR="00707391" w:rsidRPr="00E7101E" w:rsidRDefault="00707391" w:rsidP="0020494B">
      <w:pPr>
        <w:pStyle w:val="af4"/>
        <w:keepLines/>
        <w:numPr>
          <w:ilvl w:val="2"/>
          <w:numId w:val="24"/>
        </w:numPr>
        <w:spacing w:before="240" w:line="360" w:lineRule="auto"/>
        <w:ind w:left="1220" w:hanging="284"/>
        <w:jc w:val="both"/>
        <w:rPr>
          <w:rFonts w:ascii="David" w:hAnsi="David" w:cs="David"/>
          <w:sz w:val="24"/>
          <w:szCs w:val="24"/>
        </w:rPr>
      </w:pPr>
      <w:r w:rsidRPr="00E7101E">
        <w:rPr>
          <w:rFonts w:ascii="David" w:hAnsi="David" w:cs="David" w:hint="cs"/>
          <w:sz w:val="24"/>
          <w:szCs w:val="24"/>
          <w:rtl/>
        </w:rPr>
        <w:t xml:space="preserve">קשירת קשר להדיח עדי תביעה נוספים ולהטרידם במטרה לפגוע ולהכשיל את ההליך המשפטי. </w:t>
      </w:r>
    </w:p>
    <w:p w:rsidR="0078556E" w:rsidRPr="00E7101E" w:rsidRDefault="00291172" w:rsidP="0078556E">
      <w:pPr>
        <w:keepLines/>
        <w:spacing w:before="120" w:line="360" w:lineRule="auto"/>
        <w:ind w:left="936"/>
        <w:jc w:val="both"/>
        <w:rPr>
          <w:rFonts w:ascii="David" w:hAnsi="David" w:cs="David"/>
          <w:sz w:val="24"/>
          <w:szCs w:val="24"/>
          <w:rtl/>
        </w:rPr>
      </w:pPr>
      <w:r w:rsidRPr="00E7101E">
        <w:rPr>
          <w:rFonts w:ascii="David" w:hAnsi="David" w:cs="David" w:hint="cs"/>
          <w:sz w:val="24"/>
          <w:szCs w:val="24"/>
          <w:rtl/>
        </w:rPr>
        <w:t xml:space="preserve">בעת מעצרו, ביקש התובע לשבש משפטו בדרכים שונות: תחילה ביקש מעבריין להטריד ולהדיח את עד התביעה סלטי (אישום 15), בהמשך ביקש לרכוש מעבריין אחר כלי נשק ולהטמינם בחצר ביתו של ניזאר, כדי להשיג הקלות במשפטו (אישום 14). לבסוף ניסה התובע לשדל לרצוח עד תביעה מרכזי במשפטו </w:t>
      </w:r>
      <w:r w:rsidRPr="00E7101E">
        <w:rPr>
          <w:rFonts w:ascii="David" w:hAnsi="David" w:cs="David"/>
          <w:sz w:val="24"/>
          <w:szCs w:val="24"/>
          <w:rtl/>
        </w:rPr>
        <w:t>–</w:t>
      </w:r>
      <w:r w:rsidRPr="00E7101E">
        <w:rPr>
          <w:rFonts w:ascii="David" w:hAnsi="David" w:cs="David" w:hint="cs"/>
          <w:sz w:val="24"/>
          <w:szCs w:val="24"/>
          <w:rtl/>
        </w:rPr>
        <w:t xml:space="preserve"> רמזי</w:t>
      </w:r>
      <w:r w:rsidR="0078556E" w:rsidRPr="00E7101E">
        <w:rPr>
          <w:rFonts w:ascii="David" w:hAnsi="David" w:cs="David" w:hint="cs"/>
          <w:sz w:val="24"/>
          <w:szCs w:val="24"/>
          <w:rtl/>
        </w:rPr>
        <w:t>, באופן שיצטייר כאילו רמזי לקח מנת יתר של סמים</w:t>
      </w:r>
      <w:r w:rsidRPr="00E7101E">
        <w:rPr>
          <w:rFonts w:ascii="David" w:hAnsi="David" w:cs="David" w:hint="cs"/>
          <w:sz w:val="24"/>
          <w:szCs w:val="24"/>
          <w:rtl/>
        </w:rPr>
        <w:t>. הרצח סוכל הודות להפעלת שני סוכנים: עבריין בין כותלי הכלא ושוטר, שהתחזה לרוצח השכיר, מחוץ לכלא. שותפו של התובע לעבירות היה אביו. בנוסף ניסה לשדל עבריין אחר לרצוח את עד המדינה</w:t>
      </w:r>
      <w:r w:rsidR="0078556E" w:rsidRPr="00E7101E">
        <w:rPr>
          <w:rFonts w:ascii="David" w:hAnsi="David" w:cs="David" w:hint="cs"/>
          <w:sz w:val="24"/>
          <w:szCs w:val="24"/>
          <w:rtl/>
        </w:rPr>
        <w:t xml:space="preserve"> באמצעות רעל מסוג ציאניד </w:t>
      </w:r>
      <w:r w:rsidRPr="00E7101E">
        <w:rPr>
          <w:rFonts w:ascii="David" w:hAnsi="David" w:cs="David" w:hint="cs"/>
          <w:sz w:val="24"/>
          <w:szCs w:val="24"/>
          <w:rtl/>
        </w:rPr>
        <w:t xml:space="preserve">(אך חזר בו מהזמנה זו, עת נוכח לדעת כי עד התביעה העיקרי נגדו הנו רמזי ולא עד המדינה) וכן ניסה לשדל לפגוע שוב בדניאל כהן. </w:t>
      </w:r>
    </w:p>
    <w:p w:rsidR="00B94B43" w:rsidRPr="00E7101E" w:rsidRDefault="00A72513" w:rsidP="0078556E">
      <w:pPr>
        <w:keepLines/>
        <w:spacing w:before="120" w:line="360" w:lineRule="auto"/>
        <w:ind w:left="936"/>
        <w:jc w:val="both"/>
        <w:rPr>
          <w:rFonts w:ascii="David" w:hAnsi="David" w:cs="David"/>
          <w:sz w:val="24"/>
          <w:szCs w:val="24"/>
        </w:rPr>
      </w:pPr>
      <w:r w:rsidRPr="00E7101E">
        <w:rPr>
          <w:rFonts w:ascii="David" w:hAnsi="David" w:cs="David" w:hint="cs"/>
          <w:sz w:val="24"/>
          <w:szCs w:val="24"/>
          <w:rtl/>
        </w:rPr>
        <w:t>אישומים 13-15 ב"</w:t>
      </w:r>
      <w:r w:rsidRPr="00FA0D9B">
        <w:rPr>
          <w:rFonts w:ascii="David" w:hAnsi="David" w:cs="David" w:hint="cs"/>
          <w:b/>
          <w:bCs/>
          <w:sz w:val="24"/>
          <w:szCs w:val="24"/>
          <w:rtl/>
        </w:rPr>
        <w:t>פרשת ייעוץ זוגי</w:t>
      </w:r>
      <w:r w:rsidRPr="00E7101E">
        <w:rPr>
          <w:rFonts w:ascii="David" w:hAnsi="David" w:cs="David" w:hint="cs"/>
          <w:sz w:val="24"/>
          <w:szCs w:val="24"/>
          <w:rtl/>
        </w:rPr>
        <w:t xml:space="preserve">" כללו הזמנת רצח עד התביעה רמזי, הזמנת פגיעה בדניאל כהן, עבירות נשק ועבירות נוספות </w:t>
      </w:r>
      <w:r w:rsidRPr="00E7101E">
        <w:rPr>
          <w:rFonts w:ascii="David" w:hAnsi="David" w:cs="David"/>
          <w:sz w:val="24"/>
          <w:szCs w:val="24"/>
          <w:rtl/>
        </w:rPr>
        <w:t>–</w:t>
      </w:r>
      <w:r w:rsidRPr="00E7101E">
        <w:rPr>
          <w:rFonts w:ascii="David" w:hAnsi="David" w:cs="David" w:hint="cs"/>
          <w:sz w:val="24"/>
          <w:szCs w:val="24"/>
          <w:rtl/>
        </w:rPr>
        <w:t xml:space="preserve"> הכל במטרה לפגוע ולשבש את משפטו של התובע בפרשת "</w:t>
      </w:r>
      <w:r w:rsidRPr="00FA0D9B">
        <w:rPr>
          <w:rFonts w:ascii="David" w:hAnsi="David" w:cs="David" w:hint="cs"/>
          <w:b/>
          <w:bCs/>
          <w:sz w:val="24"/>
          <w:szCs w:val="24"/>
          <w:rtl/>
        </w:rPr>
        <w:t>זר סיגליות</w:t>
      </w:r>
      <w:r w:rsidRPr="00E7101E">
        <w:rPr>
          <w:rFonts w:ascii="David" w:hAnsi="David" w:cs="David" w:hint="cs"/>
          <w:sz w:val="24"/>
          <w:szCs w:val="24"/>
          <w:rtl/>
        </w:rPr>
        <w:t>".</w:t>
      </w:r>
    </w:p>
    <w:p w:rsidR="00584D5E" w:rsidRPr="00E7101E" w:rsidRDefault="002648C3" w:rsidP="0020494B">
      <w:pPr>
        <w:keepLines/>
        <w:numPr>
          <w:ilvl w:val="0"/>
          <w:numId w:val="21"/>
        </w:numPr>
        <w:spacing w:before="120" w:line="360" w:lineRule="auto"/>
        <w:jc w:val="both"/>
        <w:rPr>
          <w:rFonts w:ascii="David" w:hAnsi="David" w:cs="David"/>
          <w:sz w:val="24"/>
          <w:szCs w:val="24"/>
        </w:rPr>
      </w:pPr>
      <w:r w:rsidRPr="00E7101E">
        <w:rPr>
          <w:rFonts w:ascii="David" w:hAnsi="David" w:cs="David" w:hint="cs"/>
          <w:sz w:val="24"/>
          <w:szCs w:val="24"/>
          <w:rtl/>
        </w:rPr>
        <w:t xml:space="preserve">כתב האישום המתוקן והמאוחד, ייחס לתובע עבירות של </w:t>
      </w:r>
      <w:r w:rsidRPr="00FA0D9B">
        <w:rPr>
          <w:rFonts w:ascii="David" w:hAnsi="David" w:cs="David" w:hint="cs"/>
          <w:b/>
          <w:bCs/>
          <w:sz w:val="24"/>
          <w:szCs w:val="24"/>
          <w:rtl/>
        </w:rPr>
        <w:t>נסיון לרצח</w:t>
      </w:r>
      <w:r w:rsidRPr="00E7101E">
        <w:rPr>
          <w:rFonts w:ascii="David" w:hAnsi="David" w:cs="David" w:hint="cs"/>
          <w:sz w:val="24"/>
          <w:szCs w:val="24"/>
          <w:rtl/>
        </w:rPr>
        <w:t xml:space="preserve">, עבירה לפי סעיפים 305 ו-29 לחוק העונשין, התשל"ז </w:t>
      </w:r>
      <w:r w:rsidRPr="00E7101E">
        <w:rPr>
          <w:rFonts w:ascii="David" w:hAnsi="David" w:cs="David"/>
          <w:sz w:val="24"/>
          <w:szCs w:val="24"/>
          <w:rtl/>
        </w:rPr>
        <w:t>–</w:t>
      </w:r>
      <w:r w:rsidRPr="00E7101E">
        <w:rPr>
          <w:rFonts w:ascii="David" w:hAnsi="David" w:cs="David" w:hint="cs"/>
          <w:sz w:val="24"/>
          <w:szCs w:val="24"/>
          <w:rtl/>
        </w:rPr>
        <w:t xml:space="preserve"> 1977 (להלן גם: "</w:t>
      </w:r>
      <w:r w:rsidRPr="00FA0D9B">
        <w:rPr>
          <w:rFonts w:ascii="David" w:hAnsi="David" w:cs="David" w:hint="cs"/>
          <w:b/>
          <w:bCs/>
          <w:sz w:val="24"/>
          <w:szCs w:val="24"/>
          <w:rtl/>
        </w:rPr>
        <w:t>חוק העונשין</w:t>
      </w:r>
      <w:r w:rsidRPr="00E7101E">
        <w:rPr>
          <w:rFonts w:ascii="David" w:hAnsi="David" w:cs="David" w:hint="cs"/>
          <w:sz w:val="24"/>
          <w:szCs w:val="24"/>
          <w:rtl/>
        </w:rPr>
        <w:t>")</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קשירת קשר לפשע</w:t>
      </w:r>
      <w:r w:rsidRPr="00E7101E">
        <w:rPr>
          <w:rFonts w:ascii="David" w:hAnsi="David" w:cs="David" w:hint="cs"/>
          <w:sz w:val="24"/>
          <w:szCs w:val="24"/>
          <w:rtl/>
        </w:rPr>
        <w:t xml:space="preserve"> (</w:t>
      </w:r>
      <w:r w:rsidRPr="00FA0D9B">
        <w:rPr>
          <w:rFonts w:ascii="David" w:hAnsi="David" w:cs="David" w:hint="cs"/>
          <w:b/>
          <w:bCs/>
          <w:sz w:val="24"/>
          <w:szCs w:val="24"/>
          <w:rtl/>
        </w:rPr>
        <w:t>שתים עשרה עבירות, לרבות קשירת קשר לרצח באישומים 7 ו-13</w:t>
      </w:r>
      <w:r w:rsidRPr="00E7101E">
        <w:rPr>
          <w:rFonts w:ascii="David" w:hAnsi="David" w:cs="David" w:hint="cs"/>
          <w:sz w:val="24"/>
          <w:szCs w:val="24"/>
          <w:rtl/>
        </w:rPr>
        <w:t>), עבירה לפי סעיף 499(א)(1)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חבלה בכוונה מחמירה (בארבעה אישומים שונים לרבות "ריבוי עבירות" באישומים 4 ו-6)</w:t>
      </w:r>
      <w:r w:rsidRPr="00E7101E">
        <w:rPr>
          <w:rFonts w:ascii="David" w:hAnsi="David" w:cs="David" w:hint="cs"/>
          <w:sz w:val="24"/>
          <w:szCs w:val="24"/>
          <w:rtl/>
        </w:rPr>
        <w:t>, עבירה לפי סעיפים 329(א)(1), 329(א)(2), 329(א)(3), 329(א)(5) ו-29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נסיון לשידול לרצח (ריבוי עבירות באישום 13)</w:t>
      </w:r>
      <w:r w:rsidRPr="00E7101E">
        <w:rPr>
          <w:rFonts w:ascii="David" w:hAnsi="David" w:cs="David" w:hint="cs"/>
          <w:sz w:val="24"/>
          <w:szCs w:val="24"/>
          <w:rtl/>
        </w:rPr>
        <w:t>, עבירה לפי סעיפים 33(1), 300 ו-29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נסיון לחבלה בכוונה מחמירה (שתי עבירות)</w:t>
      </w:r>
      <w:r w:rsidRPr="00E7101E">
        <w:rPr>
          <w:rFonts w:ascii="David" w:hAnsi="David" w:cs="David" w:hint="cs"/>
          <w:sz w:val="24"/>
          <w:szCs w:val="24"/>
          <w:rtl/>
        </w:rPr>
        <w:t>, עבירה לפי סעיפים 329(א)(6), 25 ו-29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תקיפה בנסיבות מחמירות</w:t>
      </w:r>
      <w:r w:rsidRPr="00E7101E">
        <w:rPr>
          <w:rFonts w:ascii="David" w:hAnsi="David" w:cs="David" w:hint="cs"/>
          <w:sz w:val="24"/>
          <w:szCs w:val="24"/>
          <w:rtl/>
        </w:rPr>
        <w:t xml:space="preserve">, עבירה לפי סעיפים 379, 382 ו-29 לחוק העונשין, </w:t>
      </w:r>
      <w:r w:rsidRPr="00FA0D9B">
        <w:rPr>
          <w:rFonts w:ascii="David" w:hAnsi="David" w:cs="David" w:hint="cs"/>
          <w:b/>
          <w:bCs/>
          <w:sz w:val="24"/>
          <w:szCs w:val="24"/>
          <w:rtl/>
        </w:rPr>
        <w:t>שיבוש מהלכי משפט (שתי עבירות)</w:t>
      </w:r>
      <w:r w:rsidRPr="00E7101E">
        <w:rPr>
          <w:rFonts w:ascii="David" w:hAnsi="David" w:cs="David" w:hint="cs"/>
          <w:sz w:val="24"/>
          <w:szCs w:val="24"/>
          <w:rtl/>
        </w:rPr>
        <w:t>, עבירה לפי סעיפים 244 ו-29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p>
    <w:p w:rsidR="002648C3" w:rsidRPr="00E7101E" w:rsidRDefault="002648C3" w:rsidP="00E4116E">
      <w:pPr>
        <w:keepLines/>
        <w:spacing w:before="120" w:line="360" w:lineRule="auto"/>
        <w:ind w:left="927"/>
        <w:jc w:val="both"/>
        <w:rPr>
          <w:rFonts w:ascii="David" w:hAnsi="David" w:cs="David"/>
          <w:sz w:val="24"/>
          <w:szCs w:val="24"/>
        </w:rPr>
      </w:pPr>
      <w:r w:rsidRPr="00FA0D9B">
        <w:rPr>
          <w:rFonts w:ascii="David" w:hAnsi="David" w:cs="David" w:hint="cs"/>
          <w:b/>
          <w:bCs/>
          <w:sz w:val="24"/>
          <w:szCs w:val="24"/>
          <w:rtl/>
        </w:rPr>
        <w:lastRenderedPageBreak/>
        <w:t>הדחה בעדות בנסיבות מחמירות</w:t>
      </w:r>
      <w:r w:rsidRPr="00E7101E">
        <w:rPr>
          <w:rFonts w:ascii="David" w:hAnsi="David" w:cs="David" w:hint="cs"/>
          <w:sz w:val="24"/>
          <w:szCs w:val="24"/>
          <w:rtl/>
        </w:rPr>
        <w:t>, עבירה לפי סעיפים 246(ב), 249א ו-29 לחוק העונשין</w:t>
      </w:r>
      <w:r w:rsidR="00A72513" w:rsidRPr="00FA0D9B">
        <w:rPr>
          <w:rFonts w:ascii="David" w:hAnsi="David" w:cs="David" w:hint="cs"/>
          <w:b/>
          <w:bCs/>
          <w:sz w:val="24"/>
          <w:szCs w:val="24"/>
          <w:rtl/>
        </w:rPr>
        <w:t>;</w:t>
      </w:r>
      <w:r w:rsidRPr="00FA0D9B">
        <w:rPr>
          <w:rFonts w:ascii="David" w:hAnsi="David" w:cs="David" w:hint="cs"/>
          <w:b/>
          <w:bCs/>
          <w:sz w:val="24"/>
          <w:szCs w:val="24"/>
          <w:rtl/>
        </w:rPr>
        <w:t xml:space="preserve"> נסיון להטרדת עד בנסיבות מחמירות</w:t>
      </w:r>
      <w:r w:rsidRPr="00E7101E">
        <w:rPr>
          <w:rFonts w:ascii="David" w:hAnsi="David" w:cs="David" w:hint="cs"/>
          <w:sz w:val="24"/>
          <w:szCs w:val="24"/>
          <w:rtl/>
        </w:rPr>
        <w:t>, עבירה לפי סעיפים 249, 249א(5), 25 ו-29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היזק בחומר נפיץ (ארבע עבירות)</w:t>
      </w:r>
      <w:r w:rsidRPr="00E7101E">
        <w:rPr>
          <w:rFonts w:ascii="David" w:hAnsi="David" w:cs="David" w:hint="cs"/>
          <w:sz w:val="24"/>
          <w:szCs w:val="24"/>
          <w:rtl/>
        </w:rPr>
        <w:t>, עבירה לפי סעיפים 452, 454 ו-29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חבלה במזיד ברכב (ריבוי עבירות באישומים 1 ו-6)</w:t>
      </w:r>
      <w:r w:rsidRPr="00E7101E">
        <w:rPr>
          <w:rFonts w:ascii="David" w:hAnsi="David" w:cs="David" w:hint="cs"/>
          <w:sz w:val="24"/>
          <w:szCs w:val="24"/>
          <w:rtl/>
        </w:rPr>
        <w:t>, עבירה לפי סעיפים 413ה ו-29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הצתה (שתי עבירות)</w:t>
      </w:r>
      <w:r w:rsidRPr="00E7101E">
        <w:rPr>
          <w:rFonts w:ascii="David" w:hAnsi="David" w:cs="David" w:hint="cs"/>
          <w:sz w:val="24"/>
          <w:szCs w:val="24"/>
          <w:rtl/>
        </w:rPr>
        <w:t>, עבירה לפי סעיפים 448 רישא ו-29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התפרצות</w:t>
      </w:r>
      <w:r w:rsidRPr="00E7101E">
        <w:rPr>
          <w:rFonts w:ascii="David" w:hAnsi="David" w:cs="David" w:hint="cs"/>
          <w:sz w:val="24"/>
          <w:szCs w:val="24"/>
          <w:rtl/>
        </w:rPr>
        <w:t>, עבירה לפי סעיפים 407(ב) ו-29 לחוק העונשין</w:t>
      </w:r>
      <w:r w:rsidR="00A72513" w:rsidRPr="00E7101E">
        <w:rPr>
          <w:rFonts w:ascii="David" w:hAnsi="David" w:cs="David" w:hint="cs"/>
          <w:sz w:val="24"/>
          <w:szCs w:val="24"/>
          <w:rtl/>
        </w:rPr>
        <w:t>;</w:t>
      </w:r>
      <w:r w:rsidRPr="00E7101E">
        <w:rPr>
          <w:rFonts w:ascii="David" w:hAnsi="David" w:cs="David" w:hint="cs"/>
          <w:sz w:val="24"/>
          <w:szCs w:val="24"/>
          <w:rtl/>
        </w:rPr>
        <w:t xml:space="preserve"> </w:t>
      </w:r>
      <w:r w:rsidRPr="00FA0D9B">
        <w:rPr>
          <w:rFonts w:ascii="David" w:hAnsi="David" w:cs="David" w:hint="cs"/>
          <w:b/>
          <w:bCs/>
          <w:sz w:val="24"/>
          <w:szCs w:val="24"/>
          <w:rtl/>
        </w:rPr>
        <w:t>עבירות בנשק (עסקה אחרת)</w:t>
      </w:r>
      <w:r w:rsidRPr="00E7101E">
        <w:rPr>
          <w:rFonts w:ascii="David" w:hAnsi="David" w:cs="David" w:hint="cs"/>
          <w:sz w:val="24"/>
          <w:szCs w:val="24"/>
          <w:rtl/>
        </w:rPr>
        <w:t xml:space="preserve">, עבירה לפי סעיף 144(ב2) לחוק העונשין. </w:t>
      </w:r>
    </w:p>
    <w:p w:rsidR="002648C3" w:rsidRPr="00E7101E" w:rsidRDefault="00BC715A" w:rsidP="000A43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לאחר ניהול הוכחות, בית ה</w:t>
      </w:r>
      <w:r w:rsidR="00A72513" w:rsidRPr="00E7101E">
        <w:rPr>
          <w:rFonts w:ascii="David" w:hAnsi="David" w:cs="David" w:hint="cs"/>
          <w:sz w:val="24"/>
          <w:szCs w:val="24"/>
          <w:rtl/>
        </w:rPr>
        <w:t xml:space="preserve">משפט המחוזי בהכרעת הדין מיום 19.6.2014 </w:t>
      </w:r>
      <w:r w:rsidR="00CF6264" w:rsidRPr="00E7101E">
        <w:rPr>
          <w:rFonts w:ascii="David" w:hAnsi="David" w:cs="David" w:hint="cs"/>
          <w:sz w:val="24"/>
          <w:szCs w:val="24"/>
          <w:rtl/>
        </w:rPr>
        <w:t xml:space="preserve">הרשיע את התובע ברוב דעות </w:t>
      </w:r>
      <w:r w:rsidR="00A72513" w:rsidRPr="00E7101E">
        <w:rPr>
          <w:rFonts w:ascii="David" w:hAnsi="David" w:cs="David" w:hint="cs"/>
          <w:sz w:val="24"/>
          <w:szCs w:val="24"/>
          <w:rtl/>
        </w:rPr>
        <w:t>בשלושה מארבעת האישו</w:t>
      </w:r>
      <w:r w:rsidRPr="00E7101E">
        <w:rPr>
          <w:rFonts w:ascii="David" w:hAnsi="David" w:cs="David" w:hint="cs"/>
          <w:sz w:val="24"/>
          <w:szCs w:val="24"/>
          <w:rtl/>
        </w:rPr>
        <w:t>מים בפרשת הפגיעה בדניאל כהן (אישומים 4-6)</w:t>
      </w:r>
      <w:r w:rsidRPr="00E7101E">
        <w:rPr>
          <w:rStyle w:val="af8"/>
          <w:rFonts w:ascii="David" w:hAnsi="David" w:cs="David"/>
          <w:sz w:val="24"/>
          <w:szCs w:val="24"/>
          <w:rtl/>
        </w:rPr>
        <w:footnoteReference w:id="1"/>
      </w:r>
      <w:r w:rsidRPr="00E7101E">
        <w:rPr>
          <w:rFonts w:ascii="David" w:hAnsi="David" w:cs="David" w:hint="cs"/>
          <w:sz w:val="24"/>
          <w:szCs w:val="24"/>
          <w:rtl/>
        </w:rPr>
        <w:t xml:space="preserve"> </w:t>
      </w:r>
      <w:r w:rsidR="00CF6264" w:rsidRPr="00E7101E">
        <w:rPr>
          <w:rFonts w:ascii="David" w:hAnsi="David" w:cs="David" w:hint="cs"/>
          <w:sz w:val="24"/>
          <w:szCs w:val="24"/>
          <w:rtl/>
        </w:rPr>
        <w:t xml:space="preserve">, </w:t>
      </w:r>
      <w:r w:rsidRPr="00E7101E">
        <w:rPr>
          <w:rFonts w:ascii="David" w:hAnsi="David" w:cs="David" w:hint="cs"/>
          <w:sz w:val="24"/>
          <w:szCs w:val="24"/>
          <w:rtl/>
        </w:rPr>
        <w:t>ו</w:t>
      </w:r>
      <w:r w:rsidR="00CF6264" w:rsidRPr="00E7101E">
        <w:rPr>
          <w:rFonts w:ascii="David" w:hAnsi="David" w:cs="David" w:hint="cs"/>
          <w:sz w:val="24"/>
          <w:szCs w:val="24"/>
          <w:rtl/>
        </w:rPr>
        <w:t xml:space="preserve">כן הרשיע </w:t>
      </w:r>
      <w:r w:rsidR="00D84F91" w:rsidRPr="00E7101E">
        <w:rPr>
          <w:rFonts w:ascii="David" w:hAnsi="David" w:cs="David" w:hint="cs"/>
          <w:sz w:val="24"/>
          <w:szCs w:val="24"/>
          <w:rtl/>
        </w:rPr>
        <w:t xml:space="preserve">את התובע </w:t>
      </w:r>
      <w:r w:rsidR="00CF6264" w:rsidRPr="00E7101E">
        <w:rPr>
          <w:rFonts w:ascii="David" w:hAnsi="David" w:cs="David" w:hint="cs"/>
          <w:sz w:val="24"/>
          <w:szCs w:val="24"/>
          <w:rtl/>
        </w:rPr>
        <w:t xml:space="preserve">פה אחד </w:t>
      </w:r>
      <w:r w:rsidRPr="00E7101E">
        <w:rPr>
          <w:rFonts w:ascii="David" w:hAnsi="David" w:cs="David" w:hint="cs"/>
          <w:sz w:val="24"/>
          <w:szCs w:val="24"/>
          <w:rtl/>
        </w:rPr>
        <w:t xml:space="preserve">בשלושת האישומים </w:t>
      </w:r>
      <w:r w:rsidRPr="00DD7F9D">
        <w:rPr>
          <w:rFonts w:ascii="David" w:hAnsi="David" w:cs="David" w:hint="cs"/>
          <w:sz w:val="24"/>
          <w:szCs w:val="24"/>
          <w:rtl/>
        </w:rPr>
        <w:t>ב</w:t>
      </w:r>
      <w:r w:rsidRPr="00DD7F9D">
        <w:rPr>
          <w:rFonts w:ascii="David" w:hAnsi="David" w:cs="David" w:hint="cs"/>
          <w:b/>
          <w:bCs/>
          <w:sz w:val="24"/>
          <w:szCs w:val="24"/>
          <w:rtl/>
        </w:rPr>
        <w:t>פרשת ייעוץ זוגי</w:t>
      </w:r>
      <w:r w:rsidRPr="00E7101E">
        <w:rPr>
          <w:rFonts w:ascii="David" w:hAnsi="David" w:cs="David" w:hint="cs"/>
          <w:sz w:val="24"/>
          <w:szCs w:val="24"/>
          <w:rtl/>
        </w:rPr>
        <w:t xml:space="preserve"> (אישומים 13-15)</w:t>
      </w:r>
      <w:r w:rsidRPr="00E7101E">
        <w:rPr>
          <w:rStyle w:val="af8"/>
          <w:rFonts w:ascii="David" w:hAnsi="David" w:cs="David"/>
          <w:sz w:val="24"/>
          <w:szCs w:val="24"/>
          <w:rtl/>
        </w:rPr>
        <w:footnoteReference w:id="2"/>
      </w:r>
      <w:r w:rsidRPr="00E7101E">
        <w:rPr>
          <w:rFonts w:ascii="David" w:hAnsi="David" w:cs="David" w:hint="cs"/>
          <w:sz w:val="24"/>
          <w:szCs w:val="24"/>
          <w:rtl/>
        </w:rPr>
        <w:t>.</w:t>
      </w:r>
    </w:p>
    <w:p w:rsidR="00BC715A" w:rsidRPr="00DD7F9D" w:rsidRDefault="00BC715A" w:rsidP="00BC715A">
      <w:pPr>
        <w:keepLines/>
        <w:spacing w:before="120" w:line="360" w:lineRule="auto"/>
        <w:ind w:left="646"/>
        <w:jc w:val="both"/>
        <w:rPr>
          <w:rFonts w:ascii="David" w:hAnsi="David" w:cs="David"/>
          <w:b/>
          <w:bCs/>
          <w:sz w:val="24"/>
          <w:szCs w:val="24"/>
        </w:rPr>
      </w:pPr>
      <w:r w:rsidRPr="00E7101E">
        <w:rPr>
          <w:rFonts w:ascii="David" w:hAnsi="David" w:cs="David" w:hint="cs"/>
          <w:sz w:val="24"/>
          <w:szCs w:val="24"/>
          <w:rtl/>
        </w:rPr>
        <w:t xml:space="preserve">התובע זוכה </w:t>
      </w:r>
      <w:r w:rsidR="00D84F91" w:rsidRPr="00DD7F9D">
        <w:rPr>
          <w:rFonts w:ascii="David" w:hAnsi="David" w:cs="David" w:hint="cs"/>
          <w:b/>
          <w:bCs/>
          <w:sz w:val="24"/>
          <w:szCs w:val="24"/>
          <w:rtl/>
        </w:rPr>
        <w:t>מחמת הספק</w:t>
      </w:r>
      <w:r w:rsidR="00D84F91" w:rsidRPr="00E7101E">
        <w:rPr>
          <w:rFonts w:ascii="David" w:hAnsi="David" w:cs="David" w:hint="cs"/>
          <w:sz w:val="24"/>
          <w:szCs w:val="24"/>
          <w:rtl/>
        </w:rPr>
        <w:t xml:space="preserve"> </w:t>
      </w:r>
      <w:r w:rsidRPr="00E7101E">
        <w:rPr>
          <w:rFonts w:ascii="David" w:hAnsi="David" w:cs="David" w:hint="cs"/>
          <w:sz w:val="24"/>
          <w:szCs w:val="24"/>
          <w:rtl/>
        </w:rPr>
        <w:t xml:space="preserve">משבעה אישומים, שעניינם </w:t>
      </w:r>
      <w:r w:rsidRPr="00DD7F9D">
        <w:rPr>
          <w:rFonts w:ascii="David" w:hAnsi="David" w:cs="David" w:hint="cs"/>
          <w:b/>
          <w:bCs/>
          <w:sz w:val="24"/>
          <w:szCs w:val="24"/>
          <w:rtl/>
        </w:rPr>
        <w:t>פרשת הפגיעה בשוטה חובל</w:t>
      </w:r>
      <w:r w:rsidRPr="00E7101E">
        <w:rPr>
          <w:rFonts w:ascii="David" w:hAnsi="David" w:cs="David" w:hint="cs"/>
          <w:sz w:val="24"/>
          <w:szCs w:val="24"/>
          <w:rtl/>
        </w:rPr>
        <w:t xml:space="preserve">, </w:t>
      </w:r>
      <w:r w:rsidRPr="00DD7F9D">
        <w:rPr>
          <w:rFonts w:ascii="David" w:hAnsi="David" w:cs="David" w:hint="cs"/>
          <w:b/>
          <w:bCs/>
          <w:sz w:val="24"/>
          <w:szCs w:val="24"/>
          <w:rtl/>
        </w:rPr>
        <w:t>פרשת קשירת הקשר לפגוע ב-ע.ש. ופרשת הפגיעה במבנה הסינטולוגייה.</w:t>
      </w:r>
    </w:p>
    <w:p w:rsidR="00735371" w:rsidRPr="00E7101E" w:rsidRDefault="00735371" w:rsidP="003E6578">
      <w:pPr>
        <w:keepLines/>
        <w:spacing w:before="120" w:line="360" w:lineRule="auto"/>
        <w:ind w:left="646"/>
        <w:jc w:val="both"/>
        <w:rPr>
          <w:rFonts w:ascii="David" w:hAnsi="David" w:cs="David"/>
          <w:sz w:val="24"/>
          <w:szCs w:val="24"/>
        </w:rPr>
      </w:pPr>
      <w:r w:rsidRPr="00DD7F9D">
        <w:rPr>
          <w:rFonts w:ascii="David" w:hAnsi="David" w:cs="David" w:hint="cs"/>
          <w:b/>
          <w:bCs/>
          <w:sz w:val="24"/>
          <w:szCs w:val="24"/>
          <w:rtl/>
        </w:rPr>
        <w:t>התובע הורשע בעבירות</w:t>
      </w:r>
      <w:r w:rsidRPr="00E7101E">
        <w:rPr>
          <w:rFonts w:ascii="David" w:hAnsi="David" w:cs="David" w:hint="cs"/>
          <w:sz w:val="24"/>
          <w:szCs w:val="24"/>
          <w:rtl/>
        </w:rPr>
        <w:t>:</w:t>
      </w:r>
    </w:p>
    <w:p w:rsidR="00735371" w:rsidRPr="00E7101E" w:rsidRDefault="00735371" w:rsidP="004A5937">
      <w:pPr>
        <w:keepLines/>
        <w:spacing w:line="360" w:lineRule="auto"/>
        <w:ind w:left="646"/>
        <w:jc w:val="both"/>
        <w:rPr>
          <w:rFonts w:ascii="David" w:hAnsi="David" w:cs="David"/>
          <w:sz w:val="24"/>
          <w:szCs w:val="24"/>
        </w:rPr>
      </w:pPr>
      <w:r w:rsidRPr="00E7101E">
        <w:rPr>
          <w:rFonts w:ascii="David" w:hAnsi="David" w:cs="David" w:hint="cs"/>
          <w:sz w:val="24"/>
          <w:szCs w:val="24"/>
          <w:rtl/>
        </w:rPr>
        <w:t>חבלה בכוונה מחמירה (ריבוי עבירות, בשלושה אישומים שונים), קשירת קשר לפשע (שש עבירות לרבות קשירת קשר לרצח), ניסיון לשידול לרצח, ניסיון לחבלה בכוונה מחמירה, ניסיון לשידול לחבלה בכוונה מחמירה, שיבוש מהלכי משפט (שתי עבירות), עבירות בנשק (עסקה אחרת), ניסיון להטרדת עד והדחה בעדות.</w:t>
      </w:r>
    </w:p>
    <w:p w:rsidR="00735371" w:rsidRPr="00E7101E" w:rsidRDefault="00735371" w:rsidP="003E6578">
      <w:pPr>
        <w:keepLines/>
        <w:spacing w:before="120" w:line="360" w:lineRule="auto"/>
        <w:ind w:left="646"/>
        <w:jc w:val="both"/>
        <w:rPr>
          <w:rFonts w:ascii="David" w:hAnsi="David" w:cs="David"/>
          <w:sz w:val="24"/>
          <w:szCs w:val="24"/>
        </w:rPr>
      </w:pPr>
      <w:r w:rsidRPr="00DD7F9D">
        <w:rPr>
          <w:rFonts w:ascii="David" w:hAnsi="David" w:cs="David" w:hint="cs"/>
          <w:b/>
          <w:bCs/>
          <w:sz w:val="24"/>
          <w:szCs w:val="24"/>
          <w:rtl/>
        </w:rPr>
        <w:t>התובע זוכה מעבירות</w:t>
      </w:r>
      <w:r w:rsidRPr="00E7101E">
        <w:rPr>
          <w:rFonts w:ascii="David" w:hAnsi="David" w:cs="David" w:hint="cs"/>
          <w:sz w:val="24"/>
          <w:szCs w:val="24"/>
          <w:rtl/>
        </w:rPr>
        <w:t>:</w:t>
      </w:r>
    </w:p>
    <w:p w:rsidR="00735371" w:rsidRPr="00E7101E" w:rsidRDefault="003E6578" w:rsidP="004A5937">
      <w:pPr>
        <w:keepLines/>
        <w:spacing w:line="360" w:lineRule="auto"/>
        <w:ind w:left="646"/>
        <w:jc w:val="both"/>
        <w:rPr>
          <w:rFonts w:ascii="David" w:hAnsi="David" w:cs="David"/>
          <w:sz w:val="24"/>
          <w:szCs w:val="24"/>
          <w:rtl/>
        </w:rPr>
      </w:pPr>
      <w:r w:rsidRPr="00E7101E">
        <w:rPr>
          <w:rFonts w:ascii="David" w:hAnsi="David" w:cs="David" w:hint="cs"/>
          <w:sz w:val="24"/>
          <w:szCs w:val="24"/>
          <w:rtl/>
        </w:rPr>
        <w:t>חבלה בכוונה מחמירה, תקיפה בנסיבות מחמירות, קשירת קשר לפשע (חמש עבירות), הצתה (שתי עבירות), היזק בחומר נפיץ (שתי עבירות), חבלה במזיד ברכב (שתי עבירות) והתפרצות. באישום השישי המייחס למשיב פגיעה בדניאל כהן, זוכה התובע מעבירה של ניסיון רצח והורשע בעבירה של חבלה בכוונה מחמירה בגין אותם האירועים.</w:t>
      </w:r>
    </w:p>
    <w:p w:rsidR="00A72513" w:rsidRPr="00E7101E" w:rsidRDefault="00A72513" w:rsidP="000A43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ביום 14.9.2014 בית המשפט המחוזי גזר על התובע את העונשים הבאים:</w:t>
      </w:r>
    </w:p>
    <w:p w:rsidR="00A72513" w:rsidRPr="00E7101E" w:rsidRDefault="00A72513" w:rsidP="00E4116E">
      <w:pPr>
        <w:pStyle w:val="af4"/>
        <w:keepLines/>
        <w:numPr>
          <w:ilvl w:val="0"/>
          <w:numId w:val="33"/>
        </w:numPr>
        <w:tabs>
          <w:tab w:val="clear" w:pos="1440"/>
          <w:tab w:val="num" w:pos="1099"/>
        </w:tabs>
        <w:spacing w:line="360" w:lineRule="auto"/>
        <w:ind w:left="1099" w:hanging="425"/>
        <w:jc w:val="both"/>
        <w:rPr>
          <w:rFonts w:ascii="David" w:hAnsi="David" w:cs="David"/>
          <w:sz w:val="24"/>
          <w:szCs w:val="24"/>
        </w:rPr>
      </w:pPr>
      <w:r w:rsidRPr="00E7101E">
        <w:rPr>
          <w:rFonts w:ascii="David" w:hAnsi="David" w:cs="David" w:hint="cs"/>
          <w:sz w:val="24"/>
          <w:szCs w:val="24"/>
          <w:rtl/>
        </w:rPr>
        <w:t>8 שנות מאסר מיום מעצרו.</w:t>
      </w:r>
    </w:p>
    <w:p w:rsidR="00A72513" w:rsidRPr="00E7101E" w:rsidRDefault="00A72513" w:rsidP="00E4116E">
      <w:pPr>
        <w:pStyle w:val="af4"/>
        <w:keepLines/>
        <w:numPr>
          <w:ilvl w:val="0"/>
          <w:numId w:val="33"/>
        </w:numPr>
        <w:tabs>
          <w:tab w:val="clear" w:pos="1440"/>
          <w:tab w:val="num" w:pos="1099"/>
        </w:tabs>
        <w:spacing w:line="360" w:lineRule="auto"/>
        <w:ind w:left="1099" w:hanging="425"/>
        <w:jc w:val="both"/>
        <w:rPr>
          <w:rFonts w:ascii="David" w:hAnsi="David" w:cs="David"/>
          <w:sz w:val="24"/>
          <w:szCs w:val="24"/>
        </w:rPr>
      </w:pPr>
      <w:r w:rsidRPr="00E7101E">
        <w:rPr>
          <w:rFonts w:ascii="David" w:hAnsi="David" w:cs="David" w:hint="cs"/>
          <w:sz w:val="24"/>
          <w:szCs w:val="24"/>
          <w:rtl/>
        </w:rPr>
        <w:t>18 חודשי מאסר על תנאי שלא יעבור בתוך שלוש שנים מיום שחרורו ממאסר עבירה מהעבירות בהן הורשע, או עבירת אלימות מסוג פשע.</w:t>
      </w:r>
    </w:p>
    <w:p w:rsidR="00A72513" w:rsidRPr="00E7101E" w:rsidRDefault="00A72513" w:rsidP="00E4116E">
      <w:pPr>
        <w:pStyle w:val="af4"/>
        <w:keepLines/>
        <w:numPr>
          <w:ilvl w:val="0"/>
          <w:numId w:val="33"/>
        </w:numPr>
        <w:tabs>
          <w:tab w:val="clear" w:pos="1440"/>
          <w:tab w:val="num" w:pos="1099"/>
        </w:tabs>
        <w:spacing w:line="360" w:lineRule="auto"/>
        <w:ind w:left="1099" w:hanging="425"/>
        <w:jc w:val="both"/>
        <w:rPr>
          <w:rFonts w:ascii="David" w:hAnsi="David" w:cs="David"/>
          <w:sz w:val="24"/>
          <w:szCs w:val="24"/>
        </w:rPr>
      </w:pPr>
      <w:r w:rsidRPr="00E7101E">
        <w:rPr>
          <w:rFonts w:ascii="David" w:hAnsi="David" w:cs="David" w:hint="cs"/>
          <w:sz w:val="24"/>
          <w:szCs w:val="24"/>
          <w:rtl/>
        </w:rPr>
        <w:t>פיצוי לדניאל כהן בסכום של 100,000 ₪.</w:t>
      </w:r>
    </w:p>
    <w:p w:rsidR="00A72513" w:rsidRPr="00E7101E" w:rsidRDefault="00A72513" w:rsidP="000A43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ביום 28.10.2014 הוגשה הודעת ערעור מטעם המדינה</w:t>
      </w:r>
      <w:r w:rsidR="00023D11" w:rsidRPr="00E7101E">
        <w:rPr>
          <w:rFonts w:ascii="David" w:hAnsi="David" w:cs="David" w:hint="cs"/>
          <w:sz w:val="24"/>
          <w:szCs w:val="24"/>
          <w:rtl/>
        </w:rPr>
        <w:t xml:space="preserve"> לבית המשפט העליון (ע"פ 7314/14), וביום 29.10.14 הוגשה הודעת ערעור מטעם התובע לבית המשפט העליון (ע"פ 7253/14).</w:t>
      </w:r>
    </w:p>
    <w:p w:rsidR="00023D11" w:rsidRPr="00E7101E" w:rsidRDefault="00023D11" w:rsidP="0083326F">
      <w:pPr>
        <w:keepLines/>
        <w:spacing w:before="120" w:line="360" w:lineRule="auto"/>
        <w:ind w:left="646"/>
        <w:jc w:val="both"/>
        <w:rPr>
          <w:rFonts w:ascii="David" w:hAnsi="David" w:cs="David"/>
          <w:sz w:val="24"/>
          <w:szCs w:val="24"/>
          <w:rtl/>
        </w:rPr>
      </w:pPr>
      <w:r w:rsidRPr="00E7101E">
        <w:rPr>
          <w:rFonts w:ascii="David" w:hAnsi="David" w:cs="David" w:hint="cs"/>
          <w:sz w:val="24"/>
          <w:szCs w:val="24"/>
          <w:rtl/>
        </w:rPr>
        <w:t>ערעור המדינה כוון כנגד זיכויו של התובע מאישומים 1, 2 ו-7 המתארים את פרשת הפגיעה בשוטה חובל וקשירת קשר של</w:t>
      </w:r>
      <w:r w:rsidR="0083326F" w:rsidRPr="00E7101E">
        <w:rPr>
          <w:rFonts w:ascii="David" w:hAnsi="David" w:cs="David" w:hint="cs"/>
          <w:sz w:val="24"/>
          <w:szCs w:val="24"/>
          <w:rtl/>
        </w:rPr>
        <w:t xml:space="preserve"> התובע לפגוע בגרושתו ע.ש. וכנגד </w:t>
      </w:r>
      <w:r w:rsidRPr="00E7101E">
        <w:rPr>
          <w:rFonts w:ascii="David" w:hAnsi="David" w:cs="David" w:hint="cs"/>
          <w:sz w:val="24"/>
          <w:szCs w:val="24"/>
          <w:rtl/>
        </w:rPr>
        <w:t>העונש שנגזר על התובע בגין העבירות בהן הורשע.</w:t>
      </w:r>
    </w:p>
    <w:p w:rsidR="00023D11" w:rsidRPr="00E7101E" w:rsidRDefault="00023D11" w:rsidP="00023D11">
      <w:pPr>
        <w:keepLines/>
        <w:spacing w:before="120" w:line="360" w:lineRule="auto"/>
        <w:ind w:left="646"/>
        <w:jc w:val="both"/>
        <w:rPr>
          <w:rFonts w:ascii="David" w:hAnsi="David" w:cs="David"/>
          <w:sz w:val="24"/>
          <w:szCs w:val="24"/>
        </w:rPr>
      </w:pPr>
      <w:r w:rsidRPr="00E7101E">
        <w:rPr>
          <w:rFonts w:ascii="David" w:hAnsi="David" w:cs="David" w:hint="cs"/>
          <w:sz w:val="24"/>
          <w:szCs w:val="24"/>
          <w:rtl/>
        </w:rPr>
        <w:t>ערעורו של התובע הופנה כנגד הרשעתו באישומים 4-6</w:t>
      </w:r>
      <w:r w:rsidR="0083326F" w:rsidRPr="00E7101E">
        <w:rPr>
          <w:rFonts w:ascii="David" w:hAnsi="David" w:cs="David" w:hint="cs"/>
          <w:sz w:val="24"/>
          <w:szCs w:val="24"/>
          <w:rtl/>
        </w:rPr>
        <w:t xml:space="preserve"> ולחילופין כנגד חומרת העונש שנגזר עליו.</w:t>
      </w:r>
    </w:p>
    <w:p w:rsidR="0083326F" w:rsidRPr="00E7101E" w:rsidRDefault="0083326F" w:rsidP="000A43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lastRenderedPageBreak/>
        <w:t>ביום 16.11.2015 ניתן פסק</w:t>
      </w:r>
      <w:r w:rsidR="00945D37" w:rsidRPr="00E7101E">
        <w:rPr>
          <w:rFonts w:ascii="David" w:hAnsi="David" w:cs="David" w:hint="cs"/>
          <w:sz w:val="24"/>
          <w:szCs w:val="24"/>
          <w:rtl/>
        </w:rPr>
        <w:t xml:space="preserve"> דין בע"פ 7314/14 ו-ע"פ 7253/14</w:t>
      </w:r>
      <w:r w:rsidRPr="00E7101E">
        <w:rPr>
          <w:rFonts w:ascii="David" w:hAnsi="David" w:cs="David" w:hint="cs"/>
          <w:sz w:val="24"/>
          <w:szCs w:val="24"/>
          <w:rtl/>
        </w:rPr>
        <w:t xml:space="preserve"> במסגרת</w:t>
      </w:r>
      <w:r w:rsidR="00945D37" w:rsidRPr="00E7101E">
        <w:rPr>
          <w:rFonts w:ascii="David" w:hAnsi="David" w:cs="David" w:hint="cs"/>
          <w:sz w:val="24"/>
          <w:szCs w:val="24"/>
          <w:rtl/>
        </w:rPr>
        <w:t>ו</w:t>
      </w:r>
      <w:r w:rsidRPr="00E7101E">
        <w:rPr>
          <w:rFonts w:ascii="David" w:hAnsi="David" w:cs="David" w:hint="cs"/>
          <w:sz w:val="24"/>
          <w:szCs w:val="24"/>
          <w:rtl/>
        </w:rPr>
        <w:t xml:space="preserve"> נקבע ברוב דעות כי יש לזכות את התובע מחמת הספק מאישומים 4-6</w:t>
      </w:r>
      <w:r w:rsidR="007A0951" w:rsidRPr="00E7101E">
        <w:rPr>
          <w:rFonts w:ascii="David" w:hAnsi="David" w:cs="David" w:hint="cs"/>
          <w:sz w:val="24"/>
          <w:szCs w:val="24"/>
          <w:rtl/>
        </w:rPr>
        <w:t>,</w:t>
      </w:r>
      <w:r w:rsidR="00777FD4">
        <w:rPr>
          <w:rFonts w:ascii="David" w:hAnsi="David" w:cs="David" w:hint="cs"/>
          <w:sz w:val="24"/>
          <w:szCs w:val="24"/>
          <w:rtl/>
        </w:rPr>
        <w:t>זיכויו מאישומים 1-2 ו-7 מחמת הספק יישאר על כנו,</w:t>
      </w:r>
      <w:r w:rsidR="007A0951" w:rsidRPr="00E7101E">
        <w:rPr>
          <w:rFonts w:ascii="David" w:hAnsi="David" w:cs="David" w:hint="cs"/>
          <w:sz w:val="24"/>
          <w:szCs w:val="24"/>
          <w:rtl/>
        </w:rPr>
        <w:t xml:space="preserve"> וכן הוחלט פה אחד כי יש להחמיר את עונש המאסר בפועל שהושת על התובע בגין אישומים 13-15 </w:t>
      </w:r>
      <w:r w:rsidR="00945D37" w:rsidRPr="00E7101E">
        <w:rPr>
          <w:rFonts w:ascii="David" w:hAnsi="David" w:cs="David" w:hint="cs"/>
          <w:sz w:val="24"/>
          <w:szCs w:val="24"/>
          <w:rtl/>
        </w:rPr>
        <w:t>באורח</w:t>
      </w:r>
      <w:r w:rsidR="007A0951" w:rsidRPr="00E7101E">
        <w:rPr>
          <w:rFonts w:ascii="David" w:hAnsi="David" w:cs="David" w:hint="cs"/>
          <w:sz w:val="24"/>
          <w:szCs w:val="24"/>
          <w:rtl/>
        </w:rPr>
        <w:t xml:space="preserve"> ש</w:t>
      </w:r>
      <w:r w:rsidR="00945D37" w:rsidRPr="00E7101E">
        <w:rPr>
          <w:rFonts w:ascii="David" w:hAnsi="David" w:cs="David" w:hint="cs"/>
          <w:sz w:val="24"/>
          <w:szCs w:val="24"/>
          <w:rtl/>
        </w:rPr>
        <w:t xml:space="preserve">עונש המאסר </w:t>
      </w:r>
      <w:r w:rsidR="007A0951" w:rsidRPr="00E7101E">
        <w:rPr>
          <w:rFonts w:ascii="David" w:hAnsi="David" w:cs="David" w:hint="cs"/>
          <w:sz w:val="24"/>
          <w:szCs w:val="24"/>
          <w:rtl/>
        </w:rPr>
        <w:t>יעמוד על 66 חודשים חלף 24 חודשים שנגזרו על ידי בית המשפט המחוזי.</w:t>
      </w:r>
    </w:p>
    <w:p w:rsidR="007A0951" w:rsidRPr="00E7101E" w:rsidRDefault="007A0951" w:rsidP="00945D37">
      <w:pPr>
        <w:keepLines/>
        <w:spacing w:before="120" w:line="360" w:lineRule="auto"/>
        <w:ind w:left="674"/>
        <w:jc w:val="both"/>
        <w:rPr>
          <w:rFonts w:ascii="David" w:hAnsi="David" w:cs="David"/>
          <w:sz w:val="24"/>
          <w:szCs w:val="24"/>
        </w:rPr>
      </w:pPr>
      <w:r w:rsidRPr="00E7101E">
        <w:rPr>
          <w:rFonts w:ascii="David" w:hAnsi="David" w:cs="David" w:hint="cs"/>
          <w:sz w:val="24"/>
          <w:szCs w:val="24"/>
          <w:rtl/>
        </w:rPr>
        <w:t xml:space="preserve">עוד יצוין בהקשר זה, כי בהחלטת בית המשפט העליון הנכבד מיום 7.12.2015 נקבע כי סכום הפיצוי למתלונן דניאל כהן יעמוד על סך 50,000 ₪ חלף הסכום של 100,000 ₪ שנפסק בפסק דינו של בית המשפט המחוזי. </w:t>
      </w:r>
    </w:p>
    <w:p w:rsidR="00B52514" w:rsidRPr="00E7101E" w:rsidRDefault="00B52514" w:rsidP="000A434B">
      <w:pPr>
        <w:keepLines/>
        <w:numPr>
          <w:ilvl w:val="0"/>
          <w:numId w:val="21"/>
        </w:numPr>
        <w:spacing w:before="120" w:line="360" w:lineRule="auto"/>
        <w:ind w:left="646" w:hanging="289"/>
        <w:jc w:val="both"/>
        <w:rPr>
          <w:rFonts w:ascii="David" w:hAnsi="David" w:cs="David"/>
          <w:sz w:val="24"/>
          <w:szCs w:val="24"/>
          <w:rtl/>
        </w:rPr>
      </w:pPr>
      <w:r w:rsidRPr="00E7101E">
        <w:rPr>
          <w:rFonts w:ascii="David" w:hAnsi="David" w:cs="David" w:hint="cs"/>
          <w:sz w:val="24"/>
          <w:szCs w:val="24"/>
          <w:rtl/>
        </w:rPr>
        <w:t>להשלמת התמונה יצוין, כי כתב האישום המתוקן והמאוחד כנגד התובע כלל שלושה נאשמים נוספים. עניינו של נאשם 2, ניזאר בכר, הסתיים במחיקת כתב האישום בהסכמה, לאור קשיים ראייתים אשר התגלו במהלך ניהול התיק.</w:t>
      </w:r>
    </w:p>
    <w:p w:rsidR="00B52514" w:rsidRPr="00E7101E" w:rsidRDefault="00B52514" w:rsidP="000A434B">
      <w:pPr>
        <w:keepLines/>
        <w:numPr>
          <w:ilvl w:val="0"/>
          <w:numId w:val="21"/>
        </w:numPr>
        <w:spacing w:before="120" w:line="360" w:lineRule="auto"/>
        <w:ind w:left="646" w:hanging="289"/>
        <w:jc w:val="both"/>
        <w:rPr>
          <w:rFonts w:ascii="David" w:hAnsi="David" w:cs="David"/>
          <w:sz w:val="24"/>
          <w:szCs w:val="24"/>
          <w:rtl/>
        </w:rPr>
      </w:pPr>
      <w:r w:rsidRPr="00E7101E">
        <w:rPr>
          <w:rFonts w:ascii="David" w:hAnsi="David" w:cs="David" w:hint="cs"/>
          <w:sz w:val="24"/>
          <w:szCs w:val="24"/>
          <w:rtl/>
        </w:rPr>
        <w:t xml:space="preserve">עניינו של הנאשם 3, יוסף בן ניזאר בכר, הסתיים בהסדר טיעון, במסגרתו תוקן כתב האישום ונגזר על הנאשם 3 עונש מאסר בפועל של ארבע שנות מאסר, כאשר כתב האישום המתוקן בעניינו, כלל הרשעה בהצתות מבנה הסיינטולוגיה מהן זוכה התובע, פגיעה בשוטה חובל באמצעות שוקר ועבירות נשק, המתוארות באישומים 11-12 לכתב האישום, אשר לא יוחסו לתובע. </w:t>
      </w:r>
    </w:p>
    <w:p w:rsidR="00B46668" w:rsidRPr="00E7101E" w:rsidRDefault="00B46668" w:rsidP="00B46668">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 xml:space="preserve">עוד יצוין לשם השלמת התמונה, כי </w:t>
      </w:r>
      <w:r w:rsidRPr="00E7101E">
        <w:rPr>
          <w:rFonts w:ascii="David" w:hAnsi="David" w:cs="David"/>
          <w:sz w:val="24"/>
          <w:szCs w:val="24"/>
          <w:rtl/>
        </w:rPr>
        <w:t xml:space="preserve">ביום 17/11/13 ו- 26/1/14 הורשעו </w:t>
      </w:r>
      <w:r w:rsidRPr="00E7101E">
        <w:rPr>
          <w:rFonts w:ascii="David" w:hAnsi="David" w:cs="David" w:hint="cs"/>
          <w:sz w:val="24"/>
          <w:szCs w:val="24"/>
          <w:rtl/>
        </w:rPr>
        <w:t>רמזי, עבדי ובינקי</w:t>
      </w:r>
      <w:r w:rsidRPr="00E7101E">
        <w:rPr>
          <w:rFonts w:ascii="David" w:hAnsi="David" w:cs="David"/>
          <w:sz w:val="24"/>
          <w:szCs w:val="24"/>
          <w:rtl/>
        </w:rPr>
        <w:t xml:space="preserve"> על פי הודאתם בכתב האישום המתוקן במסגרת תפ"ח 34398-05-11 המייחס לכל אחד מה</w:t>
      </w:r>
      <w:r w:rsidRPr="00E7101E">
        <w:rPr>
          <w:rFonts w:ascii="David" w:hAnsi="David" w:cs="David" w:hint="cs"/>
          <w:sz w:val="24"/>
          <w:szCs w:val="24"/>
          <w:rtl/>
        </w:rPr>
        <w:t>ם</w:t>
      </w:r>
      <w:r w:rsidRPr="00E7101E">
        <w:rPr>
          <w:rFonts w:ascii="David" w:hAnsi="David" w:cs="David"/>
          <w:sz w:val="24"/>
          <w:szCs w:val="24"/>
          <w:rtl/>
        </w:rPr>
        <w:t xml:space="preserve"> חמישה אישומים (מתוכם 3 אישומים הרלבנטיים לתביעה בפנינו)</w:t>
      </w:r>
      <w:r w:rsidRPr="00E7101E">
        <w:rPr>
          <w:rFonts w:ascii="David" w:hAnsi="David" w:cs="David" w:hint="cs"/>
          <w:sz w:val="24"/>
          <w:szCs w:val="24"/>
          <w:rtl/>
        </w:rPr>
        <w:t>,</w:t>
      </w:r>
      <w:r w:rsidRPr="00E7101E">
        <w:rPr>
          <w:rFonts w:ascii="David" w:hAnsi="David" w:cs="David"/>
          <w:sz w:val="24"/>
          <w:szCs w:val="24"/>
          <w:rtl/>
        </w:rPr>
        <w:t xml:space="preserve"> וזאת על פי הסדר טיעון שחתמו המאשימה והקושרים ביום 26.11.13.</w:t>
      </w:r>
    </w:p>
    <w:p w:rsidR="00B46668" w:rsidRPr="00E7101E" w:rsidRDefault="00B46668" w:rsidP="00A06635">
      <w:pPr>
        <w:keepLines/>
        <w:spacing w:before="120" w:line="360" w:lineRule="auto"/>
        <w:ind w:left="646"/>
        <w:jc w:val="both"/>
        <w:rPr>
          <w:rFonts w:ascii="David" w:hAnsi="David" w:cs="David"/>
          <w:sz w:val="24"/>
          <w:szCs w:val="24"/>
        </w:rPr>
      </w:pPr>
      <w:r w:rsidRPr="00E7101E">
        <w:rPr>
          <w:rFonts w:ascii="David" w:hAnsi="David" w:cs="David" w:hint="cs"/>
          <w:sz w:val="24"/>
          <w:szCs w:val="24"/>
          <w:rtl/>
        </w:rPr>
        <w:t xml:space="preserve">העתק הסדר הטיעון מצ"ב ומסומן </w:t>
      </w:r>
      <w:r w:rsidRPr="00E7101E">
        <w:rPr>
          <w:rFonts w:ascii="David" w:hAnsi="David" w:cs="David" w:hint="cs"/>
          <w:sz w:val="24"/>
          <w:szCs w:val="24"/>
          <w:highlight w:val="yellow"/>
          <w:rtl/>
        </w:rPr>
        <w:t>כ</w:t>
      </w:r>
      <w:r w:rsidRPr="00A06635">
        <w:rPr>
          <w:rFonts w:ascii="David" w:hAnsi="David" w:cs="David" w:hint="cs"/>
          <w:b/>
          <w:bCs/>
          <w:sz w:val="24"/>
          <w:szCs w:val="24"/>
          <w:highlight w:val="yellow"/>
          <w:u w:val="single"/>
          <w:rtl/>
        </w:rPr>
        <w:t xml:space="preserve">נספח </w:t>
      </w:r>
      <w:r w:rsidR="00A06635" w:rsidRPr="00A06635">
        <w:rPr>
          <w:rFonts w:ascii="David" w:hAnsi="David" w:cs="David" w:hint="cs"/>
          <w:b/>
          <w:bCs/>
          <w:sz w:val="24"/>
          <w:szCs w:val="24"/>
          <w:highlight w:val="yellow"/>
          <w:u w:val="single"/>
          <w:rtl/>
        </w:rPr>
        <w:t>"1"</w:t>
      </w:r>
      <w:r w:rsidRPr="00E7101E">
        <w:rPr>
          <w:rFonts w:ascii="David" w:hAnsi="David" w:cs="David" w:hint="cs"/>
          <w:sz w:val="24"/>
          <w:szCs w:val="24"/>
          <w:rtl/>
        </w:rPr>
        <w:t xml:space="preserve"> לכתב ההגנה דנא.</w:t>
      </w:r>
    </w:p>
    <w:p w:rsidR="00B46668" w:rsidRPr="00E7101E" w:rsidRDefault="00B46668" w:rsidP="00B46668">
      <w:pPr>
        <w:keepLines/>
        <w:numPr>
          <w:ilvl w:val="0"/>
          <w:numId w:val="21"/>
        </w:numPr>
        <w:spacing w:before="120" w:line="360" w:lineRule="auto"/>
        <w:ind w:left="646" w:hanging="289"/>
        <w:jc w:val="both"/>
        <w:rPr>
          <w:rFonts w:ascii="David" w:hAnsi="David" w:cs="David"/>
          <w:sz w:val="24"/>
          <w:szCs w:val="24"/>
          <w:rtl/>
        </w:rPr>
      </w:pPr>
      <w:r w:rsidRPr="00E7101E">
        <w:rPr>
          <w:rFonts w:ascii="David" w:hAnsi="David" w:cs="David" w:hint="cs"/>
          <w:sz w:val="24"/>
          <w:szCs w:val="24"/>
          <w:rtl/>
        </w:rPr>
        <w:t>ב</w:t>
      </w:r>
      <w:r w:rsidRPr="00E7101E">
        <w:rPr>
          <w:rFonts w:ascii="David" w:hAnsi="David" w:cs="David"/>
          <w:sz w:val="24"/>
          <w:szCs w:val="24"/>
          <w:rtl/>
        </w:rPr>
        <w:t xml:space="preserve">הכרעת הדין </w:t>
      </w:r>
      <w:r w:rsidRPr="00E7101E">
        <w:rPr>
          <w:rFonts w:ascii="David" w:hAnsi="David" w:cs="David" w:hint="cs"/>
          <w:sz w:val="24"/>
          <w:szCs w:val="24"/>
          <w:rtl/>
        </w:rPr>
        <w:t xml:space="preserve">כבוד </w:t>
      </w:r>
      <w:r w:rsidRPr="00E7101E">
        <w:rPr>
          <w:rFonts w:ascii="David" w:hAnsi="David" w:cs="David"/>
          <w:sz w:val="24"/>
          <w:szCs w:val="24"/>
          <w:rtl/>
        </w:rPr>
        <w:t xml:space="preserve">בית המשפט קבע, כי כל האישומים נסבו על פעולות אלימות ועבירות נלוות שביצעו </w:t>
      </w:r>
      <w:r w:rsidRPr="00E7101E">
        <w:rPr>
          <w:rFonts w:ascii="David" w:hAnsi="David" w:cs="David" w:hint="cs"/>
          <w:sz w:val="24"/>
          <w:szCs w:val="24"/>
          <w:rtl/>
        </w:rPr>
        <w:t>הקושרים</w:t>
      </w:r>
      <w:r w:rsidRPr="00E7101E">
        <w:rPr>
          <w:rFonts w:ascii="David" w:hAnsi="David" w:cs="David"/>
          <w:sz w:val="24"/>
          <w:szCs w:val="24"/>
          <w:rtl/>
        </w:rPr>
        <w:t xml:space="preserve">, מרביתן ביוזמת גור פינקלשטיין שמימן את ביצוע העבירות שיזם. עניינם של האישומים נסב על פרשת הפגיעה בשוטה חובל, פרשת הפגיעה בדניאל כהן, פרשת הצתת מבנה הסיינטולוגיה, פרשת הפגיעה באליא זקאק ופרשת רכישת הרימונים. </w:t>
      </w:r>
    </w:p>
    <w:p w:rsidR="00B46668" w:rsidRPr="00E7101E" w:rsidRDefault="00B46668" w:rsidP="00A06635">
      <w:pPr>
        <w:keepLines/>
        <w:spacing w:before="120" w:line="360" w:lineRule="auto"/>
        <w:ind w:left="646"/>
        <w:jc w:val="both"/>
        <w:rPr>
          <w:rtl/>
        </w:rPr>
      </w:pPr>
      <w:r w:rsidRPr="00E7101E">
        <w:rPr>
          <w:rFonts w:ascii="David" w:hAnsi="David" w:cs="David" w:hint="cs"/>
          <w:sz w:val="24"/>
          <w:szCs w:val="24"/>
          <w:rtl/>
        </w:rPr>
        <w:t>העתק הכרעת הדין והכרעת הדין המשלימה מצ"ב ומסומ</w:t>
      </w:r>
      <w:r w:rsidR="00A06635">
        <w:rPr>
          <w:rFonts w:ascii="David" w:hAnsi="David" w:cs="David" w:hint="cs"/>
          <w:sz w:val="24"/>
          <w:szCs w:val="24"/>
          <w:rtl/>
        </w:rPr>
        <w:t>נים</w:t>
      </w:r>
      <w:r w:rsidRPr="00E7101E">
        <w:rPr>
          <w:rFonts w:ascii="David" w:hAnsi="David" w:cs="David" w:hint="cs"/>
          <w:sz w:val="24"/>
          <w:szCs w:val="24"/>
          <w:rtl/>
        </w:rPr>
        <w:t xml:space="preserve"> </w:t>
      </w:r>
      <w:r w:rsidRPr="00E7101E">
        <w:rPr>
          <w:rFonts w:ascii="David" w:hAnsi="David" w:cs="David" w:hint="cs"/>
          <w:sz w:val="24"/>
          <w:szCs w:val="24"/>
          <w:highlight w:val="yellow"/>
          <w:rtl/>
        </w:rPr>
        <w:t>כ</w:t>
      </w:r>
      <w:r w:rsidRPr="00A06635">
        <w:rPr>
          <w:rFonts w:ascii="David" w:hAnsi="David" w:cs="David" w:hint="cs"/>
          <w:b/>
          <w:bCs/>
          <w:sz w:val="24"/>
          <w:szCs w:val="24"/>
          <w:highlight w:val="yellow"/>
          <w:u w:val="single"/>
          <w:rtl/>
        </w:rPr>
        <w:t>נספח</w:t>
      </w:r>
      <w:r w:rsidR="00A06635" w:rsidRPr="00A06635">
        <w:rPr>
          <w:rFonts w:ascii="David" w:hAnsi="David" w:cs="David" w:hint="cs"/>
          <w:b/>
          <w:bCs/>
          <w:sz w:val="24"/>
          <w:szCs w:val="24"/>
          <w:highlight w:val="yellow"/>
          <w:u w:val="single"/>
          <w:rtl/>
        </w:rPr>
        <w:t xml:space="preserve">ים </w:t>
      </w:r>
      <w:r w:rsidR="00A06635">
        <w:rPr>
          <w:rFonts w:ascii="David" w:hAnsi="David" w:cs="David" w:hint="cs"/>
          <w:b/>
          <w:bCs/>
          <w:sz w:val="24"/>
          <w:szCs w:val="24"/>
          <w:highlight w:val="yellow"/>
          <w:u w:val="single"/>
          <w:rtl/>
        </w:rPr>
        <w:t>"</w:t>
      </w:r>
      <w:r w:rsidR="00A06635" w:rsidRPr="00A06635">
        <w:rPr>
          <w:rFonts w:ascii="David" w:hAnsi="David" w:cs="David" w:hint="cs"/>
          <w:b/>
          <w:bCs/>
          <w:sz w:val="24"/>
          <w:szCs w:val="24"/>
          <w:highlight w:val="yellow"/>
          <w:u w:val="single"/>
          <w:rtl/>
        </w:rPr>
        <w:t>2</w:t>
      </w:r>
      <w:r w:rsidR="00A06635">
        <w:rPr>
          <w:rFonts w:ascii="David" w:hAnsi="David" w:cs="David" w:hint="cs"/>
          <w:b/>
          <w:bCs/>
          <w:sz w:val="24"/>
          <w:szCs w:val="24"/>
          <w:highlight w:val="yellow"/>
          <w:u w:val="single"/>
          <w:rtl/>
        </w:rPr>
        <w:t>"</w:t>
      </w:r>
      <w:r w:rsidR="00A06635" w:rsidRPr="00A06635">
        <w:rPr>
          <w:rFonts w:ascii="David" w:hAnsi="David" w:cs="David" w:hint="cs"/>
          <w:b/>
          <w:bCs/>
          <w:sz w:val="24"/>
          <w:szCs w:val="24"/>
          <w:highlight w:val="yellow"/>
          <w:u w:val="single"/>
          <w:rtl/>
        </w:rPr>
        <w:t xml:space="preserve"> ו-</w:t>
      </w:r>
      <w:r w:rsidR="00A06635">
        <w:rPr>
          <w:rFonts w:ascii="David" w:hAnsi="David" w:cs="David" w:hint="cs"/>
          <w:b/>
          <w:bCs/>
          <w:sz w:val="24"/>
          <w:szCs w:val="24"/>
          <w:highlight w:val="yellow"/>
          <w:u w:val="single"/>
          <w:rtl/>
        </w:rPr>
        <w:t>"</w:t>
      </w:r>
      <w:r w:rsidR="00A06635" w:rsidRPr="00A06635">
        <w:rPr>
          <w:rFonts w:ascii="David" w:hAnsi="David" w:cs="David" w:hint="cs"/>
          <w:b/>
          <w:bCs/>
          <w:sz w:val="24"/>
          <w:szCs w:val="24"/>
          <w:highlight w:val="yellow"/>
          <w:u w:val="single"/>
          <w:rtl/>
        </w:rPr>
        <w:t>3</w:t>
      </w:r>
      <w:r w:rsidR="00A06635">
        <w:rPr>
          <w:rFonts w:ascii="David" w:hAnsi="David" w:cs="David" w:hint="cs"/>
          <w:b/>
          <w:bCs/>
          <w:sz w:val="24"/>
          <w:szCs w:val="24"/>
          <w:highlight w:val="yellow"/>
          <w:u w:val="single"/>
          <w:rtl/>
        </w:rPr>
        <w:t>"</w:t>
      </w:r>
      <w:r w:rsidR="00A06635" w:rsidRPr="00A06635">
        <w:rPr>
          <w:rFonts w:ascii="David" w:hAnsi="David" w:cs="David" w:hint="cs"/>
          <w:b/>
          <w:bCs/>
          <w:sz w:val="24"/>
          <w:szCs w:val="24"/>
          <w:highlight w:val="yellow"/>
          <w:u w:val="single"/>
          <w:rtl/>
        </w:rPr>
        <w:t xml:space="preserve"> בהתאמה</w:t>
      </w:r>
      <w:r w:rsidRPr="00A06635">
        <w:rPr>
          <w:rFonts w:ascii="David" w:hAnsi="David" w:cs="David" w:hint="cs"/>
          <w:b/>
          <w:bCs/>
          <w:sz w:val="24"/>
          <w:szCs w:val="24"/>
          <w:highlight w:val="yellow"/>
          <w:u w:val="single"/>
          <w:rtl/>
        </w:rPr>
        <w:t xml:space="preserve"> </w:t>
      </w:r>
      <w:r w:rsidRPr="00A06635">
        <w:rPr>
          <w:rFonts w:ascii="David" w:hAnsi="David" w:cs="David" w:hint="cs"/>
          <w:b/>
          <w:bCs/>
          <w:sz w:val="24"/>
          <w:szCs w:val="24"/>
          <w:u w:val="single"/>
          <w:rtl/>
        </w:rPr>
        <w:t xml:space="preserve"> </w:t>
      </w:r>
      <w:r w:rsidRPr="00E7101E">
        <w:rPr>
          <w:rFonts w:ascii="David" w:hAnsi="David" w:cs="David" w:hint="cs"/>
          <w:sz w:val="24"/>
          <w:szCs w:val="24"/>
          <w:rtl/>
        </w:rPr>
        <w:t>לכתב ההגנה דנא.</w:t>
      </w:r>
    </w:p>
    <w:p w:rsidR="006E44EE" w:rsidRPr="00DD7F9D" w:rsidRDefault="006E44EE" w:rsidP="006E44EE">
      <w:pPr>
        <w:keepLines/>
        <w:spacing w:before="120" w:line="360" w:lineRule="auto"/>
        <w:ind w:left="357"/>
        <w:jc w:val="both"/>
        <w:rPr>
          <w:rFonts w:ascii="David" w:hAnsi="David" w:cs="David"/>
          <w:b/>
          <w:bCs/>
          <w:sz w:val="24"/>
          <w:szCs w:val="24"/>
          <w:u w:val="single"/>
        </w:rPr>
      </w:pPr>
      <w:r w:rsidRPr="00DD7F9D">
        <w:rPr>
          <w:rFonts w:ascii="David" w:hAnsi="David" w:cs="David" w:hint="cs"/>
          <w:b/>
          <w:bCs/>
          <w:sz w:val="24"/>
          <w:szCs w:val="24"/>
          <w:u w:val="single"/>
          <w:rtl/>
        </w:rPr>
        <w:t xml:space="preserve">הליכי המעצר </w:t>
      </w:r>
    </w:p>
    <w:p w:rsidR="00A44BE9" w:rsidRPr="00E7101E" w:rsidRDefault="007A0951" w:rsidP="00E4116E">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 xml:space="preserve">התובע היה עצור החל </w:t>
      </w:r>
      <w:commentRangeStart w:id="7"/>
      <w:r w:rsidRPr="00E7101E">
        <w:rPr>
          <w:rFonts w:ascii="David" w:hAnsi="David" w:cs="David" w:hint="cs"/>
          <w:sz w:val="24"/>
          <w:szCs w:val="24"/>
          <w:rtl/>
        </w:rPr>
        <w:t>מיום 13.4.2011 ועד ליום 14.9.2014</w:t>
      </w:r>
      <w:commentRangeEnd w:id="7"/>
      <w:r w:rsidR="00231198">
        <w:rPr>
          <w:rStyle w:val="a8"/>
          <w:rFonts w:cs="David"/>
          <w:rtl/>
        </w:rPr>
        <w:commentReference w:id="7"/>
      </w:r>
      <w:r w:rsidRPr="00E7101E">
        <w:rPr>
          <w:rFonts w:ascii="David" w:hAnsi="David" w:cs="David" w:hint="cs"/>
          <w:sz w:val="24"/>
          <w:szCs w:val="24"/>
          <w:rtl/>
        </w:rPr>
        <w:t xml:space="preserve">. </w:t>
      </w:r>
      <w:r w:rsidR="006B2BA7" w:rsidRPr="00E7101E">
        <w:rPr>
          <w:rFonts w:ascii="David" w:hAnsi="David" w:cs="David" w:hint="cs"/>
          <w:sz w:val="24"/>
          <w:szCs w:val="24"/>
          <w:rtl/>
        </w:rPr>
        <w:t xml:space="preserve">יוטעם, כי ביום 19.5.11 יחד עם כתב האישום הוגשה בקשה למעצר עד תום ההליכים לפי סעיף 21(א) לחוק הסדר הדין הפלילי (סמכויות אכיפה </w:t>
      </w:r>
      <w:r w:rsidR="006B2BA7" w:rsidRPr="00E7101E">
        <w:rPr>
          <w:rFonts w:ascii="David" w:hAnsi="David" w:cs="David"/>
          <w:sz w:val="24"/>
          <w:szCs w:val="24"/>
          <w:rtl/>
        </w:rPr>
        <w:t>–</w:t>
      </w:r>
      <w:r w:rsidR="006B2BA7" w:rsidRPr="00E7101E">
        <w:rPr>
          <w:rFonts w:ascii="David" w:hAnsi="David" w:cs="David" w:hint="cs"/>
          <w:sz w:val="24"/>
          <w:szCs w:val="24"/>
          <w:rtl/>
        </w:rPr>
        <w:t xml:space="preserve"> מעצרים), התשנ"ו </w:t>
      </w:r>
      <w:r w:rsidR="006B2BA7" w:rsidRPr="00E7101E">
        <w:rPr>
          <w:rFonts w:ascii="David" w:hAnsi="David" w:cs="David"/>
          <w:sz w:val="24"/>
          <w:szCs w:val="24"/>
          <w:rtl/>
        </w:rPr>
        <w:t>–</w:t>
      </w:r>
      <w:r w:rsidR="006B2BA7" w:rsidRPr="00E7101E">
        <w:rPr>
          <w:rFonts w:ascii="David" w:hAnsi="David" w:cs="David" w:hint="cs"/>
          <w:sz w:val="24"/>
          <w:szCs w:val="24"/>
          <w:rtl/>
        </w:rPr>
        <w:t xml:space="preserve"> 1996.</w:t>
      </w:r>
    </w:p>
    <w:p w:rsidR="0050513F" w:rsidRDefault="0050513F" w:rsidP="0050513F">
      <w:pPr>
        <w:keepLines/>
        <w:spacing w:before="120" w:line="360" w:lineRule="auto"/>
        <w:ind w:left="646"/>
        <w:jc w:val="both"/>
        <w:rPr>
          <w:rFonts w:ascii="David" w:hAnsi="David" w:cs="David"/>
          <w:sz w:val="24"/>
          <w:szCs w:val="24"/>
        </w:rPr>
      </w:pPr>
      <w:r w:rsidRPr="00984F31">
        <w:rPr>
          <w:rFonts w:ascii="David" w:hAnsi="David" w:cs="David" w:hint="cs"/>
          <w:sz w:val="24"/>
          <w:szCs w:val="24"/>
          <w:rtl/>
        </w:rPr>
        <w:t xml:space="preserve">יצוין, כי בהתאם להוראות חוק סדר הדין הפלילי (סמכויות אכיפה </w:t>
      </w:r>
      <w:r w:rsidRPr="00984F31">
        <w:rPr>
          <w:rFonts w:ascii="David" w:hAnsi="David" w:cs="David"/>
          <w:sz w:val="24"/>
          <w:szCs w:val="24"/>
          <w:rtl/>
        </w:rPr>
        <w:t>–</w:t>
      </w:r>
      <w:r w:rsidRPr="00984F31">
        <w:rPr>
          <w:rFonts w:ascii="David" w:hAnsi="David" w:cs="David" w:hint="cs"/>
          <w:sz w:val="24"/>
          <w:szCs w:val="24"/>
          <w:rtl/>
        </w:rPr>
        <w:t xml:space="preserve"> מעצרים), התשנ"ו -1996 הוארך מעצר הימים של התובע מעבר ל-30 ימים לאחר קבלת אישור </w:t>
      </w:r>
      <w:r w:rsidR="00984F31" w:rsidRPr="00984F31">
        <w:rPr>
          <w:rFonts w:ascii="David" w:hAnsi="David" w:cs="David" w:hint="cs"/>
          <w:sz w:val="24"/>
          <w:szCs w:val="24"/>
          <w:rtl/>
        </w:rPr>
        <w:t>המשנה לפרקליט המדינה (עניינים פליליים) אשר לו הואצלה הסמכות המוקנית ל</w:t>
      </w:r>
      <w:r w:rsidRPr="00984F31">
        <w:rPr>
          <w:rFonts w:ascii="David" w:hAnsi="David" w:cs="David" w:hint="cs"/>
          <w:sz w:val="24"/>
          <w:szCs w:val="24"/>
          <w:rtl/>
        </w:rPr>
        <w:t>יועץ המשפטי לממשלה.</w:t>
      </w:r>
    </w:p>
    <w:p w:rsidR="006E44EE" w:rsidRPr="00E7101E" w:rsidRDefault="006B2BA7" w:rsidP="00E4116E">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 xml:space="preserve">ביום 19.7.11 </w:t>
      </w:r>
      <w:r w:rsidR="006E44EE" w:rsidRPr="00E7101E">
        <w:rPr>
          <w:rFonts w:ascii="David" w:hAnsi="David" w:cs="David" w:hint="cs"/>
          <w:sz w:val="24"/>
          <w:szCs w:val="24"/>
          <w:rtl/>
        </w:rPr>
        <w:t xml:space="preserve">ניתנה החלטה בבקשה למעצר עד תום ההליכים, </w:t>
      </w:r>
      <w:r w:rsidRPr="00E7101E">
        <w:rPr>
          <w:rFonts w:ascii="David" w:hAnsi="David" w:cs="David" w:hint="cs"/>
          <w:sz w:val="24"/>
          <w:szCs w:val="24"/>
          <w:rtl/>
        </w:rPr>
        <w:t xml:space="preserve">לאחר שמיעת טיעוני הצדדים הן בתמצית טיעונים בכתב והן בעל פה בדיון אשר התקיים ביום 12.7.11 </w:t>
      </w:r>
      <w:r w:rsidR="00703D7B" w:rsidRPr="00E7101E">
        <w:rPr>
          <w:rFonts w:ascii="David" w:hAnsi="David" w:cs="David" w:hint="cs"/>
          <w:sz w:val="24"/>
          <w:szCs w:val="24"/>
          <w:rtl/>
        </w:rPr>
        <w:t>ביחס לפרשות שוטה חובל ודניאל כהן בלבד</w:t>
      </w:r>
      <w:r w:rsidR="006E44EE" w:rsidRPr="00E7101E">
        <w:rPr>
          <w:rFonts w:ascii="David" w:hAnsi="David" w:cs="David" w:hint="cs"/>
          <w:sz w:val="24"/>
          <w:szCs w:val="24"/>
          <w:rtl/>
        </w:rPr>
        <w:t>.</w:t>
      </w:r>
    </w:p>
    <w:p w:rsidR="00A44BE9" w:rsidRPr="00E7101E" w:rsidRDefault="006B2BA7" w:rsidP="00E4116E">
      <w:pPr>
        <w:keepLines/>
        <w:spacing w:before="120" w:line="360" w:lineRule="auto"/>
        <w:ind w:left="646"/>
        <w:jc w:val="both"/>
        <w:rPr>
          <w:rFonts w:ascii="David" w:hAnsi="David" w:cs="David"/>
          <w:sz w:val="24"/>
          <w:szCs w:val="24"/>
          <w:rtl/>
        </w:rPr>
      </w:pPr>
      <w:r w:rsidRPr="00E7101E">
        <w:rPr>
          <w:rFonts w:ascii="David" w:hAnsi="David" w:cs="David" w:hint="cs"/>
          <w:sz w:val="24"/>
          <w:szCs w:val="24"/>
          <w:rtl/>
        </w:rPr>
        <w:lastRenderedPageBreak/>
        <w:t xml:space="preserve">כבוד השופט ציון קאפח </w:t>
      </w:r>
      <w:r w:rsidR="006E44EE" w:rsidRPr="00E7101E">
        <w:rPr>
          <w:rFonts w:ascii="David" w:hAnsi="David" w:cs="David" w:hint="cs"/>
          <w:sz w:val="24"/>
          <w:szCs w:val="24"/>
          <w:rtl/>
        </w:rPr>
        <w:t>קבע</w:t>
      </w:r>
      <w:r w:rsidRPr="00E7101E">
        <w:rPr>
          <w:rFonts w:ascii="David" w:hAnsi="David" w:cs="David" w:hint="cs"/>
          <w:sz w:val="24"/>
          <w:szCs w:val="24"/>
          <w:rtl/>
        </w:rPr>
        <w:t xml:space="preserve"> </w:t>
      </w:r>
      <w:r w:rsidR="006E44EE" w:rsidRPr="00E7101E">
        <w:rPr>
          <w:rFonts w:ascii="David" w:hAnsi="David" w:cs="David" w:hint="cs"/>
          <w:sz w:val="24"/>
          <w:szCs w:val="24"/>
          <w:rtl/>
        </w:rPr>
        <w:t>במסגרת ההחלטה</w:t>
      </w:r>
      <w:r w:rsidRPr="00E7101E">
        <w:rPr>
          <w:rFonts w:ascii="David" w:hAnsi="David" w:cs="David" w:hint="cs"/>
          <w:sz w:val="24"/>
          <w:szCs w:val="24"/>
          <w:rtl/>
        </w:rPr>
        <w:t xml:space="preserve">, בין היתר, כי </w:t>
      </w:r>
      <w:r w:rsidR="00703D7B" w:rsidRPr="00DD7F9D">
        <w:rPr>
          <w:rFonts w:ascii="David" w:hAnsi="David" w:cs="David" w:hint="cs"/>
          <w:b/>
          <w:bCs/>
          <w:sz w:val="24"/>
          <w:szCs w:val="24"/>
          <w:u w:val="single"/>
          <w:rtl/>
        </w:rPr>
        <w:t>קיימת תשתית ראייתית לכאורית נגד התובע ומסוכנותו עולה וזועקת מכל תג ותג בכתב האישום</w:t>
      </w:r>
      <w:r w:rsidR="00315706" w:rsidRPr="00E7101E">
        <w:rPr>
          <w:rFonts w:ascii="David" w:hAnsi="David" w:cs="David" w:hint="cs"/>
          <w:sz w:val="24"/>
          <w:szCs w:val="24"/>
          <w:rtl/>
        </w:rPr>
        <w:t>. כבוד השופט קאפח הורה בהחלטה זו על מעצרו של התובע עד תום ההליכים המשפטיים נגדו</w:t>
      </w:r>
      <w:r w:rsidR="00703D7B" w:rsidRPr="00E7101E">
        <w:rPr>
          <w:rFonts w:ascii="David" w:hAnsi="David" w:cs="David" w:hint="cs"/>
          <w:sz w:val="24"/>
          <w:szCs w:val="24"/>
          <w:rtl/>
        </w:rPr>
        <w:t xml:space="preserve">. </w:t>
      </w:r>
    </w:p>
    <w:p w:rsidR="00D65582" w:rsidRPr="00D65582" w:rsidRDefault="009755E8" w:rsidP="00D65582">
      <w:pPr>
        <w:pStyle w:val="af4"/>
        <w:keepLines/>
        <w:spacing w:before="120" w:line="360" w:lineRule="auto"/>
        <w:jc w:val="both"/>
        <w:rPr>
          <w:rFonts w:ascii="David" w:hAnsi="David" w:cs="David"/>
          <w:sz w:val="24"/>
          <w:szCs w:val="24"/>
          <w:rtl/>
        </w:rPr>
      </w:pPr>
      <w:r w:rsidRPr="00E7101E">
        <w:rPr>
          <w:rFonts w:ascii="David" w:hAnsi="David" w:cs="David" w:hint="cs"/>
          <w:sz w:val="24"/>
          <w:szCs w:val="24"/>
          <w:rtl/>
        </w:rPr>
        <w:t>יצוין, כי עובר למתן ההחלטה המנומקת בדבר מעצר התובע עד תום ההליכים ב"</w:t>
      </w:r>
      <w:r w:rsidRPr="00DD7F9D">
        <w:rPr>
          <w:rFonts w:ascii="David" w:hAnsi="David" w:cs="David" w:hint="cs"/>
          <w:b/>
          <w:bCs/>
          <w:sz w:val="24"/>
          <w:szCs w:val="24"/>
          <w:rtl/>
        </w:rPr>
        <w:t>פרשת זר סיגליות</w:t>
      </w:r>
      <w:r w:rsidRPr="00E7101E">
        <w:rPr>
          <w:rFonts w:ascii="David" w:hAnsi="David" w:cs="David" w:hint="cs"/>
          <w:sz w:val="24"/>
          <w:szCs w:val="24"/>
          <w:rtl/>
        </w:rPr>
        <w:t xml:space="preserve">" מסרו באי כוחו של התובע בהליך הפלילי </w:t>
      </w:r>
      <w:r w:rsidRPr="00DD7F9D">
        <w:rPr>
          <w:rFonts w:ascii="David" w:hAnsi="David" w:cs="David" w:hint="cs"/>
          <w:sz w:val="24"/>
          <w:szCs w:val="24"/>
          <w:rtl/>
        </w:rPr>
        <w:t xml:space="preserve">כי </w:t>
      </w:r>
      <w:r w:rsidRPr="00DD7F9D">
        <w:rPr>
          <w:rFonts w:ascii="David" w:hAnsi="David" w:cs="David" w:hint="cs"/>
          <w:b/>
          <w:bCs/>
          <w:sz w:val="24"/>
          <w:szCs w:val="24"/>
          <w:u w:val="single"/>
          <w:rtl/>
        </w:rPr>
        <w:t>הם מסכימים לבקשת המעצר עד תום ההליכים בעניינו של התובע ב"פרשת זר סיגליות"</w:t>
      </w:r>
    </w:p>
    <w:p w:rsidR="00B52514" w:rsidRPr="00E7101E" w:rsidRDefault="00B52514" w:rsidP="00B52514">
      <w:pPr>
        <w:pStyle w:val="af4"/>
        <w:keepLines/>
        <w:spacing w:before="120"/>
        <w:jc w:val="both"/>
        <w:rPr>
          <w:rFonts w:ascii="David" w:hAnsi="David" w:cs="David"/>
          <w:sz w:val="24"/>
          <w:szCs w:val="24"/>
          <w:highlight w:val="yellow"/>
          <w:rtl/>
        </w:rPr>
      </w:pPr>
    </w:p>
    <w:p w:rsidR="0030706E" w:rsidRPr="00E7101E" w:rsidRDefault="00315706" w:rsidP="00A06635">
      <w:pPr>
        <w:pStyle w:val="af4"/>
        <w:keepLines/>
        <w:spacing w:before="120" w:line="360" w:lineRule="auto"/>
        <w:jc w:val="both"/>
        <w:rPr>
          <w:rFonts w:ascii="David" w:hAnsi="David" w:cs="David"/>
          <w:sz w:val="24"/>
          <w:szCs w:val="24"/>
          <w:highlight w:val="yellow"/>
        </w:rPr>
      </w:pPr>
      <w:r w:rsidRPr="00974E51">
        <w:rPr>
          <w:rFonts w:ascii="David" w:hAnsi="David" w:cs="David" w:hint="cs"/>
          <w:b/>
          <w:bCs/>
          <w:sz w:val="24"/>
          <w:szCs w:val="24"/>
          <w:highlight w:val="yellow"/>
          <w:rtl/>
        </w:rPr>
        <w:t>מצ"ב</w:t>
      </w:r>
      <w:r w:rsidRPr="00E7101E">
        <w:rPr>
          <w:rFonts w:ascii="David" w:hAnsi="David" w:cs="David" w:hint="cs"/>
          <w:sz w:val="24"/>
          <w:szCs w:val="24"/>
          <w:highlight w:val="yellow"/>
          <w:rtl/>
        </w:rPr>
        <w:t xml:space="preserve"> כ</w:t>
      </w:r>
      <w:r w:rsidRPr="00974E51">
        <w:rPr>
          <w:rFonts w:ascii="David" w:hAnsi="David" w:cs="David" w:hint="cs"/>
          <w:b/>
          <w:bCs/>
          <w:sz w:val="24"/>
          <w:szCs w:val="24"/>
          <w:highlight w:val="yellow"/>
          <w:u w:val="single"/>
          <w:rtl/>
        </w:rPr>
        <w:t>נספח "</w:t>
      </w:r>
      <w:r w:rsidR="00A06635">
        <w:rPr>
          <w:rFonts w:ascii="David" w:hAnsi="David" w:cs="David" w:hint="cs"/>
          <w:b/>
          <w:bCs/>
          <w:sz w:val="24"/>
          <w:szCs w:val="24"/>
          <w:highlight w:val="yellow"/>
          <w:u w:val="single"/>
          <w:rtl/>
        </w:rPr>
        <w:t>4</w:t>
      </w:r>
      <w:r w:rsidRPr="00974E51">
        <w:rPr>
          <w:rFonts w:ascii="David" w:hAnsi="David" w:cs="David" w:hint="cs"/>
          <w:b/>
          <w:bCs/>
          <w:sz w:val="24"/>
          <w:szCs w:val="24"/>
          <w:highlight w:val="yellow"/>
          <w:u w:val="single"/>
          <w:rtl/>
        </w:rPr>
        <w:t xml:space="preserve">" </w:t>
      </w:r>
      <w:r w:rsidRPr="00E7101E">
        <w:rPr>
          <w:rFonts w:ascii="David" w:hAnsi="David" w:cs="David" w:hint="cs"/>
          <w:sz w:val="24"/>
          <w:szCs w:val="24"/>
          <w:rtl/>
        </w:rPr>
        <w:t>העתק ההחלטה מיום 19.7.11 במ"ת 34210-05-11 המורה על מעצר</w:t>
      </w:r>
      <w:r w:rsidR="009755E8" w:rsidRPr="00E7101E">
        <w:rPr>
          <w:rFonts w:ascii="David" w:hAnsi="David" w:cs="David" w:hint="cs"/>
          <w:sz w:val="24"/>
          <w:szCs w:val="24"/>
          <w:rtl/>
        </w:rPr>
        <w:t xml:space="preserve"> התובע עד תום ההליכים המשפטיים נגדו ב"פרשת זר סיגליות", </w:t>
      </w:r>
      <w:r w:rsidR="009755E8" w:rsidRPr="00974E51">
        <w:rPr>
          <w:rFonts w:ascii="David" w:hAnsi="David" w:cs="David" w:hint="cs"/>
          <w:b/>
          <w:bCs/>
          <w:sz w:val="24"/>
          <w:szCs w:val="24"/>
          <w:u w:val="single"/>
          <w:rtl/>
        </w:rPr>
        <w:t xml:space="preserve">וכנספח </w:t>
      </w:r>
      <w:r w:rsidR="009755E8" w:rsidRPr="00974E51">
        <w:rPr>
          <w:rFonts w:ascii="David" w:hAnsi="David" w:cs="David" w:hint="cs"/>
          <w:b/>
          <w:bCs/>
          <w:sz w:val="24"/>
          <w:szCs w:val="24"/>
          <w:highlight w:val="yellow"/>
          <w:u w:val="single"/>
          <w:rtl/>
        </w:rPr>
        <w:t>"</w:t>
      </w:r>
      <w:r w:rsidR="00A06635">
        <w:rPr>
          <w:rFonts w:ascii="David" w:hAnsi="David" w:cs="David" w:hint="cs"/>
          <w:b/>
          <w:bCs/>
          <w:sz w:val="24"/>
          <w:szCs w:val="24"/>
          <w:highlight w:val="yellow"/>
          <w:u w:val="single"/>
          <w:rtl/>
        </w:rPr>
        <w:t>5</w:t>
      </w:r>
      <w:r w:rsidR="009755E8" w:rsidRPr="00974E51">
        <w:rPr>
          <w:rFonts w:ascii="David" w:hAnsi="David" w:cs="David" w:hint="cs"/>
          <w:b/>
          <w:bCs/>
          <w:sz w:val="24"/>
          <w:szCs w:val="24"/>
          <w:highlight w:val="yellow"/>
          <w:u w:val="single"/>
          <w:rtl/>
        </w:rPr>
        <w:t>"</w:t>
      </w:r>
      <w:r w:rsidR="009755E8" w:rsidRPr="00E7101E">
        <w:rPr>
          <w:rFonts w:ascii="David" w:hAnsi="David" w:cs="David" w:hint="cs"/>
          <w:sz w:val="24"/>
          <w:szCs w:val="24"/>
          <w:highlight w:val="yellow"/>
          <w:rtl/>
        </w:rPr>
        <w:t xml:space="preserve"> </w:t>
      </w:r>
      <w:r w:rsidR="009755E8" w:rsidRPr="00E7101E">
        <w:rPr>
          <w:rFonts w:ascii="David" w:hAnsi="David" w:cs="David" w:hint="cs"/>
          <w:sz w:val="24"/>
          <w:szCs w:val="24"/>
          <w:rtl/>
        </w:rPr>
        <w:t>העתק פרוטוקול הדיון מיום 19.7.11 והחלטת כבוד השופט קאפח אשר דוחה את בקשת הסנגורים שלא ליתן החלטה מנומקת בעניין הבקשה למעצר עד תום ההליכים.</w:t>
      </w:r>
    </w:p>
    <w:p w:rsidR="007B74E3" w:rsidRPr="00E7101E" w:rsidRDefault="007B74E3" w:rsidP="000A43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 xml:space="preserve">עוד </w:t>
      </w:r>
      <w:r w:rsidR="00B52514" w:rsidRPr="00E7101E">
        <w:rPr>
          <w:rFonts w:ascii="David" w:hAnsi="David" w:cs="David" w:hint="cs"/>
          <w:sz w:val="24"/>
          <w:szCs w:val="24"/>
          <w:rtl/>
        </w:rPr>
        <w:t>יצוין</w:t>
      </w:r>
      <w:r w:rsidRPr="00E7101E">
        <w:rPr>
          <w:rFonts w:ascii="David" w:hAnsi="David" w:cs="David" w:hint="cs"/>
          <w:sz w:val="24"/>
          <w:szCs w:val="24"/>
          <w:rtl/>
        </w:rPr>
        <w:t>,</w:t>
      </w:r>
      <w:r w:rsidR="00B52514" w:rsidRPr="00E7101E">
        <w:rPr>
          <w:rFonts w:ascii="David" w:hAnsi="David" w:cs="David" w:hint="cs"/>
          <w:sz w:val="24"/>
          <w:szCs w:val="24"/>
          <w:rtl/>
        </w:rPr>
        <w:t xml:space="preserve"> כי ביום 16.7.2011 נעצר התובע גם בגין </w:t>
      </w:r>
      <w:r w:rsidR="00B52514" w:rsidRPr="00974E51">
        <w:rPr>
          <w:rFonts w:ascii="David" w:hAnsi="David" w:cs="David" w:hint="cs"/>
          <w:b/>
          <w:bCs/>
          <w:sz w:val="24"/>
          <w:szCs w:val="24"/>
          <w:rtl/>
        </w:rPr>
        <w:t>פרשת ייעוץ זוגי</w:t>
      </w:r>
      <w:r w:rsidR="00B52514" w:rsidRPr="00E7101E">
        <w:rPr>
          <w:rFonts w:ascii="David" w:hAnsi="David" w:cs="David" w:hint="cs"/>
          <w:sz w:val="24"/>
          <w:szCs w:val="24"/>
          <w:rtl/>
        </w:rPr>
        <w:t xml:space="preserve">. ביום 17.7.11 הובא התובע בפני שופט במסגרת תיק מ"י 26623-07-11 אשר הורו על מעצר ימים בהחלטות שונות עד ליום 28.7.11 המועד בו נעצר התובע עד תום ההליכים בגין </w:t>
      </w:r>
      <w:r w:rsidR="00B52514" w:rsidRPr="00974E51">
        <w:rPr>
          <w:rFonts w:ascii="David" w:hAnsi="David" w:cs="David" w:hint="cs"/>
          <w:b/>
          <w:bCs/>
          <w:sz w:val="24"/>
          <w:szCs w:val="24"/>
          <w:rtl/>
        </w:rPr>
        <w:t>פרשת ייעוץ זוגי</w:t>
      </w:r>
      <w:r w:rsidRPr="00974E51">
        <w:rPr>
          <w:rFonts w:ascii="David" w:hAnsi="David" w:cs="David" w:hint="cs"/>
          <w:b/>
          <w:bCs/>
          <w:sz w:val="24"/>
          <w:szCs w:val="24"/>
          <w:rtl/>
        </w:rPr>
        <w:t>.</w:t>
      </w:r>
      <w:r w:rsidRPr="00E7101E">
        <w:rPr>
          <w:rFonts w:ascii="David" w:hAnsi="David" w:cs="David" w:hint="cs"/>
          <w:sz w:val="24"/>
          <w:szCs w:val="24"/>
          <w:rtl/>
        </w:rPr>
        <w:t xml:space="preserve"> ההחלטה בעניין ניתנה</w:t>
      </w:r>
      <w:r w:rsidR="00B52514" w:rsidRPr="00E7101E">
        <w:rPr>
          <w:rFonts w:ascii="David" w:hAnsi="David" w:cs="David" w:hint="cs"/>
          <w:sz w:val="24"/>
          <w:szCs w:val="24"/>
          <w:rtl/>
        </w:rPr>
        <w:t xml:space="preserve"> על ידי כבוד השופטת דניה קרת-מאיר </w:t>
      </w:r>
      <w:r w:rsidRPr="00E7101E">
        <w:rPr>
          <w:rFonts w:ascii="David" w:hAnsi="David" w:cs="David" w:hint="cs"/>
          <w:sz w:val="24"/>
          <w:szCs w:val="24"/>
          <w:rtl/>
        </w:rPr>
        <w:t>ב</w:t>
      </w:r>
      <w:r w:rsidR="00B52514" w:rsidRPr="00E7101E">
        <w:rPr>
          <w:rFonts w:ascii="David" w:hAnsi="David" w:cs="David" w:hint="cs"/>
          <w:sz w:val="24"/>
          <w:szCs w:val="24"/>
          <w:rtl/>
        </w:rPr>
        <w:t>יום 28.7.11 ב</w:t>
      </w:r>
      <w:r w:rsidRPr="00E7101E">
        <w:rPr>
          <w:rFonts w:ascii="David" w:hAnsi="David" w:cs="David" w:hint="cs"/>
          <w:sz w:val="24"/>
          <w:szCs w:val="24"/>
          <w:rtl/>
        </w:rPr>
        <w:t xml:space="preserve">מסגרת תיק </w:t>
      </w:r>
      <w:r w:rsidR="00B52514" w:rsidRPr="00E7101E">
        <w:rPr>
          <w:rFonts w:ascii="David" w:hAnsi="David" w:cs="David" w:hint="cs"/>
          <w:sz w:val="24"/>
          <w:szCs w:val="24"/>
          <w:rtl/>
        </w:rPr>
        <w:t xml:space="preserve">מ"ת 49100-07-11. </w:t>
      </w:r>
    </w:p>
    <w:p w:rsidR="00B52514" w:rsidRPr="00E7101E" w:rsidRDefault="00B52514" w:rsidP="007B74E3">
      <w:pPr>
        <w:keepLines/>
        <w:spacing w:before="120" w:line="360" w:lineRule="auto"/>
        <w:ind w:left="720"/>
        <w:jc w:val="both"/>
        <w:rPr>
          <w:rFonts w:ascii="David" w:hAnsi="David" w:cs="David"/>
          <w:sz w:val="24"/>
          <w:szCs w:val="24"/>
        </w:rPr>
      </w:pPr>
      <w:r w:rsidRPr="00974E51">
        <w:rPr>
          <w:rFonts w:ascii="David" w:hAnsi="David" w:cs="David" w:hint="cs"/>
          <w:b/>
          <w:bCs/>
          <w:sz w:val="24"/>
          <w:szCs w:val="24"/>
          <w:u w:val="single"/>
          <w:rtl/>
        </w:rPr>
        <w:t>כל החלטות המעצר בעניינו של התובע בפרשת ייעוץ זוגי היו בהסכמת באי כוחו לרבות הסכמה לקיומן של ראיות לכאורה ולקיומה של עילת מעצר</w:t>
      </w:r>
      <w:r w:rsidRPr="00E7101E">
        <w:rPr>
          <w:rFonts w:ascii="David" w:hAnsi="David" w:cs="David" w:hint="cs"/>
          <w:sz w:val="24"/>
          <w:szCs w:val="24"/>
          <w:rtl/>
        </w:rPr>
        <w:t>.</w:t>
      </w:r>
    </w:p>
    <w:p w:rsidR="007A0951" w:rsidRPr="00E7101E" w:rsidRDefault="007A0951" w:rsidP="000A43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hint="cs"/>
          <w:sz w:val="24"/>
          <w:szCs w:val="24"/>
          <w:rtl/>
        </w:rPr>
        <w:t xml:space="preserve">התובע </w:t>
      </w:r>
      <w:r w:rsidR="007D0CA5" w:rsidRPr="00E7101E">
        <w:rPr>
          <w:rFonts w:ascii="David" w:hAnsi="David" w:cs="David" w:hint="cs"/>
          <w:sz w:val="24"/>
          <w:szCs w:val="24"/>
          <w:rtl/>
        </w:rPr>
        <w:t xml:space="preserve">שוחרר ממאסר ביום 02.10.16, והלכה למעשה, </w:t>
      </w:r>
      <w:r w:rsidR="0073275D" w:rsidRPr="00E7101E">
        <w:rPr>
          <w:rFonts w:ascii="David" w:hAnsi="David" w:cs="David" w:hint="cs"/>
          <w:sz w:val="24"/>
          <w:szCs w:val="24"/>
          <w:rtl/>
        </w:rPr>
        <w:t>ריצה מאסר בפועל בגין הרשעתו באישומים 13-15 מיום מעצרו ביום 13.4.11.</w:t>
      </w:r>
    </w:p>
    <w:p w:rsidR="002431BA" w:rsidRPr="00E7101E" w:rsidRDefault="002431BA" w:rsidP="002431BA">
      <w:pPr>
        <w:spacing w:before="120" w:line="360" w:lineRule="auto"/>
        <w:ind w:left="357"/>
        <w:rPr>
          <w:rFonts w:ascii="David" w:hAnsi="David" w:cs="David"/>
          <w:sz w:val="28"/>
          <w:szCs w:val="28"/>
        </w:rPr>
      </w:pPr>
      <w:r w:rsidRPr="00974E51">
        <w:rPr>
          <w:rFonts w:ascii="David" w:hAnsi="David" w:cs="David"/>
          <w:b/>
          <w:bCs/>
          <w:sz w:val="28"/>
          <w:szCs w:val="28"/>
          <w:rtl/>
        </w:rPr>
        <w:t>ג.</w:t>
      </w:r>
      <w:r w:rsidRPr="00E7101E">
        <w:rPr>
          <w:rFonts w:ascii="David" w:hAnsi="David" w:cs="David"/>
          <w:sz w:val="28"/>
          <w:szCs w:val="28"/>
          <w:rtl/>
        </w:rPr>
        <w:t xml:space="preserve">   </w:t>
      </w:r>
      <w:r w:rsidRPr="00424BFC">
        <w:rPr>
          <w:rFonts w:ascii="David" w:hAnsi="David" w:cs="David"/>
          <w:b/>
          <w:bCs/>
          <w:sz w:val="28"/>
          <w:szCs w:val="28"/>
          <w:u w:val="double"/>
          <w:rtl/>
        </w:rPr>
        <w:t>טענות הנתבעת בתמצית</w:t>
      </w:r>
    </w:p>
    <w:p w:rsidR="002431BA" w:rsidRPr="00E7101E" w:rsidRDefault="002431BA" w:rsidP="000A434B">
      <w:pPr>
        <w:keepLines/>
        <w:numPr>
          <w:ilvl w:val="0"/>
          <w:numId w:val="21"/>
        </w:numPr>
        <w:spacing w:before="120" w:line="360" w:lineRule="auto"/>
        <w:ind w:left="646" w:hanging="289"/>
        <w:jc w:val="both"/>
        <w:rPr>
          <w:rFonts w:ascii="David" w:hAnsi="David" w:cs="David"/>
          <w:sz w:val="24"/>
          <w:szCs w:val="24"/>
        </w:rPr>
      </w:pPr>
      <w:r w:rsidRPr="00E7101E">
        <w:rPr>
          <w:rFonts w:ascii="David" w:hAnsi="David" w:cs="David"/>
          <w:sz w:val="24"/>
          <w:szCs w:val="24"/>
          <w:rtl/>
        </w:rPr>
        <w:t>בידי משטרת ישראל נאספו ראיות שהע</w:t>
      </w:r>
      <w:r w:rsidR="00767780" w:rsidRPr="00E7101E">
        <w:rPr>
          <w:rFonts w:ascii="David" w:hAnsi="David" w:cs="David"/>
          <w:sz w:val="24"/>
          <w:szCs w:val="24"/>
          <w:rtl/>
        </w:rPr>
        <w:t>לו חשד מבוסס כי התובע ביצע</w:t>
      </w:r>
      <w:r w:rsidRPr="00E7101E">
        <w:rPr>
          <w:rFonts w:ascii="David" w:hAnsi="David" w:cs="David"/>
          <w:sz w:val="24"/>
          <w:szCs w:val="24"/>
          <w:rtl/>
        </w:rPr>
        <w:t xml:space="preserve"> את העבירות אשר יוחס ל</w:t>
      </w:r>
      <w:r w:rsidR="00767780" w:rsidRPr="00E7101E">
        <w:rPr>
          <w:rFonts w:ascii="David" w:hAnsi="David" w:cs="David" w:hint="cs"/>
          <w:sz w:val="24"/>
          <w:szCs w:val="24"/>
          <w:rtl/>
        </w:rPr>
        <w:t>ו</w:t>
      </w:r>
      <w:r w:rsidRPr="00E7101E">
        <w:rPr>
          <w:rFonts w:ascii="David" w:hAnsi="David" w:cs="David"/>
          <w:sz w:val="24"/>
          <w:szCs w:val="24"/>
          <w:rtl/>
        </w:rPr>
        <w:t xml:space="preserve"> בכתב האישום אשר הוגש כנגד</w:t>
      </w:r>
      <w:r w:rsidR="00767780" w:rsidRPr="00E7101E">
        <w:rPr>
          <w:rFonts w:ascii="David" w:hAnsi="David" w:cs="David" w:hint="cs"/>
          <w:sz w:val="24"/>
          <w:szCs w:val="24"/>
          <w:rtl/>
        </w:rPr>
        <w:t>ו</w:t>
      </w:r>
      <w:r w:rsidRPr="00E7101E">
        <w:rPr>
          <w:rFonts w:ascii="David" w:hAnsi="David" w:cs="David"/>
          <w:sz w:val="24"/>
          <w:szCs w:val="24"/>
          <w:rtl/>
        </w:rPr>
        <w:t>.</w:t>
      </w:r>
    </w:p>
    <w:p w:rsidR="002431BA" w:rsidRPr="00E7101E" w:rsidRDefault="002431BA" w:rsidP="00584D5E">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בהתאם לכך, </w:t>
      </w:r>
      <w:r w:rsidR="004A5937" w:rsidRPr="00E7101E">
        <w:rPr>
          <w:rFonts w:ascii="David" w:hAnsi="David" w:cs="David" w:hint="cs"/>
          <w:sz w:val="24"/>
          <w:szCs w:val="24"/>
          <w:rtl/>
        </w:rPr>
        <w:t xml:space="preserve">נדרשו </w:t>
      </w:r>
      <w:r w:rsidRPr="00E7101E">
        <w:rPr>
          <w:rFonts w:ascii="David" w:hAnsi="David" w:cs="David"/>
          <w:sz w:val="24"/>
          <w:szCs w:val="24"/>
          <w:rtl/>
        </w:rPr>
        <w:t>רשויות התביעה</w:t>
      </w:r>
      <w:r w:rsidR="004A5937" w:rsidRPr="00E7101E">
        <w:rPr>
          <w:rFonts w:ascii="David" w:hAnsi="David" w:cs="David" w:hint="cs"/>
          <w:sz w:val="24"/>
          <w:szCs w:val="24"/>
          <w:rtl/>
        </w:rPr>
        <w:t xml:space="preserve"> לבחינת התיק</w:t>
      </w:r>
      <w:r w:rsidR="00EC06C4" w:rsidRPr="00E7101E">
        <w:rPr>
          <w:rFonts w:ascii="David" w:hAnsi="David" w:cs="David" w:hint="cs"/>
          <w:sz w:val="24"/>
          <w:szCs w:val="24"/>
          <w:rtl/>
        </w:rPr>
        <w:t xml:space="preserve">, </w:t>
      </w:r>
      <w:r w:rsidRPr="00E7101E">
        <w:rPr>
          <w:rFonts w:ascii="David" w:hAnsi="David" w:cs="David"/>
          <w:sz w:val="24"/>
          <w:szCs w:val="24"/>
          <w:rtl/>
        </w:rPr>
        <w:t xml:space="preserve">ביקשו מהמשטרה להשלים מספר פעולות חקירה נוספות, בחנו את החומר שהיה בפניהם באותו שלב, </w:t>
      </w:r>
      <w:r w:rsidR="004A5937" w:rsidRPr="00E7101E">
        <w:rPr>
          <w:rFonts w:ascii="David" w:hAnsi="David" w:cs="David" w:hint="cs"/>
          <w:sz w:val="24"/>
          <w:szCs w:val="24"/>
          <w:rtl/>
        </w:rPr>
        <w:t>ו</w:t>
      </w:r>
      <w:r w:rsidRPr="00E7101E">
        <w:rPr>
          <w:rFonts w:ascii="David" w:hAnsi="David" w:cs="David"/>
          <w:sz w:val="24"/>
          <w:szCs w:val="24"/>
          <w:rtl/>
        </w:rPr>
        <w:t>מצאו כי אכן, על בסיס הראיות הללו, יש ח</w:t>
      </w:r>
      <w:r w:rsidR="00767780" w:rsidRPr="00E7101E">
        <w:rPr>
          <w:rFonts w:ascii="David" w:hAnsi="David" w:cs="David"/>
          <w:sz w:val="24"/>
          <w:szCs w:val="24"/>
          <w:rtl/>
        </w:rPr>
        <w:t xml:space="preserve">ובה </w:t>
      </w:r>
      <w:r w:rsidR="00777FD4">
        <w:rPr>
          <w:rFonts w:ascii="David" w:hAnsi="David" w:cs="David" w:hint="cs"/>
          <w:sz w:val="24"/>
          <w:szCs w:val="24"/>
          <w:rtl/>
        </w:rPr>
        <w:t xml:space="preserve">כאמור ברישא כתב ההגנה </w:t>
      </w:r>
      <w:r w:rsidR="00767780" w:rsidRPr="00E7101E">
        <w:rPr>
          <w:rFonts w:ascii="David" w:hAnsi="David" w:cs="David"/>
          <w:sz w:val="24"/>
          <w:szCs w:val="24"/>
          <w:rtl/>
        </w:rPr>
        <w:t>להגיש כתב אישום כנגד התובע</w:t>
      </w:r>
      <w:r w:rsidR="004A5937" w:rsidRPr="00E7101E">
        <w:rPr>
          <w:rFonts w:ascii="David" w:hAnsi="David" w:cs="David" w:hint="cs"/>
          <w:sz w:val="24"/>
          <w:szCs w:val="24"/>
          <w:rtl/>
        </w:rPr>
        <w:t xml:space="preserve"> והמעורבים הנוספים בפרשות</w:t>
      </w:r>
      <w:r w:rsidR="00767780" w:rsidRPr="00E7101E">
        <w:rPr>
          <w:rFonts w:ascii="David" w:hAnsi="David" w:cs="David"/>
          <w:sz w:val="24"/>
          <w:szCs w:val="24"/>
          <w:rtl/>
        </w:rPr>
        <w:t>, והבאת עניינ</w:t>
      </w:r>
      <w:r w:rsidR="004A5937" w:rsidRPr="00E7101E">
        <w:rPr>
          <w:rFonts w:ascii="David" w:hAnsi="David" w:cs="David" w:hint="cs"/>
          <w:sz w:val="24"/>
          <w:szCs w:val="24"/>
          <w:rtl/>
        </w:rPr>
        <w:t>ם</w:t>
      </w:r>
      <w:r w:rsidRPr="00E7101E">
        <w:rPr>
          <w:rFonts w:ascii="David" w:hAnsi="David" w:cs="David"/>
          <w:sz w:val="24"/>
          <w:szCs w:val="24"/>
          <w:rtl/>
        </w:rPr>
        <w:t xml:space="preserve"> להכרעת </w:t>
      </w:r>
      <w:r w:rsidR="004A5937" w:rsidRPr="00E7101E">
        <w:rPr>
          <w:rFonts w:ascii="David" w:hAnsi="David" w:cs="David" w:hint="cs"/>
          <w:sz w:val="24"/>
          <w:szCs w:val="24"/>
          <w:rtl/>
        </w:rPr>
        <w:t xml:space="preserve">כבוד </w:t>
      </w:r>
      <w:r w:rsidRPr="00E7101E">
        <w:rPr>
          <w:rFonts w:ascii="David" w:hAnsi="David" w:cs="David"/>
          <w:sz w:val="24"/>
          <w:szCs w:val="24"/>
          <w:rtl/>
        </w:rPr>
        <w:t>בית המשפט.</w:t>
      </w:r>
    </w:p>
    <w:p w:rsidR="002431BA" w:rsidRPr="00E7101E" w:rsidRDefault="002431BA" w:rsidP="00584D5E">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לאחר שקלול מכלול הנסיבות – הן במישור הראייתי והן במישור העניין לציבור – הגיעה המאשימה למסקנה, כי </w:t>
      </w:r>
      <w:r w:rsidRPr="00974E51">
        <w:rPr>
          <w:rFonts w:ascii="David" w:hAnsi="David" w:cs="David"/>
          <w:b/>
          <w:bCs/>
          <w:sz w:val="24"/>
          <w:szCs w:val="24"/>
          <w:rtl/>
        </w:rPr>
        <w:t>חובתה המקצועית והחוקית</w:t>
      </w:r>
      <w:r w:rsidRPr="00E7101E">
        <w:rPr>
          <w:rFonts w:ascii="David" w:hAnsi="David" w:cs="David"/>
          <w:sz w:val="24"/>
          <w:szCs w:val="24"/>
          <w:rtl/>
        </w:rPr>
        <w:t xml:space="preserve"> היא להביא את הדברים להכרעתו של בית המשפט המוסמך, כאמור בסעיף 62 לחוק סדר הדין הפלילי [נוסח משולב], תשמ"ב – 1982 (להלן: </w:t>
      </w:r>
      <w:r w:rsidRPr="00974E51">
        <w:rPr>
          <w:rFonts w:ascii="David" w:hAnsi="David" w:cs="David"/>
          <w:b/>
          <w:bCs/>
          <w:sz w:val="24"/>
          <w:szCs w:val="24"/>
          <w:rtl/>
        </w:rPr>
        <w:t>חוק סדר הדין הפלילי</w:t>
      </w:r>
      <w:r w:rsidRPr="00E7101E">
        <w:rPr>
          <w:rFonts w:ascii="David" w:hAnsi="David" w:cs="David"/>
          <w:sz w:val="24"/>
          <w:szCs w:val="24"/>
          <w:rtl/>
        </w:rPr>
        <w:t>) הקובע:</w:t>
      </w:r>
    </w:p>
    <w:p w:rsidR="002431BA" w:rsidRPr="00E7101E" w:rsidRDefault="002431BA" w:rsidP="002431BA">
      <w:pPr>
        <w:pStyle w:val="af2"/>
        <w:spacing w:before="120"/>
        <w:rPr>
          <w:b w:val="0"/>
          <w:bCs w:val="0"/>
          <w:sz w:val="24"/>
        </w:rPr>
      </w:pPr>
      <w:r w:rsidRPr="00E7101E">
        <w:rPr>
          <w:b w:val="0"/>
          <w:bCs w:val="0"/>
          <w:sz w:val="24"/>
          <w:rtl/>
        </w:rPr>
        <w:t>"</w:t>
      </w:r>
      <w:r w:rsidRPr="00974E51">
        <w:rPr>
          <w:sz w:val="24"/>
          <w:rtl/>
        </w:rPr>
        <w:t>ראה תובע שהועבר אליו חומר החקירה שהראיות מספיקות לאישום אדם פלוני, יעמידו לדין, זולת אם היה סבור שאין במשפט עניין לציבור</w:t>
      </w:r>
      <w:r w:rsidRPr="00E7101E">
        <w:rPr>
          <w:b w:val="0"/>
          <w:bCs w:val="0"/>
          <w:sz w:val="24"/>
          <w:rtl/>
        </w:rPr>
        <w:t>".</w:t>
      </w:r>
    </w:p>
    <w:p w:rsidR="002431BA" w:rsidRPr="00E7101E" w:rsidRDefault="002431BA" w:rsidP="00C51CEE">
      <w:pPr>
        <w:spacing w:before="120" w:line="360" w:lineRule="auto"/>
        <w:ind w:left="720"/>
        <w:jc w:val="both"/>
        <w:rPr>
          <w:rFonts w:ascii="David" w:hAnsi="David" w:cs="David"/>
          <w:sz w:val="24"/>
          <w:szCs w:val="24"/>
          <w:rtl/>
        </w:rPr>
      </w:pPr>
      <w:r w:rsidRPr="00E7101E">
        <w:rPr>
          <w:rFonts w:ascii="David" w:hAnsi="David" w:cs="David"/>
          <w:sz w:val="24"/>
          <w:szCs w:val="24"/>
          <w:rtl/>
        </w:rPr>
        <w:t>בידי המדינה היו ראיו</w:t>
      </w:r>
      <w:r w:rsidR="00C51CEE" w:rsidRPr="00E7101E">
        <w:rPr>
          <w:rFonts w:ascii="David" w:hAnsi="David" w:cs="David"/>
          <w:sz w:val="24"/>
          <w:szCs w:val="24"/>
          <w:rtl/>
        </w:rPr>
        <w:t>ת מספיקות להעמיד לדין את התובע</w:t>
      </w:r>
      <w:r w:rsidRPr="00E7101E">
        <w:rPr>
          <w:rFonts w:ascii="David" w:hAnsi="David" w:cs="David"/>
          <w:sz w:val="24"/>
          <w:szCs w:val="24"/>
          <w:rtl/>
        </w:rPr>
        <w:t xml:space="preserve"> כמו גם את הנאשמים האחרים בפרשה.</w:t>
      </w:r>
    </w:p>
    <w:p w:rsidR="00CD5A1B" w:rsidRPr="00E7101E" w:rsidRDefault="002431BA" w:rsidP="00CD5A1B">
      <w:pPr>
        <w:spacing w:before="120" w:line="360" w:lineRule="auto"/>
        <w:ind w:left="720"/>
        <w:jc w:val="both"/>
        <w:rPr>
          <w:rFonts w:ascii="David" w:hAnsi="David" w:cs="David"/>
          <w:sz w:val="24"/>
          <w:szCs w:val="24"/>
          <w:rtl/>
        </w:rPr>
      </w:pPr>
      <w:r w:rsidRPr="00E7101E">
        <w:rPr>
          <w:rFonts w:ascii="David" w:hAnsi="David" w:cs="David"/>
          <w:sz w:val="24"/>
          <w:szCs w:val="24"/>
          <w:rtl/>
        </w:rPr>
        <w:t xml:space="preserve">הראיות שהיו בידי המדינה </w:t>
      </w:r>
      <w:r w:rsidRPr="00974E51">
        <w:rPr>
          <w:rFonts w:ascii="David" w:hAnsi="David" w:cs="David"/>
          <w:b/>
          <w:bCs/>
          <w:sz w:val="24"/>
          <w:szCs w:val="24"/>
          <w:rtl/>
        </w:rPr>
        <w:t>עמדו למבחן שיפוטי</w:t>
      </w:r>
      <w:r w:rsidRPr="00E7101E">
        <w:rPr>
          <w:rFonts w:ascii="David" w:hAnsi="David" w:cs="David"/>
          <w:sz w:val="24"/>
          <w:szCs w:val="24"/>
          <w:rtl/>
        </w:rPr>
        <w:t>, בית המשפט המחוז</w:t>
      </w:r>
      <w:r w:rsidR="00CD5A1B" w:rsidRPr="00E7101E">
        <w:rPr>
          <w:rFonts w:ascii="David" w:hAnsi="David" w:cs="David"/>
          <w:sz w:val="24"/>
          <w:szCs w:val="24"/>
          <w:rtl/>
        </w:rPr>
        <w:t xml:space="preserve">י </w:t>
      </w:r>
      <w:r w:rsidR="00CD5A1B" w:rsidRPr="00974E51">
        <w:rPr>
          <w:rFonts w:ascii="David" w:hAnsi="David" w:cs="David"/>
          <w:sz w:val="24"/>
          <w:szCs w:val="24"/>
          <w:u w:val="single"/>
          <w:rtl/>
        </w:rPr>
        <w:t>קבע במהלך ההליך כי היה יסוד ל</w:t>
      </w:r>
      <w:r w:rsidRPr="00974E51">
        <w:rPr>
          <w:rFonts w:ascii="David" w:hAnsi="David" w:cs="David"/>
          <w:sz w:val="24"/>
          <w:szCs w:val="24"/>
          <w:u w:val="single"/>
          <w:rtl/>
        </w:rPr>
        <w:t>אשמה</w:t>
      </w:r>
      <w:r w:rsidRPr="00E7101E">
        <w:rPr>
          <w:rFonts w:ascii="David" w:hAnsi="David" w:cs="David"/>
          <w:sz w:val="24"/>
          <w:szCs w:val="24"/>
          <w:rtl/>
        </w:rPr>
        <w:t>, ובהכר</w:t>
      </w:r>
      <w:r w:rsidR="00CD5A1B" w:rsidRPr="00E7101E">
        <w:rPr>
          <w:rFonts w:ascii="David" w:hAnsi="David" w:cs="David"/>
          <w:sz w:val="24"/>
          <w:szCs w:val="24"/>
          <w:rtl/>
        </w:rPr>
        <w:t>עת הדין בבית המשפט המחוזי הורשע התובע</w:t>
      </w:r>
      <w:r w:rsidR="00CD5A1B" w:rsidRPr="00E7101E">
        <w:rPr>
          <w:rFonts w:ascii="David" w:hAnsi="David" w:cs="David" w:hint="cs"/>
          <w:sz w:val="24"/>
          <w:szCs w:val="24"/>
          <w:rtl/>
        </w:rPr>
        <w:t xml:space="preserve"> ברוב דעות בפרשת דניאל כהן           (אישומים 4-6) וכן הורשע פה אחד בפרשת ייעוץ זוגי. התובע זוכה מיתר האישומים </w:t>
      </w:r>
      <w:r w:rsidR="00CD5A1B" w:rsidRPr="00974E51">
        <w:rPr>
          <w:rFonts w:ascii="David" w:hAnsi="David" w:cs="David" w:hint="cs"/>
          <w:sz w:val="24"/>
          <w:szCs w:val="24"/>
          <w:u w:val="single"/>
          <w:rtl/>
        </w:rPr>
        <w:t>מחמת הספק</w:t>
      </w:r>
      <w:r w:rsidR="00CD5A1B" w:rsidRPr="00E7101E">
        <w:rPr>
          <w:rFonts w:ascii="David" w:hAnsi="David" w:cs="David" w:hint="cs"/>
          <w:sz w:val="24"/>
          <w:szCs w:val="24"/>
          <w:rtl/>
        </w:rPr>
        <w:t xml:space="preserve"> בלבד.  </w:t>
      </w:r>
      <w:r w:rsidRPr="00E7101E">
        <w:rPr>
          <w:rFonts w:ascii="David" w:hAnsi="David" w:cs="David"/>
          <w:sz w:val="24"/>
          <w:szCs w:val="24"/>
          <w:rtl/>
        </w:rPr>
        <w:t xml:space="preserve"> </w:t>
      </w:r>
    </w:p>
    <w:p w:rsidR="002431BA" w:rsidRPr="00E7101E" w:rsidRDefault="00C51CEE" w:rsidP="00CD5A1B">
      <w:pPr>
        <w:spacing w:before="120" w:line="360" w:lineRule="auto"/>
        <w:ind w:left="720"/>
        <w:jc w:val="both"/>
        <w:rPr>
          <w:rFonts w:ascii="David" w:hAnsi="David" w:cs="David"/>
          <w:sz w:val="24"/>
          <w:szCs w:val="24"/>
        </w:rPr>
      </w:pPr>
      <w:r w:rsidRPr="00E7101E">
        <w:rPr>
          <w:rFonts w:ascii="David" w:hAnsi="David" w:cs="David"/>
          <w:sz w:val="24"/>
          <w:szCs w:val="24"/>
          <w:rtl/>
        </w:rPr>
        <w:lastRenderedPageBreak/>
        <w:t>הנתבעת לא התרשלה כלפי התובע, ובטענות התובע</w:t>
      </w:r>
      <w:r w:rsidR="002431BA" w:rsidRPr="00E7101E">
        <w:rPr>
          <w:rFonts w:ascii="David" w:hAnsi="David" w:cs="David"/>
          <w:sz w:val="24"/>
          <w:szCs w:val="24"/>
          <w:rtl/>
        </w:rPr>
        <w:t xml:space="preserve"> בכתב התביעה אין כדי להצביע על רשלנות כלשהי מצד הנתבעת.</w:t>
      </w:r>
    </w:p>
    <w:p w:rsidR="002431BA" w:rsidRPr="00E7101E" w:rsidRDefault="002431BA" w:rsidP="004A5937">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החלטת המאשימה האם להעמיד לדין חשוד היא החלטה שלטונית ולמאשימה נתון שיקול דעת רחב מאוד בהערכה המקצועית של דיות הראיות. </w:t>
      </w:r>
    </w:p>
    <w:p w:rsidR="00CD5A1B" w:rsidRPr="00E7101E" w:rsidRDefault="002431BA" w:rsidP="00CD5A1B">
      <w:pPr>
        <w:overflowPunct w:val="0"/>
        <w:autoSpaceDE w:val="0"/>
        <w:autoSpaceDN w:val="0"/>
        <w:adjustRightInd w:val="0"/>
        <w:spacing w:before="120" w:line="360" w:lineRule="auto"/>
        <w:ind w:left="720"/>
        <w:jc w:val="both"/>
        <w:textAlignment w:val="baseline"/>
        <w:rPr>
          <w:rFonts w:ascii="David" w:hAnsi="David" w:cs="David"/>
          <w:sz w:val="24"/>
          <w:szCs w:val="24"/>
          <w:rtl/>
        </w:rPr>
      </w:pPr>
      <w:r w:rsidRPr="00E7101E">
        <w:rPr>
          <w:rFonts w:ascii="David" w:hAnsi="David" w:cs="David"/>
          <w:sz w:val="24"/>
          <w:szCs w:val="24"/>
          <w:rtl/>
        </w:rPr>
        <w:t>לטענת הנתבעת, די היה בראיות הקיימות אשר היו בתיק החקירה לצורך הגשת כתב אישום</w:t>
      </w:r>
      <w:r w:rsidR="00CD5A1B" w:rsidRPr="00E7101E">
        <w:rPr>
          <w:rFonts w:ascii="David" w:hAnsi="David" w:cs="David" w:hint="cs"/>
          <w:sz w:val="24"/>
          <w:szCs w:val="24"/>
          <w:rtl/>
        </w:rPr>
        <w:t xml:space="preserve"> נגד התובע</w:t>
      </w:r>
      <w:r w:rsidRPr="00E7101E">
        <w:rPr>
          <w:rFonts w:ascii="David" w:hAnsi="David" w:cs="David"/>
          <w:sz w:val="24"/>
          <w:szCs w:val="24"/>
          <w:rtl/>
        </w:rPr>
        <w:t xml:space="preserve"> והיא פעלה במסגרת החוק, </w:t>
      </w:r>
      <w:r w:rsidR="00C51CEE" w:rsidRPr="00E7101E">
        <w:rPr>
          <w:rFonts w:ascii="David" w:hAnsi="David" w:cs="David"/>
          <w:sz w:val="24"/>
          <w:szCs w:val="24"/>
          <w:rtl/>
        </w:rPr>
        <w:t>הדין והפסיקה, באורח סביר, מקובל</w:t>
      </w:r>
      <w:r w:rsidRPr="00E7101E">
        <w:rPr>
          <w:rFonts w:ascii="David" w:hAnsi="David" w:cs="David"/>
          <w:sz w:val="24"/>
          <w:szCs w:val="24"/>
          <w:rtl/>
        </w:rPr>
        <w:t>, מיומן ומקצועי והפעילה שיקול דעתה באורח סביר ופעלה כפי שרשות סבירה אמורה היתה לפעול בנסיבות המקרה.</w:t>
      </w:r>
    </w:p>
    <w:p w:rsidR="002431BA" w:rsidRPr="00E7101E" w:rsidRDefault="002431BA" w:rsidP="00CD5A1B">
      <w:pPr>
        <w:overflowPunct w:val="0"/>
        <w:autoSpaceDE w:val="0"/>
        <w:autoSpaceDN w:val="0"/>
        <w:adjustRightInd w:val="0"/>
        <w:spacing w:before="120" w:line="360" w:lineRule="auto"/>
        <w:ind w:left="720"/>
        <w:jc w:val="both"/>
        <w:textAlignment w:val="baseline"/>
        <w:rPr>
          <w:rFonts w:ascii="David" w:hAnsi="David" w:cs="David"/>
          <w:sz w:val="24"/>
          <w:szCs w:val="24"/>
          <w:rtl/>
        </w:rPr>
      </w:pPr>
      <w:r w:rsidRPr="00E7101E">
        <w:rPr>
          <w:rFonts w:ascii="David" w:hAnsi="David" w:cs="David"/>
          <w:sz w:val="24"/>
          <w:szCs w:val="24"/>
          <w:rtl/>
        </w:rPr>
        <w:t xml:space="preserve">לענין זה יפים דבריו של בית המשפט העליון בשבתו כבית משפט גבוה לצדק בענין 2534/97 </w:t>
      </w:r>
      <w:r w:rsidRPr="00974E51">
        <w:rPr>
          <w:rFonts w:ascii="David" w:hAnsi="David" w:cs="David"/>
          <w:b/>
          <w:bCs/>
          <w:sz w:val="24"/>
          <w:szCs w:val="24"/>
          <w:rtl/>
        </w:rPr>
        <w:t>ח"כ יהב ואח' נ' פרקליטות המדינה</w:t>
      </w:r>
      <w:r w:rsidRPr="00E7101E">
        <w:rPr>
          <w:rFonts w:ascii="David" w:hAnsi="David" w:cs="David"/>
          <w:sz w:val="24"/>
          <w:szCs w:val="24"/>
          <w:rtl/>
        </w:rPr>
        <w:t xml:space="preserve"> , פ"ד נא (3) :</w:t>
      </w:r>
    </w:p>
    <w:p w:rsidR="002431BA" w:rsidRPr="00974E51" w:rsidRDefault="002431BA" w:rsidP="002431BA">
      <w:pPr>
        <w:pStyle w:val="af2"/>
        <w:spacing w:before="120"/>
        <w:rPr>
          <w:sz w:val="24"/>
          <w:rtl/>
        </w:rPr>
      </w:pPr>
      <w:r w:rsidRPr="00E7101E">
        <w:rPr>
          <w:b w:val="0"/>
          <w:bCs w:val="0"/>
          <w:sz w:val="24"/>
          <w:rtl/>
        </w:rPr>
        <w:t>"</w:t>
      </w:r>
      <w:r w:rsidRPr="00974E51">
        <w:rPr>
          <w:sz w:val="24"/>
          <w:rtl/>
        </w:rPr>
        <w:t>כתב אישום אמור להיות מוגש באותם המקרים בהם שוכנע התובע כי קיים סיכוי סביר להרשעה...את ה</w:t>
      </w:r>
      <w:r w:rsidR="00C51CEE" w:rsidRPr="00974E51">
        <w:rPr>
          <w:sz w:val="24"/>
          <w:rtl/>
        </w:rPr>
        <w:t>מסקנה כי קיים סיכוי סביר להרשעה</w:t>
      </w:r>
      <w:r w:rsidRPr="00974E51">
        <w:rPr>
          <w:sz w:val="24"/>
          <w:rtl/>
        </w:rPr>
        <w:t>, בידי התובע לקבל על פי בחינה כפולה של חומר הראיות הגולמי והערכת סיכויי ההרשעה על פיו. כפי שציין הנשיא ברק בבש"פ 8087/95 זאדה נגד מדינת ישראל פ"ד נ(2) 133: ראיה לכאורה היא מטבעה ראיה גולמית. היא טרם עברה את כור ההיתוך של ההליך הפלילי. אין כל אפשרות להכריע על פיה את אשמתו או חפותו של נאשם ... "ראיה לכאורה" היא איפוא ראיה אשר טמון בה פוטנציאל ראיתי, אשר יוצר מהכוח אל הפועל בעתיד, בסיום ההליך השיפוטי. והדברים שנאמרו בהמשך לגבי שיקולו של השופט בדונו בבקשה למעצר עד תום ההליכים , יפים בהתאמה גם לגבי תובע:</w:t>
      </w:r>
    </w:p>
    <w:p w:rsidR="002431BA" w:rsidRPr="00E7101E" w:rsidRDefault="002431BA" w:rsidP="002431BA">
      <w:pPr>
        <w:pStyle w:val="af2"/>
        <w:rPr>
          <w:b w:val="0"/>
          <w:bCs w:val="0"/>
          <w:sz w:val="24"/>
        </w:rPr>
      </w:pPr>
      <w:r w:rsidRPr="00974E51">
        <w:rPr>
          <w:sz w:val="24"/>
          <w:rtl/>
        </w:rPr>
        <w:t>"בית המשפט בוחן את השאלה אם מתוך מכלול חומר החקירה, ניתן יהיה לשלוף בסוף ההליך השיפוטי תשתית עובדתית מרשיעה... מכל אלה יוצר לעצמו בית המשפט תמונה כוללת באשר לפוטנציאל הראיתי הטמון בחומר החקירה כלומר, אם קיים סיכוי סביר שמחומר חקירה זה תצמחנה בסוף המשפט ראיות אשר תבססנה את אשמת הנאשם"</w:t>
      </w:r>
      <w:r w:rsidRPr="00E7101E">
        <w:rPr>
          <w:b w:val="0"/>
          <w:bCs w:val="0"/>
          <w:sz w:val="24"/>
          <w:rtl/>
        </w:rPr>
        <w:t xml:space="preserve">. </w:t>
      </w:r>
    </w:p>
    <w:p w:rsidR="002431BA" w:rsidRPr="00E7101E" w:rsidRDefault="002431BA" w:rsidP="00E52263">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עמדת המדינה היא, כי יש לבחון את פעולותיה ואת ההחלטות שקיבלה על פי הנתונים שהיו בידיה בזמן אמת, לאור חומר הראיות הגולמי שהונח לפניה בעת הרלוונטית.</w:t>
      </w:r>
    </w:p>
    <w:p w:rsidR="002431BA" w:rsidRPr="00E7101E" w:rsidRDefault="002431BA" w:rsidP="00E52263">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עמדת המדינה היא, כי הפעלת ביקורת שיפוטית על ידי הערכאה האזרחית, </w:t>
      </w:r>
      <w:r w:rsidRPr="00974E51">
        <w:rPr>
          <w:rFonts w:ascii="David" w:hAnsi="David" w:cs="David"/>
          <w:b/>
          <w:bCs/>
          <w:sz w:val="24"/>
          <w:szCs w:val="24"/>
          <w:rtl/>
        </w:rPr>
        <w:t>בדיעבד</w:t>
      </w:r>
      <w:r w:rsidRPr="00E7101E">
        <w:rPr>
          <w:rFonts w:ascii="David" w:hAnsi="David" w:cs="David"/>
          <w:sz w:val="24"/>
          <w:szCs w:val="24"/>
          <w:rtl/>
        </w:rPr>
        <w:t xml:space="preserve">, על שיקול דעתה המקצועי של המאשימה </w:t>
      </w:r>
      <w:r w:rsidRPr="00974E51">
        <w:rPr>
          <w:rFonts w:ascii="David" w:hAnsi="David" w:cs="David"/>
          <w:b/>
          <w:bCs/>
          <w:sz w:val="24"/>
          <w:szCs w:val="24"/>
          <w:rtl/>
        </w:rPr>
        <w:t>בשקילת דיות הראיות</w:t>
      </w:r>
      <w:r w:rsidRPr="00E7101E">
        <w:rPr>
          <w:rFonts w:ascii="David" w:hAnsi="David" w:cs="David"/>
          <w:sz w:val="24"/>
          <w:szCs w:val="24"/>
          <w:rtl/>
        </w:rPr>
        <w:t xml:space="preserve"> בעת הגשת כתב האישום אינה מתיישבת עם הלכה אשר נקבעה בבית המשפט העליון. גבולות הביקורת השיפוטית האזרחית על התנהלות הרשויות צריכה להתמצות בבחינה האם נשקל שיקול פסול או בלתי ענייני בהעמדה לדין או האם נעלם מעיני הרשויות שיקול רלוונטי והאם מצויה ההחלטה שהתקבלה במתחם הסבירות.</w:t>
      </w:r>
    </w:p>
    <w:p w:rsidR="00E52263" w:rsidRPr="00E7101E" w:rsidRDefault="002431BA" w:rsidP="00E52263">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לאחר שקילת מכלול השיקולים, מצאו רשויות התביעה כי בהתחשב בראיות שנאספו ולאור מהות המעשים וחומרת העבירות, עומדים הם בסף הראייתי הנדרש במשפט פלילי לצורך הגשת כתב אישום, ומשכך לא יכולה להיות מחלוקת כי חובה היה על רשויות התביעה להגיש את כתב האישום. </w:t>
      </w:r>
    </w:p>
    <w:p w:rsidR="00EC06C4" w:rsidRPr="00E7101E" w:rsidRDefault="00EC06C4" w:rsidP="00EC06C4">
      <w:pPr>
        <w:keepLines/>
        <w:spacing w:before="120" w:line="360" w:lineRule="auto"/>
        <w:ind w:left="720"/>
        <w:jc w:val="both"/>
        <w:rPr>
          <w:rFonts w:ascii="David" w:hAnsi="David" w:cs="David"/>
          <w:sz w:val="24"/>
          <w:szCs w:val="24"/>
          <w:rtl/>
        </w:rPr>
      </w:pPr>
      <w:r w:rsidRPr="00E7101E">
        <w:rPr>
          <w:rFonts w:ascii="David" w:hAnsi="David" w:cs="David"/>
          <w:sz w:val="24"/>
          <w:szCs w:val="24"/>
          <w:rtl/>
        </w:rPr>
        <w:lastRenderedPageBreak/>
        <w:t>מעצר</w:t>
      </w:r>
      <w:r w:rsidRPr="00E7101E">
        <w:rPr>
          <w:rFonts w:ascii="David" w:hAnsi="David" w:cs="David" w:hint="cs"/>
          <w:sz w:val="24"/>
          <w:szCs w:val="24"/>
          <w:rtl/>
        </w:rPr>
        <w:t>ו</w:t>
      </w:r>
      <w:r w:rsidRPr="00E7101E">
        <w:rPr>
          <w:rFonts w:ascii="David" w:hAnsi="David" w:cs="David"/>
          <w:sz w:val="24"/>
          <w:szCs w:val="24"/>
          <w:rtl/>
        </w:rPr>
        <w:t xml:space="preserve"> של התובע נבח</w:t>
      </w:r>
      <w:r w:rsidRPr="00E7101E">
        <w:rPr>
          <w:rFonts w:ascii="David" w:hAnsi="David" w:cs="David" w:hint="cs"/>
          <w:sz w:val="24"/>
          <w:szCs w:val="24"/>
          <w:rtl/>
        </w:rPr>
        <w:t>ן</w:t>
      </w:r>
      <w:r w:rsidRPr="00E7101E">
        <w:rPr>
          <w:rFonts w:ascii="David" w:hAnsi="David" w:cs="David"/>
          <w:sz w:val="24"/>
          <w:szCs w:val="24"/>
          <w:rtl/>
        </w:rPr>
        <w:t xml:space="preserve"> על ידי בתי המשפט, כאשר סוגיית מעצר</w:t>
      </w:r>
      <w:r w:rsidRPr="00E7101E">
        <w:rPr>
          <w:rFonts w:ascii="David" w:hAnsi="David" w:cs="David" w:hint="cs"/>
          <w:sz w:val="24"/>
          <w:szCs w:val="24"/>
          <w:rtl/>
        </w:rPr>
        <w:t>ו</w:t>
      </w:r>
      <w:r w:rsidRPr="00E7101E">
        <w:rPr>
          <w:rFonts w:ascii="David" w:hAnsi="David" w:cs="David"/>
          <w:sz w:val="24"/>
          <w:szCs w:val="24"/>
          <w:rtl/>
        </w:rPr>
        <w:t xml:space="preserve"> נדונה בבית המשפט, שסברו שיש לעוצר</w:t>
      </w:r>
      <w:r w:rsidRPr="00E7101E">
        <w:rPr>
          <w:rFonts w:ascii="David" w:hAnsi="David" w:cs="David" w:hint="cs"/>
          <w:sz w:val="24"/>
          <w:szCs w:val="24"/>
          <w:rtl/>
        </w:rPr>
        <w:t xml:space="preserve">ו עד תום ההליכים המשפטיים בענייננו. </w:t>
      </w:r>
      <w:r w:rsidRPr="00E7101E">
        <w:rPr>
          <w:rFonts w:ascii="David" w:hAnsi="David" w:cs="David"/>
          <w:sz w:val="24"/>
          <w:szCs w:val="24"/>
          <w:rtl/>
        </w:rPr>
        <w:t xml:space="preserve">בתי המשפט, בזמן אמת, לא ראו לנכון לבקר את עצם הגשת כתב האישום, </w:t>
      </w:r>
      <w:r w:rsidRPr="00974E51">
        <w:rPr>
          <w:rFonts w:ascii="David" w:hAnsi="David" w:cs="David"/>
          <w:b/>
          <w:bCs/>
          <w:sz w:val="24"/>
          <w:szCs w:val="24"/>
          <w:rtl/>
        </w:rPr>
        <w:t>ההפך הוא הנכון</w:t>
      </w:r>
      <w:r w:rsidRPr="00E7101E">
        <w:rPr>
          <w:rFonts w:ascii="David" w:hAnsi="David" w:cs="David"/>
          <w:sz w:val="24"/>
          <w:szCs w:val="24"/>
          <w:rtl/>
        </w:rPr>
        <w:t>. החלטות אלה הנחו את המדינה בפעולתה ועמדו לנגד עיניה בזמן אמת.</w:t>
      </w:r>
    </w:p>
    <w:p w:rsidR="002431BA" w:rsidRPr="00E7101E" w:rsidRDefault="002431BA" w:rsidP="00EC06C4">
      <w:pPr>
        <w:keepLines/>
        <w:spacing w:before="120" w:line="360" w:lineRule="auto"/>
        <w:ind w:left="720"/>
        <w:jc w:val="both"/>
        <w:rPr>
          <w:rFonts w:ascii="David" w:hAnsi="David" w:cs="David"/>
          <w:sz w:val="24"/>
          <w:szCs w:val="24"/>
        </w:rPr>
      </w:pPr>
      <w:r w:rsidRPr="00E7101E">
        <w:rPr>
          <w:rFonts w:ascii="David" w:hAnsi="David" w:cs="David"/>
          <w:sz w:val="24"/>
          <w:szCs w:val="24"/>
          <w:rtl/>
        </w:rPr>
        <w:t>יוטעם, כי הדבר אף בא לידי ביטוי בהכרעת הדין המרשיעה אשר ניתנה על ידי בית המשפט המחוזי, וכן בהחלטות בית המשפט, במועדים שונים, אשר מצאו אף הן ראיות לכאורה והאריכו בהתאם את מעצר</w:t>
      </w:r>
      <w:r w:rsidR="00C51CEE" w:rsidRPr="00E7101E">
        <w:rPr>
          <w:rFonts w:ascii="David" w:hAnsi="David" w:cs="David" w:hint="cs"/>
          <w:sz w:val="24"/>
          <w:szCs w:val="24"/>
          <w:rtl/>
        </w:rPr>
        <w:t>ו</w:t>
      </w:r>
      <w:r w:rsidR="00C51CEE" w:rsidRPr="00E7101E">
        <w:rPr>
          <w:rFonts w:ascii="David" w:hAnsi="David" w:cs="David"/>
          <w:sz w:val="24"/>
          <w:szCs w:val="24"/>
          <w:rtl/>
        </w:rPr>
        <w:t xml:space="preserve"> של התובע</w:t>
      </w:r>
      <w:r w:rsidRPr="00E7101E">
        <w:rPr>
          <w:rFonts w:ascii="David" w:hAnsi="David" w:cs="David"/>
          <w:sz w:val="24"/>
          <w:szCs w:val="24"/>
          <w:rtl/>
        </w:rPr>
        <w:t>.</w:t>
      </w:r>
    </w:p>
    <w:p w:rsidR="00C51CEE" w:rsidRPr="00E7101E" w:rsidRDefault="002431BA" w:rsidP="00EC06C4">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הנתבעת טוענת כי התובע מבקש, למעשה, מכבוד בית המשפט לקבוע כי סופ</w:t>
      </w:r>
      <w:r w:rsidR="00C51CEE" w:rsidRPr="00E7101E">
        <w:rPr>
          <w:rFonts w:ascii="David" w:hAnsi="David" w:cs="David" w:hint="cs"/>
          <w:sz w:val="24"/>
          <w:szCs w:val="24"/>
          <w:rtl/>
        </w:rPr>
        <w:t>ן</w:t>
      </w:r>
      <w:r w:rsidRPr="00E7101E">
        <w:rPr>
          <w:rFonts w:ascii="David" w:hAnsi="David" w:cs="David"/>
          <w:sz w:val="24"/>
          <w:szCs w:val="24"/>
          <w:rtl/>
        </w:rPr>
        <w:t xml:space="preserve"> של </w:t>
      </w:r>
      <w:r w:rsidR="00C51CEE" w:rsidRPr="00E7101E">
        <w:rPr>
          <w:rFonts w:ascii="David" w:hAnsi="David" w:cs="David" w:hint="cs"/>
          <w:sz w:val="24"/>
          <w:szCs w:val="24"/>
          <w:rtl/>
        </w:rPr>
        <w:t xml:space="preserve">חלק מן </w:t>
      </w:r>
      <w:r w:rsidRPr="00E7101E">
        <w:rPr>
          <w:rFonts w:ascii="David" w:hAnsi="David" w:cs="David"/>
          <w:sz w:val="24"/>
          <w:szCs w:val="24"/>
          <w:rtl/>
        </w:rPr>
        <w:t>הפרש</w:t>
      </w:r>
      <w:r w:rsidR="00C51CEE" w:rsidRPr="00E7101E">
        <w:rPr>
          <w:rFonts w:ascii="David" w:hAnsi="David" w:cs="David" w:hint="cs"/>
          <w:sz w:val="24"/>
          <w:szCs w:val="24"/>
          <w:rtl/>
        </w:rPr>
        <w:t>ות שעמדו בבסיס כתב האישום</w:t>
      </w:r>
      <w:r w:rsidRPr="00E7101E">
        <w:rPr>
          <w:rFonts w:ascii="David" w:hAnsi="David" w:cs="David"/>
          <w:sz w:val="24"/>
          <w:szCs w:val="24"/>
          <w:rtl/>
        </w:rPr>
        <w:t xml:space="preserve">, </w:t>
      </w:r>
      <w:r w:rsidRPr="00F10028">
        <w:rPr>
          <w:rFonts w:ascii="David" w:hAnsi="David" w:cs="David"/>
          <w:b/>
          <w:bCs/>
          <w:sz w:val="24"/>
          <w:szCs w:val="24"/>
          <w:rtl/>
        </w:rPr>
        <w:t>זיכוי מחמת הספק בערכאת הערעור</w:t>
      </w:r>
      <w:r w:rsidR="00C51CEE" w:rsidRPr="00F10028">
        <w:rPr>
          <w:rFonts w:ascii="David" w:hAnsi="David" w:cs="David" w:hint="cs"/>
          <w:b/>
          <w:bCs/>
          <w:sz w:val="24"/>
          <w:szCs w:val="24"/>
          <w:rtl/>
        </w:rPr>
        <w:t xml:space="preserve"> בדעת רוב</w:t>
      </w:r>
      <w:r w:rsidRPr="00E7101E">
        <w:rPr>
          <w:rFonts w:ascii="David" w:hAnsi="David" w:cs="David"/>
          <w:sz w:val="24"/>
          <w:szCs w:val="24"/>
          <w:rtl/>
        </w:rPr>
        <w:t xml:space="preserve">, מעיד על ראשיתה, </w:t>
      </w:r>
      <w:r w:rsidR="00EC06C4" w:rsidRPr="00E7101E">
        <w:rPr>
          <w:rFonts w:ascii="David" w:hAnsi="David" w:cs="David" w:hint="cs"/>
          <w:sz w:val="24"/>
          <w:szCs w:val="24"/>
          <w:rtl/>
        </w:rPr>
        <w:t>ולא כך הדבר.</w:t>
      </w:r>
    </w:p>
    <w:p w:rsidR="002431BA" w:rsidRPr="00E7101E" w:rsidRDefault="00C51CEE" w:rsidP="00A17F04">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 כמו-כן, מבקש התובע</w:t>
      </w:r>
      <w:r w:rsidR="002431BA" w:rsidRPr="00E7101E">
        <w:rPr>
          <w:rFonts w:ascii="David" w:hAnsi="David" w:cs="David"/>
          <w:sz w:val="24"/>
          <w:szCs w:val="24"/>
          <w:rtl/>
        </w:rPr>
        <w:t xml:space="preserve">, הלכה למעשה, כי בית המשפט הנכבד יתעלם מהשתלשלות הפרשה ומהכרסום שחל בראיות התביעה רק במהלך שמעית העדויות ואשר לא ניתן היה לצפותן קודם לכן, כרסום אשר הביא לכך שהמדינה ביקשה לזכות את התובע </w:t>
      </w:r>
      <w:r w:rsidR="002431BA" w:rsidRPr="00F10028">
        <w:rPr>
          <w:rFonts w:ascii="David" w:hAnsi="David" w:cs="David"/>
          <w:b/>
          <w:bCs/>
          <w:sz w:val="24"/>
          <w:szCs w:val="24"/>
          <w:rtl/>
        </w:rPr>
        <w:t>מחלק</w:t>
      </w:r>
      <w:r w:rsidR="00A17F04" w:rsidRPr="00F10028">
        <w:rPr>
          <w:rFonts w:ascii="David" w:hAnsi="David" w:cs="David" w:hint="cs"/>
          <w:b/>
          <w:bCs/>
          <w:sz w:val="24"/>
          <w:szCs w:val="24"/>
          <w:rtl/>
        </w:rPr>
        <w:t xml:space="preserve"> </w:t>
      </w:r>
      <w:r w:rsidR="002431BA" w:rsidRPr="00E7101E">
        <w:rPr>
          <w:rFonts w:ascii="David" w:hAnsi="David" w:cs="David"/>
          <w:sz w:val="24"/>
          <w:szCs w:val="24"/>
          <w:rtl/>
        </w:rPr>
        <w:t>מן האישומים א</w:t>
      </w:r>
      <w:r w:rsidR="00930425" w:rsidRPr="00E7101E">
        <w:rPr>
          <w:rFonts w:ascii="David" w:hAnsi="David" w:cs="David"/>
          <w:sz w:val="24"/>
          <w:szCs w:val="24"/>
          <w:rtl/>
        </w:rPr>
        <w:t>שר יוחסו לו בכתב האישום. התובע מבקש</w:t>
      </w:r>
      <w:r w:rsidR="00EC06C4" w:rsidRPr="00E7101E">
        <w:rPr>
          <w:rFonts w:ascii="David" w:hAnsi="David" w:cs="David"/>
          <w:sz w:val="24"/>
          <w:szCs w:val="24"/>
          <w:rtl/>
        </w:rPr>
        <w:t xml:space="preserve"> להסתמך על כך שזוכ</w:t>
      </w:r>
      <w:r w:rsidR="00EC06C4" w:rsidRPr="00E7101E">
        <w:rPr>
          <w:rFonts w:ascii="David" w:hAnsi="David" w:cs="David" w:hint="cs"/>
          <w:sz w:val="24"/>
          <w:szCs w:val="24"/>
          <w:rtl/>
        </w:rPr>
        <w:t>ה</w:t>
      </w:r>
      <w:r w:rsidR="002431BA" w:rsidRPr="00E7101E">
        <w:rPr>
          <w:rFonts w:ascii="David" w:hAnsi="David" w:cs="David"/>
          <w:sz w:val="24"/>
          <w:szCs w:val="24"/>
          <w:rtl/>
        </w:rPr>
        <w:t xml:space="preserve"> בסופו של יום</w:t>
      </w:r>
      <w:r w:rsidR="00EC06C4" w:rsidRPr="00E7101E">
        <w:rPr>
          <w:rFonts w:ascii="David" w:hAnsi="David" w:cs="David" w:hint="cs"/>
          <w:sz w:val="24"/>
          <w:szCs w:val="24"/>
          <w:rtl/>
        </w:rPr>
        <w:t xml:space="preserve"> על ידי שופטי הרוב</w:t>
      </w:r>
      <w:r w:rsidR="002431BA" w:rsidRPr="00E7101E">
        <w:rPr>
          <w:rFonts w:ascii="David" w:hAnsi="David" w:cs="David"/>
          <w:sz w:val="24"/>
          <w:szCs w:val="24"/>
          <w:rtl/>
        </w:rPr>
        <w:t xml:space="preserve">, </w:t>
      </w:r>
      <w:r w:rsidR="002431BA" w:rsidRPr="00F10028">
        <w:rPr>
          <w:rFonts w:ascii="David" w:hAnsi="David" w:cs="David"/>
          <w:b/>
          <w:bCs/>
          <w:sz w:val="24"/>
          <w:szCs w:val="24"/>
          <w:u w:val="single"/>
          <w:rtl/>
        </w:rPr>
        <w:t>מחמת הספק</w:t>
      </w:r>
      <w:r w:rsidR="002431BA" w:rsidRPr="00E7101E">
        <w:rPr>
          <w:rFonts w:ascii="David" w:hAnsi="David" w:cs="David"/>
          <w:sz w:val="24"/>
          <w:szCs w:val="24"/>
          <w:rtl/>
        </w:rPr>
        <w:t>, על מנת לטעון כי הנתבעת התרשלה בתפקידה ופעלה שלא בסבירות כאשר קיבלה את ההחלטה בדבר הגשת כתב האישום</w:t>
      </w:r>
      <w:r w:rsidR="00EC06C4" w:rsidRPr="00E7101E">
        <w:rPr>
          <w:rFonts w:ascii="David" w:hAnsi="David" w:cs="David" w:hint="cs"/>
          <w:sz w:val="24"/>
          <w:szCs w:val="24"/>
          <w:rtl/>
        </w:rPr>
        <w:t xml:space="preserve"> </w:t>
      </w:r>
      <w:r w:rsidR="00EC06C4" w:rsidRPr="00E7101E">
        <w:rPr>
          <w:rFonts w:ascii="David" w:hAnsi="David" w:cs="David"/>
          <w:sz w:val="24"/>
          <w:szCs w:val="24"/>
          <w:rtl/>
        </w:rPr>
        <w:t>–</w:t>
      </w:r>
      <w:r w:rsidR="00EC06C4" w:rsidRPr="00E7101E">
        <w:rPr>
          <w:rFonts w:ascii="David" w:hAnsi="David" w:cs="David" w:hint="cs"/>
          <w:sz w:val="24"/>
          <w:szCs w:val="24"/>
          <w:rtl/>
        </w:rPr>
        <w:t xml:space="preserve"> טענה זו דינה להידחות</w:t>
      </w:r>
      <w:r w:rsidR="002431BA" w:rsidRPr="00E7101E">
        <w:rPr>
          <w:rFonts w:ascii="David" w:hAnsi="David" w:cs="David"/>
          <w:sz w:val="24"/>
          <w:szCs w:val="24"/>
          <w:rtl/>
        </w:rPr>
        <w:t>.</w:t>
      </w:r>
    </w:p>
    <w:p w:rsidR="002431BA" w:rsidRPr="00E7101E" w:rsidRDefault="002431BA" w:rsidP="00C51CEE">
      <w:pPr>
        <w:spacing w:before="120" w:line="360" w:lineRule="auto"/>
        <w:ind w:left="720"/>
        <w:jc w:val="both"/>
        <w:rPr>
          <w:rFonts w:ascii="David" w:hAnsi="David" w:cs="David"/>
          <w:sz w:val="24"/>
          <w:szCs w:val="24"/>
          <w:rtl/>
        </w:rPr>
      </w:pPr>
      <w:r w:rsidRPr="00E7101E">
        <w:rPr>
          <w:rFonts w:ascii="David" w:hAnsi="David" w:cs="David"/>
          <w:sz w:val="24"/>
          <w:szCs w:val="24"/>
          <w:rtl/>
        </w:rPr>
        <w:t xml:space="preserve">בית המשפט הנכבד מופנה בעניין זה לדבריה של כבוד השופטת חיות בפסק הדין העקרוני המהווה הלכה מחייבת, אשר ניתן בע"א 3580/06 </w:t>
      </w:r>
      <w:r w:rsidRPr="00F10028">
        <w:rPr>
          <w:rFonts w:ascii="David" w:hAnsi="David" w:cs="David"/>
          <w:b/>
          <w:bCs/>
          <w:sz w:val="24"/>
          <w:szCs w:val="24"/>
          <w:rtl/>
        </w:rPr>
        <w:t>ע.מ. חגי יוסף ואח' נ' מדינת ישראל</w:t>
      </w:r>
      <w:r w:rsidRPr="00E7101E">
        <w:rPr>
          <w:rFonts w:ascii="David" w:hAnsi="David" w:cs="David"/>
          <w:sz w:val="24"/>
          <w:szCs w:val="24"/>
          <w:rtl/>
        </w:rPr>
        <w:t xml:space="preserve"> (פורסם באתר בתי המשפט, ניתן ביום 21/03/11), ואשר יפים לענייננו:</w:t>
      </w:r>
    </w:p>
    <w:p w:rsidR="002431BA" w:rsidRPr="00E7101E" w:rsidRDefault="002431BA" w:rsidP="002431BA">
      <w:pPr>
        <w:pStyle w:val="af2"/>
        <w:spacing w:before="120"/>
        <w:rPr>
          <w:b w:val="0"/>
          <w:bCs w:val="0"/>
          <w:sz w:val="24"/>
        </w:rPr>
      </w:pPr>
      <w:r w:rsidRPr="00E7101E">
        <w:rPr>
          <w:b w:val="0"/>
          <w:bCs w:val="0"/>
          <w:sz w:val="24"/>
          <w:rtl/>
        </w:rPr>
        <w:t>"</w:t>
      </w:r>
      <w:r w:rsidRPr="00F10028">
        <w:rPr>
          <w:sz w:val="24"/>
          <w:rtl/>
        </w:rPr>
        <w:t>ככל שבסבירות התנהלותם של גורמי החקירה עסקינן, יש לבחון את הדברים תוך מתן הדעת על כך שבמקרים רבים דומה מלאכתם של גורמים אלה להילוכו של אדם המגשש את דרכו באפילה והמחפש אחר נקודות אחיזה ראיתיות שיאירו את תמונת המצב ויאפשרו להביא את האשמים לדין. לא כל טעות הנעשית במהלך חקירה ובזמן אמת מהווה על כן הפרה של חובת הזהירות והתרשלות צד גורמי החקירה. אכן חוכמה "קטנה" בהקשר זה היא "החוכמה שלאחר מעשה", אותה מציג מי שהתמונה הנ</w:t>
      </w:r>
      <w:r w:rsidR="009443FB" w:rsidRPr="00F10028">
        <w:rPr>
          <w:rFonts w:hint="cs"/>
          <w:sz w:val="24"/>
          <w:rtl/>
        </w:rPr>
        <w:t>י</w:t>
      </w:r>
      <w:r w:rsidR="009443FB" w:rsidRPr="00F10028">
        <w:rPr>
          <w:sz w:val="24"/>
          <w:rtl/>
        </w:rPr>
        <w:t>צ</w:t>
      </w:r>
      <w:r w:rsidRPr="00F10028">
        <w:rPr>
          <w:sz w:val="24"/>
          <w:rtl/>
        </w:rPr>
        <w:t>בת בפניו כבר מוארת, בהעלותו כנגד גורמי החקירה טרוניה על כך שלא הבחינו או לא ייחסו חשיבות לרסיס מידע כזה או אחר. לטעמי, בחינת הסבירות של התנהלות גורמי החקירה בהקשר זה ראוי לה כי תיבחן בהתחשב במכלול הנתונים שנגלו או שיכולים היו להתגלות בזמן אמת</w:t>
      </w:r>
      <w:r w:rsidRPr="00E7101E">
        <w:rPr>
          <w:b w:val="0"/>
          <w:bCs w:val="0"/>
          <w:sz w:val="24"/>
          <w:rtl/>
        </w:rPr>
        <w:t xml:space="preserve">". </w:t>
      </w:r>
    </w:p>
    <w:p w:rsidR="007B74E3" w:rsidRPr="00E7101E" w:rsidRDefault="00EC06C4" w:rsidP="000A434B">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כפי שיוצג להלן, המכלול הראייתי שעמד לנגד עיני המאשימה ערב הגשת כתב האישום חייב, לדעת הגורמים המקצועיים המוסמכים, הגשת כתב אישום. לאחר שנשקלו מכלול הנסיבות הוחלט, כי המאשימה תחטא לתפקידה אם תגנוז את התיק במקרה זה וכי </w:t>
      </w:r>
      <w:r w:rsidRPr="00EE7DFA">
        <w:rPr>
          <w:rFonts w:ascii="David" w:hAnsi="David" w:cs="David"/>
          <w:b/>
          <w:bCs/>
          <w:sz w:val="24"/>
          <w:szCs w:val="24"/>
          <w:u w:val="single"/>
          <w:rtl/>
        </w:rPr>
        <w:t>חובתה להביאו</w:t>
      </w:r>
      <w:r w:rsidRPr="00E7101E">
        <w:rPr>
          <w:rFonts w:ascii="David" w:hAnsi="David" w:cs="David"/>
          <w:sz w:val="24"/>
          <w:szCs w:val="24"/>
          <w:rtl/>
        </w:rPr>
        <w:t xml:space="preserve"> להכרעה בפני המותב הפלילי</w:t>
      </w:r>
      <w:r w:rsidRPr="00E7101E">
        <w:rPr>
          <w:rFonts w:ascii="David" w:hAnsi="David" w:cs="David" w:hint="cs"/>
          <w:sz w:val="24"/>
          <w:szCs w:val="24"/>
          <w:rtl/>
        </w:rPr>
        <w:t>.</w:t>
      </w:r>
    </w:p>
    <w:p w:rsidR="007B74E3" w:rsidRPr="00E7101E" w:rsidRDefault="007B74E3" w:rsidP="007B74E3">
      <w:pPr>
        <w:spacing w:before="120" w:line="360" w:lineRule="auto"/>
        <w:ind w:left="714"/>
        <w:jc w:val="both"/>
        <w:rPr>
          <w:rFonts w:ascii="David" w:hAnsi="David" w:cs="David"/>
          <w:sz w:val="24"/>
          <w:szCs w:val="24"/>
        </w:rPr>
      </w:pPr>
      <w:r w:rsidRPr="00E7101E">
        <w:rPr>
          <w:rFonts w:ascii="David" w:hAnsi="David" w:cs="David"/>
          <w:sz w:val="24"/>
          <w:szCs w:val="24"/>
          <w:rtl/>
        </w:rPr>
        <w:t>על מנת שלא להעמיס על בית המשפט הנכבד לא מצורפים כבר בשלב זה כל המסמכים נשוא ההליך הפלילי, ואלו יוגשו במרוצת שמיעת הראיות ולחילופין כתיק מוצגים עובר לכן, ככל שיורה על כך בית המשפט הנכבד.</w:t>
      </w:r>
    </w:p>
    <w:p w:rsidR="007B74E3" w:rsidRPr="00E7101E" w:rsidRDefault="00E4116E" w:rsidP="00E4116E">
      <w:pPr>
        <w:keepLines/>
        <w:spacing w:before="120" w:line="360" w:lineRule="auto"/>
        <w:ind w:left="674" w:hanging="674"/>
        <w:jc w:val="both"/>
        <w:rPr>
          <w:rFonts w:ascii="David" w:hAnsi="David" w:cs="David"/>
          <w:sz w:val="24"/>
          <w:szCs w:val="24"/>
        </w:rPr>
      </w:pPr>
      <w:r w:rsidRPr="00F10028">
        <w:rPr>
          <w:rFonts w:ascii="David" w:hAnsi="David" w:cs="David" w:hint="cs"/>
          <w:b/>
          <w:bCs/>
          <w:sz w:val="24"/>
          <w:szCs w:val="24"/>
          <w:rtl/>
        </w:rPr>
        <w:lastRenderedPageBreak/>
        <w:t>ג.1.</w:t>
      </w:r>
      <w:r w:rsidRPr="00E7101E">
        <w:rPr>
          <w:rFonts w:ascii="David" w:hAnsi="David" w:cs="David" w:hint="cs"/>
          <w:sz w:val="24"/>
          <w:szCs w:val="24"/>
          <w:rtl/>
        </w:rPr>
        <w:t xml:space="preserve">    </w:t>
      </w:r>
      <w:commentRangeStart w:id="8"/>
      <w:r w:rsidR="007B74E3" w:rsidRPr="00F10028">
        <w:rPr>
          <w:rFonts w:ascii="David" w:hAnsi="David" w:cs="David"/>
          <w:b/>
          <w:bCs/>
          <w:sz w:val="24"/>
          <w:szCs w:val="24"/>
          <w:u w:val="single"/>
          <w:rtl/>
        </w:rPr>
        <w:t>לשם המחשה בלבד, תפורט להלן תמצית התשתית הראייתית אשר עמדה בפני המאשימה ערב הגשת כתב האישום</w:t>
      </w:r>
      <w:commentRangeEnd w:id="8"/>
      <w:r w:rsidR="00231198">
        <w:rPr>
          <w:rStyle w:val="a8"/>
          <w:rFonts w:cs="David"/>
          <w:rtl/>
        </w:rPr>
        <w:commentReference w:id="8"/>
      </w:r>
      <w:r w:rsidR="007B74E3" w:rsidRPr="00F10028">
        <w:rPr>
          <w:rFonts w:ascii="David" w:hAnsi="David" w:cs="David"/>
          <w:b/>
          <w:bCs/>
          <w:sz w:val="24"/>
          <w:szCs w:val="24"/>
          <w:rtl/>
        </w:rPr>
        <w:t>:</w:t>
      </w:r>
    </w:p>
    <w:p w:rsidR="00A17F04" w:rsidRPr="00E7101E" w:rsidRDefault="00A17F04" w:rsidP="00E4116E">
      <w:pPr>
        <w:keepLines/>
        <w:numPr>
          <w:ilvl w:val="0"/>
          <w:numId w:val="21"/>
        </w:numPr>
        <w:spacing w:before="120" w:line="360" w:lineRule="auto"/>
        <w:ind w:left="714" w:hanging="357"/>
        <w:jc w:val="both"/>
        <w:rPr>
          <w:rFonts w:ascii="David" w:hAnsi="David" w:cs="David"/>
          <w:sz w:val="24"/>
          <w:szCs w:val="24"/>
          <w:rtl/>
        </w:rPr>
      </w:pPr>
      <w:r w:rsidRPr="00E7101E">
        <w:rPr>
          <w:rFonts w:ascii="David" w:hAnsi="David" w:cs="David" w:hint="cs"/>
          <w:sz w:val="24"/>
          <w:szCs w:val="24"/>
          <w:rtl/>
        </w:rPr>
        <w:t>בקליפת האגוז, המדובר בפרשה יוצאת דופן בהיקפה, במורכבותה ובחומרתה, במרכזה עמד ע</w:t>
      </w:r>
      <w:r w:rsidR="003F4F50" w:rsidRPr="00E7101E">
        <w:rPr>
          <w:rFonts w:ascii="David" w:hAnsi="David" w:cs="David" w:hint="cs"/>
          <w:sz w:val="24"/>
          <w:szCs w:val="24"/>
          <w:rtl/>
        </w:rPr>
        <w:t>ל פי הראיות שהיו בידי המאשימה</w:t>
      </w:r>
      <w:r w:rsidRPr="00E7101E">
        <w:rPr>
          <w:rFonts w:ascii="David" w:hAnsi="David" w:cs="David" w:hint="cs"/>
          <w:sz w:val="24"/>
          <w:szCs w:val="24"/>
          <w:rtl/>
        </w:rPr>
        <w:t xml:space="preserve"> עו"ד גור פינקלשטיין</w:t>
      </w:r>
      <w:r w:rsidR="003F4F50" w:rsidRPr="00E7101E">
        <w:rPr>
          <w:rFonts w:ascii="David" w:hAnsi="David" w:cs="David" w:hint="cs"/>
          <w:sz w:val="24"/>
          <w:szCs w:val="24"/>
          <w:rtl/>
        </w:rPr>
        <w:t xml:space="preserve"> -</w:t>
      </w:r>
      <w:r w:rsidRPr="00E7101E">
        <w:rPr>
          <w:rFonts w:ascii="David" w:hAnsi="David" w:cs="David" w:hint="cs"/>
          <w:sz w:val="24"/>
          <w:szCs w:val="24"/>
          <w:rtl/>
        </w:rPr>
        <w:t xml:space="preserve"> הוא התובע בענייננו (להלן גם: "</w:t>
      </w:r>
      <w:r w:rsidRPr="00F10028">
        <w:rPr>
          <w:rFonts w:ascii="David" w:hAnsi="David" w:cs="David" w:hint="cs"/>
          <w:b/>
          <w:bCs/>
          <w:sz w:val="24"/>
          <w:szCs w:val="24"/>
          <w:rtl/>
        </w:rPr>
        <w:t>גור</w:t>
      </w:r>
      <w:r w:rsidRPr="00E7101E">
        <w:rPr>
          <w:rFonts w:ascii="David" w:hAnsi="David" w:cs="David" w:hint="cs"/>
          <w:sz w:val="24"/>
          <w:szCs w:val="24"/>
          <w:rtl/>
        </w:rPr>
        <w:t>")</w:t>
      </w:r>
      <w:r w:rsidR="003F4F50" w:rsidRPr="00E7101E">
        <w:rPr>
          <w:rFonts w:ascii="David" w:hAnsi="David" w:cs="David" w:hint="cs"/>
          <w:sz w:val="24"/>
          <w:szCs w:val="24"/>
          <w:rtl/>
        </w:rPr>
        <w:t xml:space="preserve">. </w:t>
      </w:r>
      <w:r w:rsidRPr="00E7101E">
        <w:rPr>
          <w:rFonts w:ascii="David" w:hAnsi="David" w:cs="David" w:hint="cs"/>
          <w:sz w:val="24"/>
          <w:szCs w:val="24"/>
          <w:rtl/>
        </w:rPr>
        <w:t xml:space="preserve"> </w:t>
      </w:r>
    </w:p>
    <w:p w:rsidR="00A17F04" w:rsidRPr="00E7101E" w:rsidRDefault="00CF6D6F" w:rsidP="003F4F50">
      <w:pPr>
        <w:keepLines/>
        <w:spacing w:before="120" w:line="360" w:lineRule="auto"/>
        <w:ind w:left="720"/>
        <w:jc w:val="both"/>
        <w:rPr>
          <w:rFonts w:ascii="David" w:hAnsi="David" w:cs="David"/>
          <w:sz w:val="24"/>
          <w:szCs w:val="24"/>
          <w:rtl/>
        </w:rPr>
      </w:pPr>
      <w:r w:rsidRPr="00E7101E">
        <w:rPr>
          <w:rFonts w:ascii="David" w:hAnsi="David" w:cs="David" w:hint="cs"/>
          <w:sz w:val="24"/>
          <w:szCs w:val="24"/>
          <w:rtl/>
        </w:rPr>
        <w:t>האירועים במסגרת פרשת "זר סיגליות" נמשכו כשנה, במסגרתם ביצעו הקושרים עבירות פליליות, מהחמורות בספר החוקים כפי שפורט לעיל, ועל פי הראיות שהיו בידי המאשימה</w:t>
      </w:r>
      <w:r w:rsidR="003F4F50" w:rsidRPr="00E7101E">
        <w:rPr>
          <w:rFonts w:ascii="David" w:hAnsi="David" w:cs="David" w:hint="cs"/>
          <w:sz w:val="24"/>
          <w:szCs w:val="24"/>
          <w:rtl/>
        </w:rPr>
        <w:t xml:space="preserve"> ערב הגשת כתב האישום</w:t>
      </w:r>
      <w:r w:rsidRPr="00E7101E">
        <w:rPr>
          <w:rFonts w:ascii="David" w:hAnsi="David" w:cs="David" w:hint="cs"/>
          <w:sz w:val="24"/>
          <w:szCs w:val="24"/>
          <w:rtl/>
        </w:rPr>
        <w:t xml:space="preserve"> חלקן נעשו בשליחות התובע וחלקן באופן עצמאי.    </w:t>
      </w:r>
    </w:p>
    <w:p w:rsidR="003F4F50" w:rsidRPr="00E7101E" w:rsidRDefault="007616D4" w:rsidP="00E4116E">
      <w:pPr>
        <w:keepLines/>
        <w:numPr>
          <w:ilvl w:val="0"/>
          <w:numId w:val="21"/>
        </w:numPr>
        <w:spacing w:before="120" w:line="360" w:lineRule="auto"/>
        <w:ind w:left="714" w:hanging="357"/>
        <w:jc w:val="both"/>
        <w:rPr>
          <w:rFonts w:ascii="David" w:hAnsi="David" w:cs="David"/>
          <w:sz w:val="24"/>
          <w:szCs w:val="24"/>
          <w:rtl/>
        </w:rPr>
      </w:pPr>
      <w:r w:rsidRPr="00E7101E">
        <w:rPr>
          <w:rFonts w:ascii="David" w:hAnsi="David" w:cs="David" w:hint="cs"/>
          <w:sz w:val="24"/>
          <w:szCs w:val="24"/>
          <w:rtl/>
        </w:rPr>
        <w:t xml:space="preserve">כעולה מהבקשה למעצר עד תום ההליכים הראיות לכאורה אשר היו למאשימה ערב הגשת כתב האישום הן, בין היתר, עדות עד המדינה; עדות רמזי (שהיה שותף למרבית העבירות שיוחסו לתובע ובוצעו על ידי הקושרים); עדות עבדי (שהיה שותף למרבית העבירות שיוחסו לתובע ובוצעו על ידי הקושרים); הצבעות שביצעו עד המדינה, רמזי ועבדי על מקומות הנוגעים לפרטים הרלוונטיים לכתב האישום; אמרו שמסרו עד המדינה, רמזי ועבדי במהלך העימותים שבוצעו ביניהם ובינם לבין הנאשמים 1 -3 בכתב האישום אשר הוגש כנגד התובע; אמרות שמסרו התובע ונאשמים 2 ו-3 במהלך עימותים עם יתר המעורבים; הודאה שמסר רמזי בפני מדובב; הודעה שמסר בינקי בפני מדובב; אמרות שמסרו עד המדינה ורמזי במהלך תרגיל הפגשה ביניהם בבית המעצר; אמרות שמסרו עד המדינה ובינקי במהלך תרגיל הפגשה ביניהם בבית המעצר; הודאות שמסרו הנאשמים 1-3 בכתב האישום אשר הוגש כנגד התובע אשר מסבכות אותם וקושרות אותם לחלק מהעבירות; מחקרי תקשורת; האזנות סתר; חוות דעת מעבדת חבלה באשר למטענים שהופעלו; חוות דעת חוקר שריפות באשר להצתות; חוות דעת מעבדה ביולוגית באשר לדגימת </w:t>
      </w:r>
      <w:r w:rsidRPr="00E7101E">
        <w:rPr>
          <w:rFonts w:ascii="David" w:hAnsi="David" w:cs="David"/>
          <w:sz w:val="24"/>
          <w:szCs w:val="24"/>
        </w:rPr>
        <w:t>DNA</w:t>
      </w:r>
      <w:r w:rsidRPr="00E7101E">
        <w:rPr>
          <w:rFonts w:ascii="David" w:hAnsi="David" w:cs="David" w:hint="cs"/>
          <w:sz w:val="24"/>
          <w:szCs w:val="24"/>
          <w:rtl/>
        </w:rPr>
        <w:t>; דו"חות פעולה ומזכרים של שוטרים; דיווחי מרד"מ; עדויות קורבנות עבירה ועדי ראייה; עדות הקבלן ששיפץ את מבנה הסיינטולוגיה ועובדים במבנה; הודעות ומסמכים נוספים.</w:t>
      </w:r>
      <w:r w:rsidRPr="00E7101E">
        <w:rPr>
          <w:rFonts w:ascii="David" w:hAnsi="David" w:cs="David" w:hint="cs"/>
          <w:sz w:val="24"/>
          <w:szCs w:val="24"/>
          <w:rtl/>
        </w:rPr>
        <w:tab/>
      </w:r>
    </w:p>
    <w:p w:rsidR="00A17F04" w:rsidRPr="00E7101E" w:rsidRDefault="007616D4" w:rsidP="00726E2D">
      <w:pPr>
        <w:keepLines/>
        <w:numPr>
          <w:ilvl w:val="0"/>
          <w:numId w:val="21"/>
        </w:numPr>
        <w:spacing w:before="120" w:line="360" w:lineRule="auto"/>
        <w:ind w:left="714" w:hanging="357"/>
        <w:jc w:val="both"/>
        <w:rPr>
          <w:rFonts w:ascii="David" w:hAnsi="David" w:cs="David"/>
          <w:sz w:val="24"/>
          <w:szCs w:val="24"/>
          <w:rtl/>
        </w:rPr>
      </w:pPr>
      <w:r w:rsidRPr="00F10028">
        <w:rPr>
          <w:rFonts w:ascii="David" w:hAnsi="David" w:cs="David" w:hint="cs"/>
          <w:b/>
          <w:bCs/>
          <w:sz w:val="24"/>
          <w:szCs w:val="24"/>
          <w:rtl/>
        </w:rPr>
        <w:t xml:space="preserve">המסד הראייתי אשר עמד בפני המאשימה ביחס לאישומים 1-9 הינו זהה כאשר על מסד זה נוספו בכל אישום ראיות הרלוונטיות לאישום הספציפי. נפרט להלן בתמצית את המסד הראייתי </w:t>
      </w:r>
      <w:r w:rsidR="00726E2D">
        <w:rPr>
          <w:rFonts w:ascii="David" w:hAnsi="David" w:cs="David" w:hint="cs"/>
          <w:b/>
          <w:bCs/>
          <w:sz w:val="24"/>
          <w:szCs w:val="24"/>
          <w:rtl/>
        </w:rPr>
        <w:t>הזהה לכל האישומים</w:t>
      </w:r>
      <w:r w:rsidRPr="00E7101E">
        <w:rPr>
          <w:rFonts w:ascii="David" w:hAnsi="David" w:cs="David" w:hint="cs"/>
          <w:sz w:val="24"/>
          <w:szCs w:val="24"/>
          <w:rtl/>
        </w:rPr>
        <w:t>:</w:t>
      </w:r>
    </w:p>
    <w:p w:rsidR="00935D3E" w:rsidRPr="00E7101E" w:rsidRDefault="007B74E3" w:rsidP="00E4116E">
      <w:pPr>
        <w:pStyle w:val="af4"/>
        <w:keepLines/>
        <w:numPr>
          <w:ilvl w:val="2"/>
          <w:numId w:val="25"/>
        </w:numPr>
        <w:spacing w:before="120" w:line="360" w:lineRule="auto"/>
        <w:ind w:left="1099" w:hanging="284"/>
        <w:jc w:val="both"/>
        <w:rPr>
          <w:rFonts w:ascii="David" w:hAnsi="David" w:cs="David"/>
          <w:sz w:val="24"/>
          <w:szCs w:val="24"/>
        </w:rPr>
      </w:pPr>
      <w:r w:rsidRPr="00F10028">
        <w:rPr>
          <w:rFonts w:ascii="David" w:hAnsi="David" w:cs="David" w:hint="cs"/>
          <w:b/>
          <w:bCs/>
          <w:sz w:val="24"/>
          <w:szCs w:val="24"/>
          <w:u w:val="single"/>
          <w:rtl/>
        </w:rPr>
        <w:t>הודעות רמזי</w:t>
      </w:r>
      <w:r w:rsidR="00935D3E" w:rsidRPr="00E7101E">
        <w:rPr>
          <w:rFonts w:ascii="David" w:hAnsi="David" w:cs="David" w:hint="cs"/>
          <w:sz w:val="24"/>
          <w:szCs w:val="24"/>
          <w:rtl/>
        </w:rPr>
        <w:t xml:space="preserve">: רמזי היה מקורב לתובע ואיש סודו. על פי הודעות רמזי התובע הזמין ביצוע כל העבירות מרמזי </w:t>
      </w:r>
      <w:r w:rsidR="00935D3E" w:rsidRPr="00E7101E">
        <w:rPr>
          <w:rFonts w:ascii="David" w:hAnsi="David" w:cs="David"/>
          <w:sz w:val="24"/>
          <w:szCs w:val="24"/>
          <w:rtl/>
        </w:rPr>
        <w:t>–</w:t>
      </w:r>
      <w:r w:rsidR="00935D3E" w:rsidRPr="00E7101E">
        <w:rPr>
          <w:rFonts w:ascii="David" w:hAnsi="David" w:cs="David" w:hint="cs"/>
          <w:sz w:val="24"/>
          <w:szCs w:val="24"/>
          <w:rtl/>
        </w:rPr>
        <w:t xml:space="preserve"> לו מסר את המניע לביצוע העבירות, את המידע הרלבנטי לביצוען ואת התשלום עבור הביצוע. רמזי הוא גם זה שספג את מורת רוחו של התובע בכל פעם שהקושרים לא הצליחו לבצע את משימתם. </w:t>
      </w:r>
    </w:p>
    <w:p w:rsidR="00E4116E" w:rsidRPr="00E7101E" w:rsidRDefault="00E4116E" w:rsidP="00E4116E">
      <w:pPr>
        <w:pStyle w:val="af4"/>
        <w:keepLines/>
        <w:spacing w:before="120"/>
        <w:ind w:left="1100"/>
        <w:jc w:val="both"/>
        <w:rPr>
          <w:rFonts w:ascii="David" w:hAnsi="David" w:cs="David"/>
          <w:sz w:val="24"/>
          <w:szCs w:val="24"/>
          <w:rtl/>
        </w:rPr>
      </w:pPr>
    </w:p>
    <w:p w:rsidR="00935D3E" w:rsidRPr="00E7101E" w:rsidRDefault="00935D3E" w:rsidP="00E4116E">
      <w:pPr>
        <w:pStyle w:val="af4"/>
        <w:keepLines/>
        <w:spacing w:before="120" w:line="360" w:lineRule="auto"/>
        <w:ind w:left="1100"/>
        <w:jc w:val="both"/>
        <w:rPr>
          <w:rFonts w:ascii="David" w:hAnsi="David" w:cs="David"/>
          <w:sz w:val="24"/>
          <w:szCs w:val="24"/>
          <w:rtl/>
        </w:rPr>
      </w:pPr>
      <w:r w:rsidRPr="00E7101E">
        <w:rPr>
          <w:rFonts w:ascii="David" w:hAnsi="David" w:cs="David" w:hint="cs"/>
          <w:sz w:val="24"/>
          <w:szCs w:val="24"/>
          <w:rtl/>
        </w:rPr>
        <w:t xml:space="preserve">רמזי שימש כאיש הקשר בין התובע לבין שאר הקושרים. בהודעה ראשונה שמסר רמזי במשטרה, הכחיש קשר למיוחס לו ולאחר מכן שמר על זכות השתיקה במשך למעלה מחודש. ביום 30.4.11 לאחר שהושמע לו תרגיל קישון (על כך יפורט בהמשך), הודה רמזי בחלק מהמיוחס לו. </w:t>
      </w:r>
    </w:p>
    <w:p w:rsidR="00E4116E" w:rsidRPr="00E7101E" w:rsidRDefault="00E4116E" w:rsidP="00E4116E">
      <w:pPr>
        <w:pStyle w:val="af4"/>
        <w:keepLines/>
        <w:spacing w:before="120"/>
        <w:ind w:left="1100"/>
        <w:jc w:val="both"/>
        <w:rPr>
          <w:rFonts w:ascii="David" w:hAnsi="David" w:cs="David"/>
          <w:sz w:val="24"/>
          <w:szCs w:val="24"/>
          <w:rtl/>
        </w:rPr>
      </w:pPr>
    </w:p>
    <w:p w:rsidR="00935D3E" w:rsidRPr="00E7101E" w:rsidRDefault="00935D3E" w:rsidP="00E4116E">
      <w:pPr>
        <w:pStyle w:val="af4"/>
        <w:keepLines/>
        <w:spacing w:before="120" w:line="360" w:lineRule="auto"/>
        <w:ind w:left="1100"/>
        <w:jc w:val="both"/>
        <w:rPr>
          <w:rFonts w:ascii="David" w:hAnsi="David" w:cs="David"/>
          <w:sz w:val="24"/>
          <w:szCs w:val="24"/>
          <w:rtl/>
        </w:rPr>
      </w:pPr>
      <w:r w:rsidRPr="00E7101E">
        <w:rPr>
          <w:rFonts w:ascii="David" w:hAnsi="David" w:cs="David" w:hint="cs"/>
          <w:sz w:val="24"/>
          <w:szCs w:val="24"/>
          <w:rtl/>
        </w:rPr>
        <w:t>בהודעה זו</w:t>
      </w:r>
      <w:r w:rsidR="00E4116E" w:rsidRPr="00E7101E">
        <w:rPr>
          <w:rFonts w:ascii="David" w:hAnsi="David" w:cs="David" w:hint="cs"/>
          <w:sz w:val="24"/>
          <w:szCs w:val="24"/>
          <w:rtl/>
        </w:rPr>
        <w:t xml:space="preserve"> מיום 30.4.11</w:t>
      </w:r>
      <w:r w:rsidRPr="00E7101E">
        <w:rPr>
          <w:rFonts w:ascii="David" w:hAnsi="David" w:cs="David" w:hint="cs"/>
          <w:sz w:val="24"/>
          <w:szCs w:val="24"/>
          <w:rtl/>
        </w:rPr>
        <w:t xml:space="preserve"> קשר רמזי את התובע בעבירות המיוחסות לו בכתב האישום בפרשות אשר פורטו לעיל. רמזי סיפר כי התובע מסר לו את המניע לביצוע העבירות, את המידע הרלבנטי לביצוען ושילם לו עבור הביצוע. רמזי שב ומסר פרטים המפלילים את התובע בהודעות מאוחרות שמסר. </w:t>
      </w:r>
    </w:p>
    <w:p w:rsidR="00E4116E" w:rsidRPr="00E7101E" w:rsidRDefault="00E4116E" w:rsidP="00E4116E">
      <w:pPr>
        <w:pStyle w:val="af4"/>
        <w:keepLines/>
        <w:spacing w:before="120"/>
        <w:ind w:left="1100"/>
        <w:jc w:val="both"/>
        <w:rPr>
          <w:rFonts w:ascii="David" w:hAnsi="David" w:cs="David"/>
          <w:sz w:val="24"/>
          <w:szCs w:val="24"/>
          <w:rtl/>
        </w:rPr>
      </w:pPr>
    </w:p>
    <w:p w:rsidR="00935D3E" w:rsidRPr="00E7101E" w:rsidRDefault="00935D3E" w:rsidP="00E4116E">
      <w:pPr>
        <w:pStyle w:val="af4"/>
        <w:keepLines/>
        <w:spacing w:before="120" w:line="360" w:lineRule="auto"/>
        <w:ind w:left="1100"/>
        <w:jc w:val="both"/>
        <w:rPr>
          <w:rFonts w:ascii="David" w:hAnsi="David" w:cs="David"/>
          <w:sz w:val="24"/>
          <w:szCs w:val="24"/>
        </w:rPr>
      </w:pPr>
      <w:r w:rsidRPr="00E7101E">
        <w:rPr>
          <w:rFonts w:ascii="David" w:hAnsi="David" w:cs="David" w:hint="cs"/>
          <w:sz w:val="24"/>
          <w:szCs w:val="24"/>
          <w:rtl/>
        </w:rPr>
        <w:t xml:space="preserve">רמזי סיפר, שסיכם עם עבדי, כי לא יחשפו בפני עד המדינה את זהות התובע אלא יציגו בפניו מידע כוזב על מנת שלא ידע שהתובע קשור בהזמנת העבודות. </w:t>
      </w:r>
    </w:p>
    <w:p w:rsidR="00935D3E" w:rsidRPr="00E7101E" w:rsidRDefault="00935D3E" w:rsidP="00E4116E">
      <w:pPr>
        <w:pStyle w:val="af4"/>
        <w:keepLines/>
        <w:spacing w:before="120"/>
        <w:ind w:left="1099"/>
        <w:jc w:val="both"/>
        <w:rPr>
          <w:rFonts w:ascii="David" w:hAnsi="David" w:cs="David"/>
          <w:sz w:val="24"/>
          <w:szCs w:val="24"/>
          <w:highlight w:val="green"/>
        </w:rPr>
      </w:pPr>
    </w:p>
    <w:p w:rsidR="007B74E3" w:rsidRPr="00E7101E" w:rsidRDefault="007B74E3" w:rsidP="00E4116E">
      <w:pPr>
        <w:pStyle w:val="af4"/>
        <w:keepLines/>
        <w:numPr>
          <w:ilvl w:val="2"/>
          <w:numId w:val="25"/>
        </w:numPr>
        <w:spacing w:before="120" w:line="360" w:lineRule="auto"/>
        <w:ind w:left="1099" w:hanging="284"/>
        <w:jc w:val="both"/>
        <w:rPr>
          <w:rFonts w:ascii="David" w:hAnsi="David" w:cs="David"/>
          <w:sz w:val="24"/>
          <w:szCs w:val="24"/>
        </w:rPr>
      </w:pPr>
      <w:r w:rsidRPr="00F10028">
        <w:rPr>
          <w:rFonts w:ascii="David" w:hAnsi="David" w:cs="David" w:hint="cs"/>
          <w:b/>
          <w:bCs/>
          <w:sz w:val="24"/>
          <w:szCs w:val="24"/>
          <w:u w:val="single"/>
          <w:rtl/>
        </w:rPr>
        <w:lastRenderedPageBreak/>
        <w:t>תרגיל קישון</w:t>
      </w:r>
      <w:r w:rsidR="00B02CB8" w:rsidRPr="00E7101E">
        <w:rPr>
          <w:rFonts w:ascii="David" w:hAnsi="David" w:cs="David" w:hint="cs"/>
          <w:sz w:val="24"/>
          <w:szCs w:val="24"/>
          <w:rtl/>
        </w:rPr>
        <w:t>:</w:t>
      </w:r>
      <w:r w:rsidRPr="00E7101E">
        <w:rPr>
          <w:rFonts w:ascii="David" w:hAnsi="David" w:cs="David" w:hint="cs"/>
          <w:sz w:val="24"/>
          <w:szCs w:val="24"/>
          <w:rtl/>
        </w:rPr>
        <w:t xml:space="preserve"> תרגיל חקירה משטרתי, שנערך ביום 21.4.11 בבית מעצר קישון, בין רמזי ו</w:t>
      </w:r>
      <w:r w:rsidR="00E4116E" w:rsidRPr="00E7101E">
        <w:rPr>
          <w:rFonts w:ascii="David" w:hAnsi="David" w:cs="David" w:hint="cs"/>
          <w:sz w:val="24"/>
          <w:szCs w:val="24"/>
          <w:rtl/>
        </w:rPr>
        <w:t xml:space="preserve">א.א. </w:t>
      </w:r>
      <w:r w:rsidRPr="00E7101E">
        <w:rPr>
          <w:rFonts w:ascii="David" w:hAnsi="David" w:cs="David" w:hint="cs"/>
          <w:sz w:val="24"/>
          <w:szCs w:val="24"/>
          <w:rtl/>
        </w:rPr>
        <w:t>(במסגרת הסכם עד המדינה</w:t>
      </w:r>
      <w:r w:rsidR="00E4116E" w:rsidRPr="00E7101E">
        <w:rPr>
          <w:rFonts w:ascii="David" w:hAnsi="David" w:cs="David" w:hint="cs"/>
          <w:sz w:val="24"/>
          <w:szCs w:val="24"/>
          <w:rtl/>
        </w:rPr>
        <w:t xml:space="preserve"> של א.א.</w:t>
      </w:r>
      <w:r w:rsidRPr="00E7101E">
        <w:rPr>
          <w:rFonts w:ascii="David" w:hAnsi="David" w:cs="David" w:hint="cs"/>
          <w:sz w:val="24"/>
          <w:szCs w:val="24"/>
          <w:rtl/>
        </w:rPr>
        <w:t>). תרגיל החקירה נערך כאשר רמזי ידע שיש עד מדינה בתיק, אך לא ידע את זהותו.</w:t>
      </w:r>
    </w:p>
    <w:p w:rsidR="00E4116E" w:rsidRPr="00E7101E" w:rsidRDefault="00E4116E" w:rsidP="00E4116E">
      <w:pPr>
        <w:pStyle w:val="af4"/>
        <w:keepLines/>
        <w:spacing w:before="120"/>
        <w:ind w:left="1099"/>
        <w:jc w:val="both"/>
        <w:rPr>
          <w:rFonts w:ascii="David" w:hAnsi="David" w:cs="David"/>
          <w:sz w:val="24"/>
          <w:szCs w:val="24"/>
          <w:rtl/>
        </w:rPr>
      </w:pPr>
    </w:p>
    <w:p w:rsidR="00E4116E" w:rsidRPr="00E7101E" w:rsidRDefault="007B74E3" w:rsidP="00E4116E">
      <w:pPr>
        <w:pStyle w:val="af4"/>
        <w:keepLines/>
        <w:spacing w:before="120" w:line="360" w:lineRule="auto"/>
        <w:ind w:left="1099"/>
        <w:jc w:val="both"/>
        <w:rPr>
          <w:rFonts w:ascii="David" w:hAnsi="David" w:cs="David"/>
          <w:sz w:val="24"/>
          <w:szCs w:val="24"/>
          <w:rtl/>
        </w:rPr>
      </w:pPr>
      <w:r w:rsidRPr="00E7101E">
        <w:rPr>
          <w:rFonts w:ascii="David" w:hAnsi="David" w:cs="David" w:hint="cs"/>
          <w:sz w:val="24"/>
          <w:szCs w:val="24"/>
          <w:rtl/>
        </w:rPr>
        <w:t>השניים הוקלטו</w:t>
      </w:r>
      <w:r w:rsidR="00935D3E" w:rsidRPr="00E7101E">
        <w:rPr>
          <w:rFonts w:ascii="David" w:hAnsi="David" w:cs="David" w:hint="cs"/>
          <w:sz w:val="24"/>
          <w:szCs w:val="24"/>
          <w:rtl/>
        </w:rPr>
        <w:t xml:space="preserve"> כשהם</w:t>
      </w:r>
      <w:r w:rsidRPr="00E7101E">
        <w:rPr>
          <w:rFonts w:ascii="David" w:hAnsi="David" w:cs="David" w:hint="cs"/>
          <w:sz w:val="24"/>
          <w:szCs w:val="24"/>
          <w:rtl/>
        </w:rPr>
        <w:t xml:space="preserve"> משוחחים על</w:t>
      </w:r>
      <w:r w:rsidR="00935D3E" w:rsidRPr="00E7101E">
        <w:rPr>
          <w:rFonts w:ascii="David" w:hAnsi="David" w:cs="David" w:hint="cs"/>
          <w:sz w:val="24"/>
          <w:szCs w:val="24"/>
          <w:rtl/>
        </w:rPr>
        <w:t xml:space="preserve"> העבירות שביצעו לאורך כל התקופה וביניהן </w:t>
      </w:r>
      <w:r w:rsidRPr="00E7101E">
        <w:rPr>
          <w:rFonts w:ascii="David" w:hAnsi="David" w:cs="David" w:hint="cs"/>
          <w:sz w:val="24"/>
          <w:szCs w:val="24"/>
          <w:rtl/>
        </w:rPr>
        <w:t>הפרשות השונות המיוחסות לתובע בכתב האישום</w:t>
      </w:r>
      <w:r w:rsidR="00E4116E" w:rsidRPr="00E7101E">
        <w:rPr>
          <w:rFonts w:ascii="David" w:hAnsi="David" w:cs="David" w:hint="cs"/>
          <w:sz w:val="24"/>
          <w:szCs w:val="24"/>
          <w:rtl/>
        </w:rPr>
        <w:t>;</w:t>
      </w:r>
      <w:r w:rsidR="00935D3E" w:rsidRPr="00E7101E">
        <w:rPr>
          <w:rFonts w:ascii="David" w:hAnsi="David" w:cs="David" w:hint="cs"/>
          <w:sz w:val="24"/>
          <w:szCs w:val="24"/>
          <w:rtl/>
        </w:rPr>
        <w:t xml:space="preserve"> על קיומו של עד מדינה ועל שאלת זהותו. </w:t>
      </w:r>
    </w:p>
    <w:p w:rsidR="00E4116E" w:rsidRPr="00E7101E" w:rsidRDefault="00E4116E" w:rsidP="00E4116E">
      <w:pPr>
        <w:pStyle w:val="af4"/>
        <w:keepLines/>
        <w:spacing w:before="120"/>
        <w:ind w:left="1099"/>
        <w:jc w:val="both"/>
        <w:rPr>
          <w:rFonts w:ascii="David" w:hAnsi="David" w:cs="David"/>
          <w:sz w:val="24"/>
          <w:szCs w:val="24"/>
          <w:rtl/>
        </w:rPr>
      </w:pPr>
    </w:p>
    <w:p w:rsidR="007B74E3" w:rsidRPr="00E7101E" w:rsidRDefault="007B74E3" w:rsidP="00E4116E">
      <w:pPr>
        <w:pStyle w:val="af4"/>
        <w:keepLines/>
        <w:spacing w:before="120" w:line="360" w:lineRule="auto"/>
        <w:ind w:left="1099"/>
        <w:jc w:val="both"/>
        <w:rPr>
          <w:rFonts w:ascii="David" w:hAnsi="David" w:cs="David"/>
          <w:sz w:val="24"/>
          <w:szCs w:val="24"/>
          <w:rtl/>
        </w:rPr>
      </w:pPr>
      <w:r w:rsidRPr="00E7101E">
        <w:rPr>
          <w:rFonts w:ascii="David" w:hAnsi="David" w:cs="David" w:hint="cs"/>
          <w:sz w:val="24"/>
          <w:szCs w:val="24"/>
          <w:rtl/>
        </w:rPr>
        <w:t>במהלך השיחה הביע א.א. חשש, כי התובע הוא עד המדינה בתיק ורמזי ניסה לשכנעו, שלאור היות התובע המזמין והמממן של העבירות, לא ייתכן שהוא יפלילם.</w:t>
      </w:r>
    </w:p>
    <w:p w:rsidR="00E4116E" w:rsidRPr="00E7101E" w:rsidRDefault="00E4116E" w:rsidP="00E4116E">
      <w:pPr>
        <w:pStyle w:val="af4"/>
        <w:keepLines/>
        <w:spacing w:before="120"/>
        <w:ind w:left="1099"/>
        <w:jc w:val="both"/>
        <w:rPr>
          <w:rFonts w:ascii="David" w:hAnsi="David" w:cs="David"/>
          <w:sz w:val="24"/>
          <w:szCs w:val="24"/>
          <w:rtl/>
        </w:rPr>
      </w:pPr>
    </w:p>
    <w:p w:rsidR="007B74E3" w:rsidRPr="00E7101E" w:rsidRDefault="007B74E3" w:rsidP="00E4116E">
      <w:pPr>
        <w:pStyle w:val="af4"/>
        <w:keepLines/>
        <w:spacing w:before="120" w:line="360" w:lineRule="auto"/>
        <w:ind w:left="957"/>
        <w:jc w:val="both"/>
        <w:rPr>
          <w:rFonts w:ascii="David" w:hAnsi="David" w:cs="David"/>
          <w:sz w:val="24"/>
          <w:szCs w:val="24"/>
          <w:rtl/>
        </w:rPr>
      </w:pPr>
      <w:r w:rsidRPr="00E7101E">
        <w:rPr>
          <w:rFonts w:ascii="David" w:hAnsi="David" w:cs="David" w:hint="cs"/>
          <w:sz w:val="24"/>
          <w:szCs w:val="24"/>
          <w:rtl/>
        </w:rPr>
        <w:t>רמזי לא ידע שא.א. הינו עד המדינה וכי שיחתם מוקלטת</w:t>
      </w:r>
      <w:r w:rsidR="00E4116E" w:rsidRPr="00E7101E">
        <w:rPr>
          <w:rFonts w:ascii="David" w:hAnsi="David" w:cs="David" w:hint="cs"/>
          <w:sz w:val="24"/>
          <w:szCs w:val="24"/>
          <w:rtl/>
        </w:rPr>
        <w:t xml:space="preserve"> והשיחה התבצעה בטרם החל רמזי לשתף פעולה עם חוקריו,</w:t>
      </w:r>
      <w:r w:rsidRPr="00E7101E">
        <w:rPr>
          <w:rFonts w:ascii="David" w:hAnsi="David" w:cs="David" w:hint="cs"/>
          <w:sz w:val="24"/>
          <w:szCs w:val="24"/>
          <w:rtl/>
        </w:rPr>
        <w:t xml:space="preserve"> ולכן השיח </w:t>
      </w:r>
      <w:r w:rsidR="00935D3E" w:rsidRPr="00E7101E">
        <w:rPr>
          <w:rFonts w:ascii="David" w:hAnsi="David" w:cs="David" w:hint="cs"/>
          <w:sz w:val="24"/>
          <w:szCs w:val="24"/>
          <w:rtl/>
        </w:rPr>
        <w:t>ע</w:t>
      </w:r>
      <w:r w:rsidRPr="00E7101E">
        <w:rPr>
          <w:rFonts w:ascii="David" w:hAnsi="David" w:cs="David" w:hint="cs"/>
          <w:sz w:val="24"/>
          <w:szCs w:val="24"/>
          <w:rtl/>
        </w:rPr>
        <w:t>ל</w:t>
      </w:r>
      <w:r w:rsidR="00935D3E" w:rsidRPr="00E7101E">
        <w:rPr>
          <w:rFonts w:ascii="David" w:hAnsi="David" w:cs="David" w:hint="cs"/>
          <w:sz w:val="24"/>
          <w:szCs w:val="24"/>
          <w:rtl/>
        </w:rPr>
        <w:t xml:space="preserve"> </w:t>
      </w:r>
      <w:r w:rsidRPr="00E7101E">
        <w:rPr>
          <w:rFonts w:ascii="David" w:hAnsi="David" w:cs="David" w:hint="cs"/>
          <w:sz w:val="24"/>
          <w:szCs w:val="24"/>
          <w:rtl/>
        </w:rPr>
        <w:t>פי תומו, עם שותפו לעבירות.</w:t>
      </w:r>
    </w:p>
    <w:p w:rsidR="00E4116E" w:rsidRPr="00E7101E" w:rsidRDefault="00E4116E" w:rsidP="00E4116E">
      <w:pPr>
        <w:pStyle w:val="af4"/>
        <w:keepLines/>
        <w:spacing w:before="120"/>
        <w:ind w:left="1099"/>
        <w:jc w:val="both"/>
        <w:rPr>
          <w:rFonts w:ascii="David" w:hAnsi="David" w:cs="David"/>
          <w:sz w:val="24"/>
          <w:szCs w:val="24"/>
          <w:rtl/>
        </w:rPr>
      </w:pPr>
    </w:p>
    <w:p w:rsidR="00854AB4" w:rsidRPr="00E7101E" w:rsidRDefault="00E4116E" w:rsidP="00E4116E">
      <w:pPr>
        <w:pStyle w:val="af4"/>
        <w:keepLines/>
        <w:spacing w:before="120" w:line="360" w:lineRule="auto"/>
        <w:ind w:left="1099"/>
        <w:jc w:val="both"/>
        <w:rPr>
          <w:rFonts w:ascii="David" w:hAnsi="David" w:cs="David"/>
          <w:sz w:val="24"/>
          <w:szCs w:val="24"/>
          <w:rtl/>
        </w:rPr>
      </w:pPr>
      <w:r w:rsidRPr="00F10028">
        <w:rPr>
          <w:rFonts w:ascii="David" w:hAnsi="David" w:cs="David" w:hint="cs"/>
          <w:sz w:val="24"/>
          <w:szCs w:val="24"/>
          <w:u w:val="single"/>
          <w:rtl/>
        </w:rPr>
        <w:t>לשם המחשה בלבד יובאו להלן</w:t>
      </w:r>
      <w:r w:rsidR="00854AB4" w:rsidRPr="00F10028">
        <w:rPr>
          <w:rFonts w:ascii="David" w:hAnsi="David" w:cs="David" w:hint="cs"/>
          <w:sz w:val="24"/>
          <w:szCs w:val="24"/>
          <w:u w:val="single"/>
          <w:rtl/>
        </w:rPr>
        <w:t xml:space="preserve"> חלק מאמרותיו של רמזי במסגרת תרגיל קישון</w:t>
      </w:r>
      <w:r w:rsidR="00854AB4" w:rsidRPr="00E7101E">
        <w:rPr>
          <w:rFonts w:ascii="David" w:hAnsi="David" w:cs="David" w:hint="cs"/>
          <w:sz w:val="24"/>
          <w:szCs w:val="24"/>
          <w:rtl/>
        </w:rPr>
        <w:t xml:space="preserve">: </w:t>
      </w:r>
    </w:p>
    <w:p w:rsidR="00854AB4" w:rsidRPr="00E7101E" w:rsidRDefault="00E4116E" w:rsidP="00E4116E">
      <w:pPr>
        <w:pStyle w:val="af4"/>
        <w:keepLines/>
        <w:numPr>
          <w:ilvl w:val="4"/>
          <w:numId w:val="24"/>
        </w:numPr>
        <w:spacing w:before="120" w:line="360" w:lineRule="auto"/>
        <w:ind w:left="1382" w:hanging="283"/>
        <w:jc w:val="both"/>
        <w:rPr>
          <w:rFonts w:ascii="David" w:hAnsi="David" w:cs="David"/>
          <w:sz w:val="24"/>
          <w:szCs w:val="24"/>
        </w:rPr>
      </w:pPr>
      <w:r w:rsidRPr="00E7101E">
        <w:rPr>
          <w:rFonts w:ascii="David" w:hAnsi="David" w:cs="David" w:hint="cs"/>
          <w:sz w:val="24"/>
          <w:szCs w:val="24"/>
          <w:rtl/>
        </w:rPr>
        <w:t>בעת ש</w:t>
      </w:r>
      <w:r w:rsidR="00854AB4" w:rsidRPr="00E7101E">
        <w:rPr>
          <w:rFonts w:ascii="David" w:hAnsi="David" w:cs="David" w:hint="cs"/>
          <w:sz w:val="24"/>
          <w:szCs w:val="24"/>
          <w:rtl/>
        </w:rPr>
        <w:t xml:space="preserve">עד המדינה מעלה חשש שהתובע מפליל אותם, השיב רמזי כי התובע לא ידבר, שכן: "... </w:t>
      </w:r>
      <w:r w:rsidR="00854AB4" w:rsidRPr="00F10028">
        <w:rPr>
          <w:rFonts w:ascii="David" w:hAnsi="David" w:cs="David" w:hint="cs"/>
          <w:b/>
          <w:bCs/>
          <w:sz w:val="24"/>
          <w:szCs w:val="24"/>
          <w:rtl/>
        </w:rPr>
        <w:t>הכל נופל נגדו, כל הסעיפים יהיו נגדו</w:t>
      </w:r>
      <w:r w:rsidR="00854AB4" w:rsidRPr="00E7101E">
        <w:rPr>
          <w:rFonts w:ascii="David" w:hAnsi="David" w:cs="David" w:hint="cs"/>
          <w:sz w:val="24"/>
          <w:szCs w:val="24"/>
          <w:rtl/>
        </w:rPr>
        <w:t xml:space="preserve">" (עמ' 3 לתרגיל קישון בש' 55-68). </w:t>
      </w:r>
    </w:p>
    <w:p w:rsidR="00A05D66" w:rsidRPr="00E7101E" w:rsidRDefault="00A05D66" w:rsidP="00E4116E">
      <w:pPr>
        <w:pStyle w:val="af4"/>
        <w:keepLines/>
        <w:numPr>
          <w:ilvl w:val="4"/>
          <w:numId w:val="24"/>
        </w:numPr>
        <w:spacing w:before="120" w:line="360" w:lineRule="auto"/>
        <w:ind w:left="1382" w:hanging="283"/>
        <w:jc w:val="both"/>
        <w:rPr>
          <w:rFonts w:ascii="David" w:hAnsi="David" w:cs="David"/>
          <w:sz w:val="24"/>
          <w:szCs w:val="24"/>
        </w:rPr>
      </w:pPr>
      <w:r w:rsidRPr="00E7101E">
        <w:rPr>
          <w:rFonts w:ascii="David" w:hAnsi="David" w:cs="David" w:hint="cs"/>
          <w:sz w:val="24"/>
          <w:szCs w:val="24"/>
          <w:rtl/>
        </w:rPr>
        <w:t>על הקשר שבין התובע להטמנת המטען לדניאל כהן אמר רמזי :"</w:t>
      </w:r>
      <w:r w:rsidRPr="00F10028">
        <w:rPr>
          <w:rFonts w:ascii="David" w:hAnsi="David" w:cs="David" w:hint="cs"/>
          <w:b/>
          <w:bCs/>
          <w:sz w:val="24"/>
          <w:szCs w:val="24"/>
          <w:rtl/>
        </w:rPr>
        <w:t>זה הוא, זה הוא ששלח... לא יכול שהוא ידבר ... "</w:t>
      </w:r>
      <w:r w:rsidRPr="00E7101E">
        <w:rPr>
          <w:rFonts w:ascii="David" w:hAnsi="David" w:cs="David" w:hint="cs"/>
          <w:sz w:val="24"/>
          <w:szCs w:val="24"/>
          <w:rtl/>
        </w:rPr>
        <w:t xml:space="preserve"> (עמ' 4 לתרגיל קישון בש' 90- 98).</w:t>
      </w:r>
    </w:p>
    <w:p w:rsidR="00A05D66" w:rsidRPr="00E7101E" w:rsidRDefault="00A05D66" w:rsidP="00D17582">
      <w:pPr>
        <w:pStyle w:val="af4"/>
        <w:keepLines/>
        <w:numPr>
          <w:ilvl w:val="4"/>
          <w:numId w:val="24"/>
        </w:numPr>
        <w:spacing w:before="120" w:line="360" w:lineRule="auto"/>
        <w:ind w:left="1382" w:hanging="283"/>
        <w:jc w:val="both"/>
        <w:rPr>
          <w:rFonts w:ascii="David" w:hAnsi="David" w:cs="David"/>
          <w:sz w:val="24"/>
          <w:szCs w:val="24"/>
        </w:rPr>
      </w:pPr>
      <w:r w:rsidRPr="00E7101E">
        <w:rPr>
          <w:rFonts w:ascii="David" w:hAnsi="David" w:cs="David" w:hint="cs"/>
          <w:sz w:val="24"/>
          <w:szCs w:val="24"/>
          <w:rtl/>
        </w:rPr>
        <w:t>כשנשאל עד המדינה: "</w:t>
      </w:r>
      <w:r w:rsidRPr="00F10028">
        <w:rPr>
          <w:rFonts w:ascii="David" w:hAnsi="David" w:cs="David" w:hint="cs"/>
          <w:b/>
          <w:bCs/>
          <w:sz w:val="24"/>
          <w:szCs w:val="24"/>
          <w:rtl/>
        </w:rPr>
        <w:t>אתה בטוח הוא גור... אתה סגור שהוא זה ששילם את הכסף...</w:t>
      </w:r>
      <w:r w:rsidRPr="00E7101E">
        <w:rPr>
          <w:rFonts w:ascii="David" w:hAnsi="David" w:cs="David" w:hint="cs"/>
          <w:sz w:val="24"/>
          <w:szCs w:val="24"/>
          <w:rtl/>
        </w:rPr>
        <w:t xml:space="preserve"> " השיב רמזי: </w:t>
      </w:r>
      <w:r w:rsidRPr="00F10028">
        <w:rPr>
          <w:rFonts w:ascii="David" w:hAnsi="David" w:cs="David" w:hint="cs"/>
          <w:b/>
          <w:bCs/>
          <w:sz w:val="24"/>
          <w:szCs w:val="24"/>
          <w:rtl/>
        </w:rPr>
        <w:t>"סגור ... מה הוא מפגר שידבר ? ..."</w:t>
      </w:r>
    </w:p>
    <w:p w:rsidR="00A05D66" w:rsidRPr="00E7101E" w:rsidRDefault="00A05D66" w:rsidP="00D17582">
      <w:pPr>
        <w:pStyle w:val="af4"/>
        <w:keepLines/>
        <w:numPr>
          <w:ilvl w:val="4"/>
          <w:numId w:val="24"/>
        </w:numPr>
        <w:spacing w:before="120" w:line="360" w:lineRule="auto"/>
        <w:ind w:left="1382" w:hanging="283"/>
        <w:jc w:val="both"/>
        <w:rPr>
          <w:rFonts w:ascii="David" w:hAnsi="David" w:cs="David"/>
          <w:sz w:val="24"/>
          <w:szCs w:val="24"/>
        </w:rPr>
      </w:pPr>
      <w:r w:rsidRPr="00E7101E">
        <w:rPr>
          <w:rFonts w:ascii="David" w:hAnsi="David" w:cs="David" w:hint="cs"/>
          <w:sz w:val="24"/>
          <w:szCs w:val="24"/>
          <w:rtl/>
        </w:rPr>
        <w:t>עד המדינה מקשה :"</w:t>
      </w:r>
      <w:r w:rsidRPr="00F10028">
        <w:rPr>
          <w:rFonts w:ascii="David" w:hAnsi="David" w:cs="David" w:hint="cs"/>
          <w:b/>
          <w:bCs/>
          <w:sz w:val="24"/>
          <w:szCs w:val="24"/>
          <w:rtl/>
        </w:rPr>
        <w:t>יכול הוא לדבר על מנת שיוצאי/יזכה את עצמו ואנחנו...</w:t>
      </w:r>
      <w:r w:rsidRPr="00E7101E">
        <w:rPr>
          <w:rFonts w:ascii="David" w:hAnsi="David" w:cs="David" w:hint="cs"/>
          <w:sz w:val="24"/>
          <w:szCs w:val="24"/>
          <w:rtl/>
        </w:rPr>
        <w:t xml:space="preserve"> " רמזי משיב:"</w:t>
      </w:r>
      <w:r w:rsidRPr="00F10028">
        <w:rPr>
          <w:rFonts w:ascii="David" w:hAnsi="David" w:cs="David" w:hint="cs"/>
          <w:b/>
          <w:bCs/>
          <w:sz w:val="24"/>
          <w:szCs w:val="24"/>
          <w:rtl/>
        </w:rPr>
        <w:t>איך הוא יזכה את עצמו אם זה קשור אליו יגיד שהם עשו את הזה והוא ילך הביתה. אין דבר כזה</w:t>
      </w:r>
      <w:r w:rsidRPr="00E7101E">
        <w:rPr>
          <w:rFonts w:ascii="David" w:hAnsi="David" w:cs="David" w:hint="cs"/>
          <w:sz w:val="24"/>
          <w:szCs w:val="24"/>
          <w:rtl/>
        </w:rPr>
        <w:t xml:space="preserve"> ..." (עמ' 5 לתרגיל קישון בש' 113- 116). </w:t>
      </w:r>
    </w:p>
    <w:p w:rsidR="00A05D66" w:rsidRPr="00E7101E" w:rsidRDefault="00A05D66" w:rsidP="00D17582">
      <w:pPr>
        <w:pStyle w:val="af4"/>
        <w:keepLines/>
        <w:numPr>
          <w:ilvl w:val="4"/>
          <w:numId w:val="24"/>
        </w:numPr>
        <w:spacing w:before="120" w:line="360" w:lineRule="auto"/>
        <w:ind w:left="1382" w:hanging="283"/>
        <w:jc w:val="both"/>
        <w:rPr>
          <w:rFonts w:ascii="David" w:hAnsi="David" w:cs="David"/>
          <w:sz w:val="24"/>
          <w:szCs w:val="24"/>
        </w:rPr>
      </w:pPr>
      <w:r w:rsidRPr="00E7101E">
        <w:rPr>
          <w:rFonts w:ascii="David" w:hAnsi="David" w:cs="David" w:hint="cs"/>
          <w:sz w:val="24"/>
          <w:szCs w:val="24"/>
          <w:rtl/>
        </w:rPr>
        <w:t>לשאלת עד המדינה אם התובע קשור גם לסיינטולוגיה השיב רמזי: "</w:t>
      </w:r>
      <w:r w:rsidRPr="00F10028">
        <w:rPr>
          <w:rFonts w:ascii="David" w:hAnsi="David" w:cs="David" w:hint="cs"/>
          <w:b/>
          <w:bCs/>
          <w:sz w:val="24"/>
          <w:szCs w:val="24"/>
          <w:rtl/>
        </w:rPr>
        <w:t>כן... הוא... 11 סעיפים עליו</w:t>
      </w:r>
      <w:r w:rsidRPr="00E7101E">
        <w:rPr>
          <w:rFonts w:ascii="David" w:hAnsi="David" w:cs="David" w:hint="cs"/>
          <w:sz w:val="24"/>
          <w:szCs w:val="24"/>
          <w:rtl/>
        </w:rPr>
        <w:t>" (עמ' 5 לתרגיל קישון בש' 126-130).</w:t>
      </w:r>
    </w:p>
    <w:p w:rsidR="00854AB4" w:rsidRPr="00E7101E" w:rsidRDefault="00A05D66" w:rsidP="00D17582">
      <w:pPr>
        <w:pStyle w:val="af4"/>
        <w:keepLines/>
        <w:numPr>
          <w:ilvl w:val="4"/>
          <w:numId w:val="24"/>
        </w:numPr>
        <w:spacing w:before="120" w:line="360" w:lineRule="auto"/>
        <w:ind w:left="1382" w:hanging="283"/>
        <w:jc w:val="both"/>
        <w:rPr>
          <w:rFonts w:ascii="David" w:hAnsi="David" w:cs="David"/>
          <w:sz w:val="24"/>
          <w:szCs w:val="24"/>
        </w:rPr>
      </w:pPr>
      <w:r w:rsidRPr="00E7101E">
        <w:rPr>
          <w:rFonts w:ascii="David" w:hAnsi="David" w:cs="David" w:hint="cs"/>
          <w:sz w:val="24"/>
          <w:szCs w:val="24"/>
          <w:rtl/>
        </w:rPr>
        <w:t xml:space="preserve">בהמשך מנסה </w:t>
      </w:r>
      <w:r w:rsidR="00E4116E" w:rsidRPr="00E7101E">
        <w:rPr>
          <w:rFonts w:ascii="David" w:hAnsi="David" w:cs="David" w:hint="cs"/>
          <w:sz w:val="24"/>
          <w:szCs w:val="24"/>
          <w:rtl/>
        </w:rPr>
        <w:t>עד המדינה</w:t>
      </w:r>
      <w:r w:rsidRPr="00E7101E">
        <w:rPr>
          <w:rFonts w:ascii="David" w:hAnsi="David" w:cs="David" w:hint="cs"/>
          <w:sz w:val="24"/>
          <w:szCs w:val="24"/>
          <w:rtl/>
        </w:rPr>
        <w:t xml:space="preserve"> לברר איזה מהאירועים קשור התובע, ורמזי מבהיר כי הנאשם קשור לאירועים שהיו בחיפה, מבנה הסיינטולוגיה ולשוטה</w:t>
      </w:r>
      <w:r w:rsidR="00E4116E" w:rsidRPr="00E7101E">
        <w:rPr>
          <w:rFonts w:ascii="David" w:hAnsi="David" w:cs="David" w:hint="cs"/>
          <w:sz w:val="24"/>
          <w:szCs w:val="24"/>
          <w:rtl/>
        </w:rPr>
        <w:t xml:space="preserve"> חובל</w:t>
      </w:r>
      <w:r w:rsidRPr="00E7101E">
        <w:rPr>
          <w:rFonts w:ascii="David" w:hAnsi="David" w:cs="David" w:hint="cs"/>
          <w:sz w:val="24"/>
          <w:szCs w:val="24"/>
          <w:rtl/>
        </w:rPr>
        <w:t xml:space="preserve"> </w:t>
      </w:r>
      <w:r w:rsidRPr="00E7101E">
        <w:rPr>
          <w:rFonts w:ascii="David" w:hAnsi="David" w:cs="David"/>
          <w:sz w:val="24"/>
          <w:szCs w:val="24"/>
          <w:rtl/>
        </w:rPr>
        <w:t>–</w:t>
      </w:r>
      <w:r w:rsidRPr="00E7101E">
        <w:rPr>
          <w:rFonts w:ascii="David" w:hAnsi="David" w:cs="David" w:hint="cs"/>
          <w:sz w:val="24"/>
          <w:szCs w:val="24"/>
          <w:rtl/>
        </w:rPr>
        <w:t xml:space="preserve"> אולם לא קשור לפגיעות בזקאק: "</w:t>
      </w:r>
      <w:r w:rsidRPr="00F10028">
        <w:rPr>
          <w:rFonts w:ascii="David" w:hAnsi="David" w:cs="David" w:hint="cs"/>
          <w:b/>
          <w:bCs/>
          <w:sz w:val="24"/>
          <w:szCs w:val="24"/>
          <w:rtl/>
        </w:rPr>
        <w:t>חיפה (לא ברור) מה תגיד (לא ברור) זקאק לא קשור</w:t>
      </w:r>
      <w:r w:rsidRPr="00E7101E">
        <w:rPr>
          <w:rFonts w:ascii="David" w:hAnsi="David" w:cs="David" w:hint="cs"/>
          <w:sz w:val="24"/>
          <w:szCs w:val="24"/>
          <w:rtl/>
        </w:rPr>
        <w:t xml:space="preserve">" עד המדינה שואל: </w:t>
      </w:r>
      <w:r w:rsidRPr="00F10028">
        <w:rPr>
          <w:rFonts w:ascii="David" w:hAnsi="David" w:cs="David" w:hint="cs"/>
          <w:b/>
          <w:bCs/>
          <w:sz w:val="24"/>
          <w:szCs w:val="24"/>
          <w:rtl/>
        </w:rPr>
        <w:t>"(לא ברור) אתה מתכוון של שוטה ?"</w:t>
      </w:r>
      <w:r w:rsidRPr="00E7101E">
        <w:rPr>
          <w:rFonts w:ascii="David" w:hAnsi="David" w:cs="David" w:hint="cs"/>
          <w:sz w:val="24"/>
          <w:szCs w:val="24"/>
          <w:rtl/>
        </w:rPr>
        <w:t xml:space="preserve"> ורמזי משיב: "</w:t>
      </w:r>
      <w:r w:rsidRPr="00F10028">
        <w:rPr>
          <w:rFonts w:ascii="David" w:hAnsi="David" w:cs="David" w:hint="cs"/>
          <w:b/>
          <w:bCs/>
          <w:sz w:val="24"/>
          <w:szCs w:val="24"/>
          <w:rtl/>
        </w:rPr>
        <w:t>כן ... הוא לא קשור לזקאק ...</w:t>
      </w:r>
      <w:r w:rsidRPr="00E7101E">
        <w:rPr>
          <w:rFonts w:ascii="David" w:hAnsi="David" w:cs="David" w:hint="cs"/>
          <w:sz w:val="24"/>
          <w:szCs w:val="24"/>
          <w:rtl/>
        </w:rPr>
        <w:t xml:space="preserve">" (עמ' 6 לתרגיל קישון בש' 131 </w:t>
      </w:r>
      <w:r w:rsidRPr="00E7101E">
        <w:rPr>
          <w:rFonts w:ascii="David" w:hAnsi="David" w:cs="David"/>
          <w:sz w:val="24"/>
          <w:szCs w:val="24"/>
          <w:rtl/>
        </w:rPr>
        <w:t>–</w:t>
      </w:r>
      <w:r w:rsidRPr="00E7101E">
        <w:rPr>
          <w:rFonts w:ascii="David" w:hAnsi="David" w:cs="David" w:hint="cs"/>
          <w:sz w:val="24"/>
          <w:szCs w:val="24"/>
          <w:rtl/>
        </w:rPr>
        <w:t xml:space="preserve"> 136). </w:t>
      </w:r>
    </w:p>
    <w:p w:rsidR="00A05D66" w:rsidRPr="00E7101E" w:rsidRDefault="00A05D66" w:rsidP="00D17582">
      <w:pPr>
        <w:pStyle w:val="af4"/>
        <w:keepLines/>
        <w:numPr>
          <w:ilvl w:val="4"/>
          <w:numId w:val="24"/>
        </w:numPr>
        <w:spacing w:before="120" w:line="360" w:lineRule="auto"/>
        <w:ind w:left="1382" w:hanging="283"/>
        <w:jc w:val="both"/>
        <w:rPr>
          <w:rFonts w:ascii="David" w:hAnsi="David" w:cs="David"/>
          <w:sz w:val="24"/>
          <w:szCs w:val="24"/>
        </w:rPr>
      </w:pPr>
      <w:r w:rsidRPr="00E7101E">
        <w:rPr>
          <w:rFonts w:ascii="David" w:hAnsi="David" w:cs="David" w:hint="cs"/>
          <w:sz w:val="24"/>
          <w:szCs w:val="24"/>
          <w:rtl/>
        </w:rPr>
        <w:t xml:space="preserve">עד המדינה מנסה לברר האם יתכן שהיתה האזנה לשיחות בין התובע לרמזי: </w:t>
      </w:r>
      <w:r w:rsidRPr="00F10028">
        <w:rPr>
          <w:rFonts w:ascii="David" w:hAnsi="David" w:cs="David" w:hint="cs"/>
          <w:b/>
          <w:bCs/>
          <w:sz w:val="24"/>
          <w:szCs w:val="24"/>
          <w:rtl/>
        </w:rPr>
        <w:t>"(לא ברור) יכול להיות שאתה לקחת מגור כסף ודיברת</w:t>
      </w:r>
      <w:r w:rsidRPr="00E7101E">
        <w:rPr>
          <w:rFonts w:ascii="David" w:hAnsi="David" w:cs="David" w:hint="cs"/>
          <w:sz w:val="24"/>
          <w:szCs w:val="24"/>
          <w:rtl/>
        </w:rPr>
        <w:t>" ורמזי משיב: "</w:t>
      </w:r>
      <w:r w:rsidRPr="00F10028">
        <w:rPr>
          <w:rFonts w:ascii="David" w:hAnsi="David" w:cs="David" w:hint="cs"/>
          <w:b/>
          <w:bCs/>
          <w:sz w:val="24"/>
          <w:szCs w:val="24"/>
          <w:rtl/>
        </w:rPr>
        <w:t>אין טלפונים בינינו</w:t>
      </w:r>
      <w:r w:rsidRPr="00E7101E">
        <w:rPr>
          <w:rFonts w:ascii="David" w:hAnsi="David" w:cs="David" w:hint="cs"/>
          <w:sz w:val="24"/>
          <w:szCs w:val="24"/>
          <w:rtl/>
        </w:rPr>
        <w:t>". עד המדינה תוהה :"</w:t>
      </w:r>
      <w:r w:rsidRPr="00F10028">
        <w:rPr>
          <w:rFonts w:ascii="David" w:hAnsi="David" w:cs="David" w:hint="cs"/>
          <w:b/>
          <w:bCs/>
          <w:sz w:val="24"/>
          <w:szCs w:val="24"/>
          <w:rtl/>
        </w:rPr>
        <w:t>אז איך אתה מדבר איתו ?... בארבע עיניים</w:t>
      </w:r>
      <w:r w:rsidRPr="00E7101E">
        <w:rPr>
          <w:rFonts w:ascii="David" w:hAnsi="David" w:cs="David" w:hint="cs"/>
          <w:sz w:val="24"/>
          <w:szCs w:val="24"/>
          <w:rtl/>
        </w:rPr>
        <w:t>". רמזי משיב :"</w:t>
      </w:r>
      <w:r w:rsidRPr="00F10028">
        <w:rPr>
          <w:rFonts w:ascii="David" w:hAnsi="David" w:cs="David" w:hint="cs"/>
          <w:b/>
          <w:bCs/>
          <w:sz w:val="24"/>
          <w:szCs w:val="24"/>
          <w:rtl/>
        </w:rPr>
        <w:t>בבית, במשרד</w:t>
      </w:r>
      <w:r w:rsidRPr="00E7101E">
        <w:rPr>
          <w:rFonts w:ascii="David" w:hAnsi="David" w:cs="David" w:hint="cs"/>
          <w:sz w:val="24"/>
          <w:szCs w:val="24"/>
          <w:rtl/>
        </w:rPr>
        <w:t xml:space="preserve">" (עמ' 12 לתרגיל קישון בש' 295- 300). </w:t>
      </w:r>
    </w:p>
    <w:p w:rsidR="00854AB4" w:rsidRPr="00E7101E" w:rsidRDefault="00854AB4" w:rsidP="00E7101E">
      <w:pPr>
        <w:pStyle w:val="af4"/>
        <w:keepLines/>
        <w:spacing w:before="120"/>
        <w:ind w:left="1099"/>
        <w:jc w:val="both"/>
        <w:rPr>
          <w:rFonts w:ascii="David" w:hAnsi="David" w:cs="David"/>
          <w:sz w:val="24"/>
          <w:szCs w:val="24"/>
          <w:highlight w:val="green"/>
        </w:rPr>
      </w:pPr>
      <w:r w:rsidRPr="00E7101E">
        <w:rPr>
          <w:rFonts w:ascii="David" w:hAnsi="David" w:cs="David" w:hint="cs"/>
          <w:sz w:val="24"/>
          <w:szCs w:val="24"/>
          <w:highlight w:val="green"/>
          <w:rtl/>
        </w:rPr>
        <w:t xml:space="preserve">  </w:t>
      </w:r>
    </w:p>
    <w:p w:rsidR="00B02CB8" w:rsidRPr="00E7101E" w:rsidRDefault="007B74E3" w:rsidP="00EC06C4">
      <w:pPr>
        <w:pStyle w:val="af4"/>
        <w:keepLines/>
        <w:numPr>
          <w:ilvl w:val="2"/>
          <w:numId w:val="25"/>
        </w:numPr>
        <w:spacing w:before="120" w:line="360" w:lineRule="auto"/>
        <w:ind w:left="1099" w:hanging="284"/>
        <w:jc w:val="both"/>
        <w:rPr>
          <w:rFonts w:ascii="David" w:hAnsi="David" w:cs="David"/>
          <w:sz w:val="24"/>
          <w:szCs w:val="24"/>
        </w:rPr>
      </w:pPr>
      <w:r w:rsidRPr="00F10028">
        <w:rPr>
          <w:rFonts w:ascii="David" w:hAnsi="David" w:cs="David" w:hint="cs"/>
          <w:b/>
          <w:bCs/>
          <w:sz w:val="24"/>
          <w:szCs w:val="24"/>
          <w:u w:val="single"/>
          <w:rtl/>
        </w:rPr>
        <w:lastRenderedPageBreak/>
        <w:t>הודעות עבדי</w:t>
      </w:r>
      <w:r w:rsidR="00B02CB8" w:rsidRPr="00E7101E">
        <w:rPr>
          <w:rFonts w:ascii="David" w:hAnsi="David" w:cs="David" w:hint="cs"/>
          <w:sz w:val="24"/>
          <w:szCs w:val="24"/>
          <w:rtl/>
        </w:rPr>
        <w:t xml:space="preserve">: </w:t>
      </w:r>
      <w:r w:rsidR="00A91EFB" w:rsidRPr="00E7101E">
        <w:rPr>
          <w:rFonts w:ascii="David" w:hAnsi="David" w:cs="David" w:hint="cs"/>
          <w:sz w:val="24"/>
          <w:szCs w:val="24"/>
          <w:rtl/>
        </w:rPr>
        <w:t xml:space="preserve">עבדי היה איש </w:t>
      </w:r>
      <w:r w:rsidR="00B02CB8" w:rsidRPr="00E7101E">
        <w:rPr>
          <w:rFonts w:ascii="David" w:hAnsi="David" w:cs="David" w:hint="cs"/>
          <w:sz w:val="24"/>
          <w:szCs w:val="24"/>
          <w:rtl/>
        </w:rPr>
        <w:t xml:space="preserve">הקשר בין רמזי לעד המדינה ויצר בפני האחרון מצג כוזב לפיו הוא בקשר ישיר עם המזמין. עבדי הודה בחלקו בביצוע העבירות והפליל את האחרים יומיים לפני הודאתו הראשונה של רמזי, בעת שהשניים שהו בהפרדה מוחלטת. עבדי סיפר על דברים ששמע מפי רמזי, במהלך מימוש הקשר הפלילי ביניהם, עבדי מסר כי ציין בפני עד המדינה שהוא עצמו בעל המניע לפגוע בשוטה חובל וזאת בשל צו הריסה שהוצא לבית משפחתו, והודה ששיקר לעד המדינה באשר למניע לביצוע כל העבירות, לבקשת רמזי, על מנת להגן על התובע ולהרחיקו. </w:t>
      </w:r>
    </w:p>
    <w:p w:rsidR="00A91EFB" w:rsidRPr="00E7101E" w:rsidRDefault="00A91EFB" w:rsidP="00E7101E">
      <w:pPr>
        <w:pStyle w:val="af4"/>
        <w:keepLines/>
        <w:spacing w:before="120"/>
        <w:ind w:left="1099"/>
        <w:jc w:val="both"/>
        <w:rPr>
          <w:rFonts w:ascii="David" w:hAnsi="David" w:cs="David"/>
          <w:sz w:val="24"/>
          <w:szCs w:val="24"/>
          <w:highlight w:val="green"/>
          <w:rtl/>
        </w:rPr>
      </w:pPr>
    </w:p>
    <w:p w:rsidR="00A91EFB" w:rsidRPr="00E7101E" w:rsidRDefault="00A91EFB" w:rsidP="00E7101E">
      <w:pPr>
        <w:pStyle w:val="af4"/>
        <w:keepLines/>
        <w:spacing w:before="120" w:line="360" w:lineRule="auto"/>
        <w:ind w:left="1099"/>
        <w:jc w:val="both"/>
        <w:rPr>
          <w:rFonts w:ascii="David" w:hAnsi="David" w:cs="David"/>
          <w:sz w:val="24"/>
          <w:szCs w:val="24"/>
          <w:rtl/>
        </w:rPr>
      </w:pPr>
      <w:r w:rsidRPr="00E7101E">
        <w:rPr>
          <w:rFonts w:ascii="David" w:hAnsi="David" w:cs="David" w:hint="cs"/>
          <w:sz w:val="24"/>
          <w:szCs w:val="24"/>
          <w:rtl/>
        </w:rPr>
        <w:t xml:space="preserve">עבדי </w:t>
      </w:r>
      <w:r w:rsidR="00E7101E" w:rsidRPr="00E7101E">
        <w:rPr>
          <w:rFonts w:ascii="David" w:hAnsi="David" w:cs="David" w:hint="cs"/>
          <w:sz w:val="24"/>
          <w:szCs w:val="24"/>
          <w:rtl/>
        </w:rPr>
        <w:t>מסר בהודעותיו</w:t>
      </w:r>
      <w:r w:rsidRPr="00E7101E">
        <w:rPr>
          <w:rFonts w:ascii="David" w:hAnsi="David" w:cs="David" w:hint="cs"/>
          <w:sz w:val="24"/>
          <w:szCs w:val="24"/>
          <w:rtl/>
        </w:rPr>
        <w:t xml:space="preserve"> על הקשרים הקרובים שהיו בין התובע ורמזי ועל כך שהתובע ביקש מרמזי לפגוע בשוטה חבול משום שהאחרון הוציא צו הפסקת עבודה למבנה הסיינטולוגיה. עבדי אף ידע לתאר את כעסו של התובע </w:t>
      </w:r>
      <w:r w:rsidRPr="00E7101E">
        <w:rPr>
          <w:rFonts w:ascii="David" w:hAnsi="David" w:cs="David"/>
          <w:sz w:val="24"/>
          <w:szCs w:val="24"/>
          <w:rtl/>
        </w:rPr>
        <w:t>–</w:t>
      </w:r>
      <w:r w:rsidRPr="00E7101E">
        <w:rPr>
          <w:rFonts w:ascii="David" w:hAnsi="David" w:cs="David" w:hint="cs"/>
          <w:sz w:val="24"/>
          <w:szCs w:val="24"/>
          <w:rtl/>
        </w:rPr>
        <w:t xml:space="preserve"> על שוטה חובל בעקבות הצו, ועל רמזי </w:t>
      </w:r>
      <w:r w:rsidRPr="00E7101E">
        <w:rPr>
          <w:rFonts w:ascii="David" w:hAnsi="David" w:cs="David"/>
          <w:sz w:val="24"/>
          <w:szCs w:val="24"/>
          <w:rtl/>
        </w:rPr>
        <w:t>–</w:t>
      </w:r>
      <w:r w:rsidRPr="00E7101E">
        <w:rPr>
          <w:rFonts w:ascii="David" w:hAnsi="David" w:cs="David" w:hint="cs"/>
          <w:sz w:val="24"/>
          <w:szCs w:val="24"/>
          <w:rtl/>
        </w:rPr>
        <w:t xml:space="preserve"> בעקבות כישלון התפוצצות מטען החבלה. </w:t>
      </w:r>
    </w:p>
    <w:p w:rsidR="00A91EFB" w:rsidRPr="00E7101E" w:rsidRDefault="00A91EFB" w:rsidP="00E7101E">
      <w:pPr>
        <w:pStyle w:val="af4"/>
        <w:keepLines/>
        <w:spacing w:before="120"/>
        <w:ind w:left="1099"/>
        <w:jc w:val="both"/>
        <w:rPr>
          <w:rFonts w:ascii="David" w:hAnsi="David" w:cs="David"/>
          <w:sz w:val="24"/>
          <w:szCs w:val="24"/>
          <w:highlight w:val="green"/>
          <w:rtl/>
        </w:rPr>
      </w:pPr>
    </w:p>
    <w:p w:rsidR="00E7101E" w:rsidRPr="00E7101E" w:rsidRDefault="00A91EFB" w:rsidP="00A91EFB">
      <w:pPr>
        <w:pStyle w:val="af4"/>
        <w:keepLines/>
        <w:spacing w:before="120" w:line="360" w:lineRule="auto"/>
        <w:ind w:left="1099"/>
        <w:jc w:val="both"/>
        <w:rPr>
          <w:rFonts w:ascii="David" w:hAnsi="David" w:cs="David"/>
          <w:sz w:val="24"/>
          <w:szCs w:val="24"/>
          <w:rtl/>
        </w:rPr>
      </w:pPr>
      <w:r w:rsidRPr="00E7101E">
        <w:rPr>
          <w:rFonts w:ascii="David" w:hAnsi="David" w:cs="David" w:hint="cs"/>
          <w:sz w:val="24"/>
          <w:szCs w:val="24"/>
          <w:rtl/>
        </w:rPr>
        <w:t xml:space="preserve">עוד ידע עבדי לספר לא רק שהתובע הזמין את הפגיעות בדניאל כהן, אלא גם שהתובע מסר פרטים על דניאל כהן ואף את המניע לפגיעה בדניאל כהן ורצונו של התובע להעביר את בנו לחזקתו. </w:t>
      </w:r>
    </w:p>
    <w:p w:rsidR="00E7101E" w:rsidRPr="00E7101E" w:rsidRDefault="00E7101E" w:rsidP="00E7101E">
      <w:pPr>
        <w:pStyle w:val="af4"/>
        <w:keepLines/>
        <w:spacing w:before="120" w:line="360" w:lineRule="auto"/>
        <w:ind w:left="1099"/>
        <w:jc w:val="both"/>
        <w:rPr>
          <w:rFonts w:ascii="David" w:hAnsi="David" w:cs="David"/>
          <w:sz w:val="24"/>
          <w:szCs w:val="24"/>
        </w:rPr>
      </w:pPr>
      <w:r w:rsidRPr="00E7101E">
        <w:rPr>
          <w:rFonts w:ascii="David" w:hAnsi="David" w:cs="David" w:hint="cs"/>
          <w:sz w:val="24"/>
          <w:szCs w:val="24"/>
          <w:rtl/>
        </w:rPr>
        <w:t xml:space="preserve">עבדי גם מסר שהתובע ביקש לפגוע בע.ש. (גרושת התובע), הן בשל המאבק על בנם המשותף והן משום שהיא מאשימה את התובע בכל מה שקרה. </w:t>
      </w:r>
    </w:p>
    <w:p w:rsidR="00E7101E" w:rsidRPr="00E7101E" w:rsidRDefault="00E7101E" w:rsidP="00E7101E">
      <w:pPr>
        <w:pStyle w:val="af4"/>
        <w:keepLines/>
        <w:spacing w:before="120"/>
        <w:ind w:left="1099"/>
        <w:jc w:val="both"/>
        <w:rPr>
          <w:rFonts w:ascii="David" w:hAnsi="David" w:cs="David"/>
          <w:sz w:val="24"/>
          <w:szCs w:val="24"/>
          <w:highlight w:val="green"/>
          <w:rtl/>
        </w:rPr>
      </w:pPr>
    </w:p>
    <w:p w:rsidR="00E7101E" w:rsidRDefault="00A91EFB" w:rsidP="00F10028">
      <w:pPr>
        <w:pStyle w:val="af4"/>
        <w:keepLines/>
        <w:spacing w:before="120" w:line="360" w:lineRule="auto"/>
        <w:ind w:left="1099"/>
        <w:jc w:val="both"/>
        <w:rPr>
          <w:rFonts w:ascii="David" w:hAnsi="David" w:cs="David"/>
          <w:sz w:val="24"/>
          <w:szCs w:val="24"/>
          <w:rtl/>
        </w:rPr>
      </w:pPr>
      <w:r w:rsidRPr="00E7101E">
        <w:rPr>
          <w:rFonts w:ascii="David" w:hAnsi="David" w:cs="David" w:hint="cs"/>
          <w:sz w:val="24"/>
          <w:szCs w:val="24"/>
          <w:rtl/>
        </w:rPr>
        <w:t xml:space="preserve">עבדי תיאר בהודעותיו את כעסו של התובע על רמזי בכל פעם שכשלו בביצוע העבירות ואף את העובדה, כי לאחר שדניאל כהן התאושש מפציעותיו ממטען החבלה  - מיהר התובע להגיש לבית משפט לענייני משפחה בקשה להורות על העברת המשמורת של בנו אליו, לבקשה צורפו קטעי עיתונות בדבר ניסיונות ההתנקשות בחייו של דניאל כהן. </w:t>
      </w:r>
    </w:p>
    <w:p w:rsidR="00F10028" w:rsidRPr="00050E3F" w:rsidRDefault="00F10028" w:rsidP="00F10028">
      <w:pPr>
        <w:pStyle w:val="af4"/>
        <w:keepLines/>
        <w:spacing w:before="120"/>
        <w:ind w:left="1099"/>
        <w:jc w:val="both"/>
        <w:rPr>
          <w:rFonts w:ascii="David" w:hAnsi="David" w:cs="David"/>
          <w:sz w:val="24"/>
          <w:szCs w:val="24"/>
        </w:rPr>
      </w:pPr>
    </w:p>
    <w:p w:rsidR="007616D4" w:rsidRDefault="007B74E3" w:rsidP="00F10028">
      <w:pPr>
        <w:pStyle w:val="af4"/>
        <w:keepLines/>
        <w:numPr>
          <w:ilvl w:val="2"/>
          <w:numId w:val="25"/>
        </w:numPr>
        <w:spacing w:before="120" w:line="360" w:lineRule="auto"/>
        <w:ind w:left="1100" w:hanging="284"/>
        <w:jc w:val="both"/>
        <w:rPr>
          <w:rFonts w:ascii="David" w:hAnsi="David" w:cs="David"/>
          <w:sz w:val="24"/>
          <w:szCs w:val="24"/>
        </w:rPr>
      </w:pPr>
      <w:r w:rsidRPr="00E7101E">
        <w:rPr>
          <w:rFonts w:ascii="David" w:hAnsi="David" w:cs="David" w:hint="cs"/>
          <w:b/>
          <w:bCs/>
          <w:sz w:val="24"/>
          <w:szCs w:val="24"/>
          <w:u w:val="single"/>
          <w:rtl/>
        </w:rPr>
        <w:t>הודעות עד המדינה</w:t>
      </w:r>
      <w:r w:rsidR="00B02CB8" w:rsidRPr="00E7101E">
        <w:rPr>
          <w:rFonts w:ascii="David" w:hAnsi="David" w:cs="David" w:hint="cs"/>
          <w:sz w:val="24"/>
          <w:szCs w:val="24"/>
          <w:rtl/>
        </w:rPr>
        <w:t xml:space="preserve">: מהראיות עלה כי עד המדינה היה בתחתית ההיררכיה העבריינית ופעל על פי הנחיותיהם של עבדי ורמזי. עד המדינה בחר לשתף פעולה עם חוקריו מיום מעצרו וקשר בין כל הפרשות והאירועים </w:t>
      </w:r>
      <w:r w:rsidR="00B02CB8" w:rsidRPr="00E7101E">
        <w:rPr>
          <w:rFonts w:ascii="David" w:hAnsi="David" w:cs="David"/>
          <w:sz w:val="24"/>
          <w:szCs w:val="24"/>
          <w:rtl/>
        </w:rPr>
        <w:t>–</w:t>
      </w:r>
      <w:r w:rsidR="00B02CB8" w:rsidRPr="00E7101E">
        <w:rPr>
          <w:rFonts w:ascii="David" w:hAnsi="David" w:cs="David" w:hint="cs"/>
          <w:sz w:val="24"/>
          <w:szCs w:val="24"/>
          <w:rtl/>
        </w:rPr>
        <w:t xml:space="preserve"> אולם עד המדינה ניזון מהדברים ששמע מפי עבדי אשר שיקר באשר לזהות מזמין העבירות והמניע לביצוען. חרף המידור שביקשו רמזי ועבדי לקיים, </w:t>
      </w:r>
      <w:r w:rsidR="00E7101E" w:rsidRPr="00E7101E">
        <w:rPr>
          <w:rFonts w:ascii="David" w:hAnsi="David" w:cs="David" w:hint="cs"/>
          <w:sz w:val="24"/>
          <w:szCs w:val="24"/>
          <w:rtl/>
        </w:rPr>
        <w:t xml:space="preserve">הרי </w:t>
      </w:r>
      <w:r w:rsidR="00B02CB8" w:rsidRPr="00E7101E">
        <w:rPr>
          <w:rFonts w:ascii="David" w:hAnsi="David" w:cs="David" w:hint="cs"/>
          <w:sz w:val="24"/>
          <w:szCs w:val="24"/>
          <w:rtl/>
        </w:rPr>
        <w:t>על פי הראיות</w:t>
      </w:r>
      <w:r w:rsidR="00E7101E" w:rsidRPr="00E7101E">
        <w:rPr>
          <w:rFonts w:ascii="David" w:hAnsi="David" w:cs="David" w:hint="cs"/>
          <w:sz w:val="24"/>
          <w:szCs w:val="24"/>
          <w:rtl/>
        </w:rPr>
        <w:t xml:space="preserve"> אשר עמדו בפני המאשימה</w:t>
      </w:r>
      <w:r w:rsidR="00B02CB8" w:rsidRPr="00E7101E">
        <w:rPr>
          <w:rFonts w:ascii="David" w:hAnsi="David" w:cs="David" w:hint="cs"/>
          <w:sz w:val="24"/>
          <w:szCs w:val="24"/>
          <w:rtl/>
        </w:rPr>
        <w:t xml:space="preserve"> ה</w:t>
      </w:r>
      <w:r w:rsidR="00E7101E" w:rsidRPr="00E7101E">
        <w:rPr>
          <w:rFonts w:ascii="David" w:hAnsi="David" w:cs="David" w:hint="cs"/>
          <w:sz w:val="24"/>
          <w:szCs w:val="24"/>
          <w:rtl/>
        </w:rPr>
        <w:t>י</w:t>
      </w:r>
      <w:r w:rsidR="00B02CB8" w:rsidRPr="00E7101E">
        <w:rPr>
          <w:rFonts w:ascii="David" w:hAnsi="David" w:cs="David" w:hint="cs"/>
          <w:sz w:val="24"/>
          <w:szCs w:val="24"/>
          <w:rtl/>
        </w:rPr>
        <w:t>יתה זליגת מידע לעד המדינה בין בעת שביצעו חלק מהעבירות ובין בשיחות בינו לבין רמזי ב</w:t>
      </w:r>
      <w:r w:rsidR="00854AB4" w:rsidRPr="00E7101E">
        <w:rPr>
          <w:rFonts w:ascii="David" w:hAnsi="David" w:cs="David" w:hint="cs"/>
          <w:sz w:val="24"/>
          <w:szCs w:val="24"/>
          <w:rtl/>
        </w:rPr>
        <w:t xml:space="preserve">מסגרת מימוש הקשר. </w:t>
      </w:r>
      <w:r w:rsidR="00B02CB8" w:rsidRPr="00E7101E">
        <w:rPr>
          <w:rFonts w:ascii="David" w:hAnsi="David" w:cs="David" w:hint="cs"/>
          <w:sz w:val="24"/>
          <w:szCs w:val="24"/>
          <w:rtl/>
        </w:rPr>
        <w:t xml:space="preserve">   </w:t>
      </w:r>
    </w:p>
    <w:p w:rsidR="00F10028" w:rsidRPr="00F10028" w:rsidRDefault="00F10028" w:rsidP="00F10028">
      <w:pPr>
        <w:pStyle w:val="af4"/>
        <w:keepLines/>
        <w:spacing w:before="120"/>
        <w:ind w:left="1100"/>
        <w:jc w:val="both"/>
        <w:rPr>
          <w:rFonts w:ascii="David" w:hAnsi="David" w:cs="David"/>
          <w:sz w:val="24"/>
          <w:szCs w:val="24"/>
          <w:rtl/>
        </w:rPr>
      </w:pPr>
    </w:p>
    <w:p w:rsidR="007B74E3" w:rsidRPr="00E7101E" w:rsidRDefault="007B74E3" w:rsidP="00854AB4">
      <w:pPr>
        <w:pStyle w:val="af4"/>
        <w:keepLines/>
        <w:numPr>
          <w:ilvl w:val="2"/>
          <w:numId w:val="25"/>
        </w:numPr>
        <w:spacing w:before="120" w:line="360" w:lineRule="auto"/>
        <w:ind w:left="1099" w:hanging="284"/>
        <w:jc w:val="both"/>
        <w:rPr>
          <w:rFonts w:ascii="David" w:hAnsi="David" w:cs="David"/>
          <w:sz w:val="24"/>
          <w:szCs w:val="24"/>
        </w:rPr>
      </w:pPr>
      <w:r w:rsidRPr="00E7101E">
        <w:rPr>
          <w:rFonts w:ascii="David" w:hAnsi="David" w:cs="David" w:hint="cs"/>
          <w:b/>
          <w:bCs/>
          <w:sz w:val="24"/>
          <w:szCs w:val="24"/>
          <w:u w:val="single"/>
          <w:rtl/>
        </w:rPr>
        <w:t>האזנות סתר</w:t>
      </w:r>
      <w:r w:rsidR="00854AB4" w:rsidRPr="00E7101E">
        <w:rPr>
          <w:rFonts w:ascii="David" w:hAnsi="David" w:cs="David" w:hint="cs"/>
          <w:sz w:val="24"/>
          <w:szCs w:val="24"/>
          <w:rtl/>
        </w:rPr>
        <w:t xml:space="preserve">: </w:t>
      </w:r>
      <w:r w:rsidRPr="00E7101E">
        <w:rPr>
          <w:rFonts w:ascii="David" w:hAnsi="David" w:cs="David" w:hint="cs"/>
          <w:sz w:val="24"/>
          <w:szCs w:val="24"/>
          <w:rtl/>
        </w:rPr>
        <w:t>במשך כחודש לפני מעצרם בוצעו האזנות סתר לתובע, לניזאר ויוסף בכר, לעבדי רמזי ובינקי, לעד המדינה ולאחרים. האזנות הסתר לימדו על מערכת היחסים בין התובע לבין רמזי וניזאר בכר, ובין עבדי לבין רמזי, יוסף, בינקי ו-א.א., באופן העולה בקנה אחד עם הודעות המעור</w:t>
      </w:r>
      <w:r w:rsidR="00854AB4" w:rsidRPr="00E7101E">
        <w:rPr>
          <w:rFonts w:ascii="David" w:hAnsi="David" w:cs="David" w:hint="cs"/>
          <w:sz w:val="24"/>
          <w:szCs w:val="24"/>
          <w:rtl/>
        </w:rPr>
        <w:t xml:space="preserve">בים, באשר למערכות היחסים ביניהם. כמו כן, האזנות סתר לימדו גם על התכנון והביצוע של חלק מהעבירות בהן הואשמו בני משפחת בכר ואחרים. </w:t>
      </w:r>
    </w:p>
    <w:p w:rsidR="00854AB4" w:rsidRPr="00E7101E" w:rsidRDefault="00854AB4" w:rsidP="00854AB4">
      <w:pPr>
        <w:pStyle w:val="af4"/>
        <w:rPr>
          <w:rFonts w:ascii="David" w:hAnsi="David" w:cs="David"/>
          <w:sz w:val="24"/>
          <w:szCs w:val="24"/>
          <w:rtl/>
        </w:rPr>
      </w:pPr>
    </w:p>
    <w:p w:rsidR="006E44EE" w:rsidRPr="008E4F3E" w:rsidRDefault="007B74E3" w:rsidP="008E4F3E">
      <w:pPr>
        <w:pStyle w:val="af4"/>
        <w:keepLines/>
        <w:numPr>
          <w:ilvl w:val="2"/>
          <w:numId w:val="25"/>
        </w:numPr>
        <w:spacing w:before="120" w:line="360" w:lineRule="auto"/>
        <w:ind w:left="1099" w:hanging="284"/>
        <w:jc w:val="both"/>
        <w:rPr>
          <w:rFonts w:ascii="David" w:hAnsi="David" w:cs="David"/>
          <w:sz w:val="24"/>
          <w:szCs w:val="24"/>
        </w:rPr>
      </w:pPr>
      <w:r w:rsidRPr="00E7101E">
        <w:rPr>
          <w:rFonts w:ascii="David" w:hAnsi="David" w:cs="David" w:hint="cs"/>
          <w:b/>
          <w:bCs/>
          <w:sz w:val="24"/>
          <w:szCs w:val="24"/>
          <w:u w:val="single"/>
          <w:rtl/>
        </w:rPr>
        <w:t>מחקרי תקשורת</w:t>
      </w:r>
      <w:r w:rsidR="00854AB4" w:rsidRPr="00E7101E">
        <w:rPr>
          <w:rFonts w:ascii="David" w:hAnsi="David" w:cs="David" w:hint="cs"/>
          <w:sz w:val="24"/>
          <w:szCs w:val="24"/>
          <w:rtl/>
        </w:rPr>
        <w:t xml:space="preserve">: מחקרי התקשורת לימדו על קשרים הדוקים בין התובע לרמזי וניזאר ובין בני משפחת בכר לעד המדינה. מחקר תקשורת לנייד של רמזי הראה קיומו של קשר אינטנסיבי בינו לבין התובע : מספר רב של התקשרויות ביניהם, 4 מתוכן ב- 22.11.10 </w:t>
      </w:r>
      <w:r w:rsidR="00854AB4" w:rsidRPr="00E7101E">
        <w:rPr>
          <w:rFonts w:ascii="David" w:hAnsi="David" w:cs="David"/>
          <w:sz w:val="24"/>
          <w:szCs w:val="24"/>
          <w:rtl/>
        </w:rPr>
        <w:t>–</w:t>
      </w:r>
      <w:r w:rsidR="00854AB4" w:rsidRPr="00E7101E">
        <w:rPr>
          <w:rFonts w:ascii="David" w:hAnsi="David" w:cs="David" w:hint="cs"/>
          <w:sz w:val="24"/>
          <w:szCs w:val="24"/>
          <w:rtl/>
        </w:rPr>
        <w:t xml:space="preserve"> יום לאחר פיצוץ המטען ברכבו של דניאל כהן. </w:t>
      </w:r>
    </w:p>
    <w:p w:rsidR="007B74E3" w:rsidRPr="00E7101E" w:rsidRDefault="007B74E3" w:rsidP="000A434B">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lastRenderedPageBreak/>
        <w:t xml:space="preserve">כבוד השופט מזוז, בדעת מיעוט, סבר כי אין כל עילה להתערבות בהחלטת בית המשפט המחוזי בנוגע לאישומים 4-6, וכי יש לדחות את ערעור התובע על כך. כבוד השופט מזוז עומד על כך שפסק דינו של בית המשפט המחוזי מבוסס היטב וכי הראיות הנסיבתיות בהן מצא בית המשפט </w:t>
      </w:r>
      <w:r w:rsidR="006E44EE" w:rsidRPr="00E7101E">
        <w:rPr>
          <w:rFonts w:ascii="David" w:hAnsi="David" w:cs="David" w:hint="cs"/>
          <w:sz w:val="24"/>
          <w:szCs w:val="24"/>
          <w:rtl/>
        </w:rPr>
        <w:t xml:space="preserve">חיזוק לגרסת רמזי במשקלן המצטבר </w:t>
      </w:r>
      <w:r w:rsidRPr="00E7101E">
        <w:rPr>
          <w:rFonts w:ascii="David" w:hAnsi="David" w:cs="David" w:hint="cs"/>
          <w:sz w:val="24"/>
          <w:szCs w:val="24"/>
          <w:rtl/>
        </w:rPr>
        <w:t>הן בעלות משקל משכנע ושאף ניתן להוסיף עליהן.</w:t>
      </w:r>
    </w:p>
    <w:p w:rsidR="007B74E3" w:rsidRPr="00E7101E" w:rsidRDefault="007B74E3" w:rsidP="007B74E3">
      <w:pPr>
        <w:pStyle w:val="af4"/>
        <w:spacing w:before="120" w:line="360" w:lineRule="auto"/>
        <w:jc w:val="both"/>
        <w:rPr>
          <w:rFonts w:ascii="David" w:hAnsi="David" w:cs="David"/>
          <w:sz w:val="24"/>
          <w:szCs w:val="24"/>
          <w:rtl/>
        </w:rPr>
      </w:pPr>
      <w:r w:rsidRPr="00E7101E">
        <w:rPr>
          <w:rFonts w:ascii="David" w:hAnsi="David" w:cs="David" w:hint="cs"/>
          <w:sz w:val="24"/>
          <w:szCs w:val="24"/>
          <w:rtl/>
        </w:rPr>
        <w:t>יוטעם בהקשר זה, כי כבוד השופט יצחק עמית, אשר נמנה על שופטי הרוב בע"פ 7253/14 ו-7314</w:t>
      </w:r>
      <w:r w:rsidR="00726E2D">
        <w:rPr>
          <w:rFonts w:ascii="David" w:hAnsi="David" w:cs="David" w:hint="cs"/>
          <w:sz w:val="24"/>
          <w:szCs w:val="24"/>
          <w:rtl/>
        </w:rPr>
        <w:t>/14, עמד בסעיפים 86 (פסקה שלישית) ו-</w:t>
      </w:r>
      <w:r w:rsidRPr="00E7101E">
        <w:rPr>
          <w:rFonts w:ascii="David" w:hAnsi="David" w:cs="David" w:hint="cs"/>
          <w:sz w:val="24"/>
          <w:szCs w:val="24"/>
          <w:rtl/>
        </w:rPr>
        <w:t xml:space="preserve"> 89 לפסק דינו </w:t>
      </w:r>
      <w:r w:rsidRPr="008E4F3E">
        <w:rPr>
          <w:rFonts w:ascii="David" w:hAnsi="David" w:cs="David" w:hint="cs"/>
          <w:b/>
          <w:bCs/>
          <w:sz w:val="24"/>
          <w:szCs w:val="24"/>
          <w:rtl/>
        </w:rPr>
        <w:t>על כך שמסקנה מרשיעה הינה אפשרית וסבירה אשר מתיישבת עם חומר הראיות</w:t>
      </w:r>
      <w:r w:rsidRPr="00E7101E">
        <w:rPr>
          <w:rFonts w:ascii="David" w:hAnsi="David" w:cs="David" w:hint="cs"/>
          <w:sz w:val="24"/>
          <w:szCs w:val="24"/>
          <w:rtl/>
        </w:rPr>
        <w:t>, כדלהלן:</w:t>
      </w:r>
    </w:p>
    <w:p w:rsidR="007B74E3" w:rsidRPr="00E7101E" w:rsidRDefault="007B74E3" w:rsidP="006E44EE">
      <w:pPr>
        <w:pStyle w:val="af4"/>
        <w:spacing w:before="120" w:line="360" w:lineRule="auto"/>
        <w:jc w:val="both"/>
        <w:rPr>
          <w:rFonts w:ascii="David" w:hAnsi="David" w:cs="David"/>
          <w:sz w:val="24"/>
          <w:szCs w:val="24"/>
        </w:rPr>
      </w:pPr>
      <w:r w:rsidRPr="00E7101E">
        <w:rPr>
          <w:rFonts w:ascii="David" w:hAnsi="David" w:cs="David" w:hint="cs"/>
          <w:sz w:val="24"/>
          <w:szCs w:val="24"/>
          <w:rtl/>
        </w:rPr>
        <w:t>"</w:t>
      </w:r>
      <w:r w:rsidR="00726E2D">
        <w:rPr>
          <w:rFonts w:ascii="David" w:hAnsi="David" w:cs="David" w:hint="cs"/>
          <w:b/>
          <w:bCs/>
          <w:sz w:val="24"/>
          <w:szCs w:val="24"/>
          <w:rtl/>
        </w:rPr>
        <w:t>בתחילת דרכנו עמדנו על כך שהראיות לחובתו של המערער באישומים 4-6 אכן מתיישבות עם גרסתו של רמזי ועם הכרעת הרוב...</w:t>
      </w:r>
      <w:r w:rsidRPr="008E4F3E">
        <w:rPr>
          <w:rFonts w:ascii="David" w:hAnsi="David" w:cs="David" w:hint="cs"/>
          <w:b/>
          <w:bCs/>
          <w:sz w:val="24"/>
          <w:szCs w:val="24"/>
          <w:rtl/>
        </w:rPr>
        <w:t xml:space="preserve">ולבסוף, אחזור ואדגיש כי המסקנה המרשיעה אליה הגיע חברי </w:t>
      </w:r>
      <w:r w:rsidRPr="008E4F3E">
        <w:rPr>
          <w:rFonts w:ascii="David" w:hAnsi="David" w:cs="David" w:hint="cs"/>
          <w:b/>
          <w:bCs/>
          <w:sz w:val="24"/>
          <w:szCs w:val="24"/>
          <w:u w:val="double"/>
          <w:rtl/>
        </w:rPr>
        <w:t>היא אפשרית, הגיונית וסבירה, והיא מתיישבת עם חומר הראיות</w:t>
      </w:r>
      <w:r w:rsidRPr="008E4F3E">
        <w:rPr>
          <w:rFonts w:ascii="David" w:hAnsi="David" w:cs="David" w:hint="cs"/>
          <w:b/>
          <w:bCs/>
          <w:sz w:val="24"/>
          <w:szCs w:val="24"/>
          <w:rtl/>
        </w:rPr>
        <w:t>. אך עדין אין בכך כדי לשלול קיומה של אפשרות סבירה אחרת</w:t>
      </w:r>
      <w:r w:rsidRPr="00E7101E">
        <w:rPr>
          <w:rFonts w:ascii="David" w:hAnsi="David" w:cs="David" w:hint="cs"/>
          <w:sz w:val="24"/>
          <w:szCs w:val="24"/>
          <w:rtl/>
        </w:rPr>
        <w:t xml:space="preserve">..." (ההדגשה אינה במקור </w:t>
      </w:r>
      <w:r w:rsidRPr="00E7101E">
        <w:rPr>
          <w:rFonts w:ascii="David" w:hAnsi="David" w:cs="David"/>
          <w:sz w:val="24"/>
          <w:szCs w:val="24"/>
          <w:rtl/>
        </w:rPr>
        <w:t>–</w:t>
      </w:r>
      <w:r w:rsidR="006E44EE" w:rsidRPr="00E7101E">
        <w:rPr>
          <w:rFonts w:ascii="David" w:hAnsi="David" w:cs="David" w:hint="cs"/>
          <w:sz w:val="24"/>
          <w:szCs w:val="24"/>
          <w:rtl/>
        </w:rPr>
        <w:t xml:space="preserve"> הח"מ</w:t>
      </w:r>
      <w:r w:rsidRPr="00E7101E">
        <w:rPr>
          <w:rFonts w:ascii="David" w:hAnsi="David" w:cs="David" w:hint="cs"/>
          <w:sz w:val="24"/>
          <w:szCs w:val="24"/>
          <w:rtl/>
        </w:rPr>
        <w:t>).</w:t>
      </w:r>
    </w:p>
    <w:p w:rsidR="007B74E3" w:rsidRPr="00E7101E" w:rsidRDefault="007B74E3" w:rsidP="006E44EE">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ברי, כי התמונה העולה מן המפורט לעיל כמו גם מחומר החקירה בתיק המשטרה אינם עולים בקנה אחד עם טענות התובע. ההפך הוא הנכון. לאור המפורט לעיל, ניתן להתרשם כבר עתה כי דין התובענה להידחות תוך חיוב התובע בהוצאות.</w:t>
      </w:r>
    </w:p>
    <w:p w:rsidR="006E44EE" w:rsidRPr="00E7101E" w:rsidRDefault="00BF2ACD" w:rsidP="006E44EE">
      <w:pPr>
        <w:keepLines/>
        <w:numPr>
          <w:ilvl w:val="0"/>
          <w:numId w:val="21"/>
        </w:numPr>
        <w:spacing w:before="120" w:line="360" w:lineRule="auto"/>
        <w:ind w:left="714" w:hanging="357"/>
        <w:jc w:val="both"/>
        <w:rPr>
          <w:rFonts w:ascii="David" w:hAnsi="David" w:cs="David"/>
          <w:sz w:val="24"/>
          <w:szCs w:val="24"/>
          <w:rtl/>
        </w:rPr>
      </w:pPr>
      <w:r w:rsidRPr="00E7101E">
        <w:rPr>
          <w:rFonts w:ascii="David" w:hAnsi="David" w:cs="David"/>
          <w:sz w:val="24"/>
          <w:szCs w:val="24"/>
          <w:rtl/>
        </w:rPr>
        <w:t xml:space="preserve">בנוסף לכך, המאשימה בחנה את התיק בכל שלב ושלב במהלך ניהול ההליך הפלילי, ואף חזרה בה מחלק מהאישומים </w:t>
      </w:r>
      <w:r w:rsidR="00EE7DFA">
        <w:rPr>
          <w:rFonts w:ascii="David" w:hAnsi="David" w:cs="David" w:hint="cs"/>
          <w:sz w:val="24"/>
          <w:szCs w:val="24"/>
          <w:rtl/>
        </w:rPr>
        <w:t xml:space="preserve">הן כלפי התובע והן כלפי הנאשם מס' 2 (ניזאר בכר) </w:t>
      </w:r>
      <w:r w:rsidRPr="00E7101E">
        <w:rPr>
          <w:rFonts w:ascii="David" w:hAnsi="David" w:cs="David"/>
          <w:sz w:val="24"/>
          <w:szCs w:val="24"/>
          <w:rtl/>
        </w:rPr>
        <w:t>במקרים בהם התברר כי הראיות אשר היו בידיה בנוגע לאישום מסוים לא עמדו בכור ההיתוך המשפטי בעת שמיעת העדויות.</w:t>
      </w:r>
    </w:p>
    <w:p w:rsidR="00BF2ACD" w:rsidRPr="00E7101E" w:rsidRDefault="00BF2ACD" w:rsidP="006E44EE">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כך, למשל, ביקשה המאשימה לזכות את התובע </w:t>
      </w:r>
      <w:r w:rsidRPr="00E7101E">
        <w:rPr>
          <w:rFonts w:ascii="David" w:hAnsi="David" w:cs="David" w:hint="cs"/>
          <w:sz w:val="24"/>
          <w:szCs w:val="24"/>
          <w:rtl/>
        </w:rPr>
        <w:t xml:space="preserve">כבר בשלב הגשת הסיכומים </w:t>
      </w:r>
      <w:r w:rsidRPr="00E7101E">
        <w:rPr>
          <w:rFonts w:ascii="David" w:hAnsi="David" w:cs="David"/>
          <w:sz w:val="24"/>
          <w:szCs w:val="24"/>
          <w:rtl/>
        </w:rPr>
        <w:t>מן העבירות אשר יוחסו לו באישום ה</w:t>
      </w:r>
      <w:r w:rsidRPr="00E7101E">
        <w:rPr>
          <w:rFonts w:ascii="David" w:hAnsi="David" w:cs="David" w:hint="cs"/>
          <w:sz w:val="24"/>
          <w:szCs w:val="24"/>
          <w:rtl/>
        </w:rPr>
        <w:t xml:space="preserve">שלישי </w:t>
      </w:r>
      <w:r w:rsidRPr="00E7101E">
        <w:rPr>
          <w:rFonts w:ascii="David" w:hAnsi="David" w:cs="David"/>
          <w:sz w:val="24"/>
          <w:szCs w:val="24"/>
          <w:rtl/>
        </w:rPr>
        <w:t>בכתב האישום</w:t>
      </w:r>
      <w:r w:rsidRPr="00E7101E">
        <w:rPr>
          <w:rFonts w:ascii="David" w:hAnsi="David" w:cs="David" w:hint="cs"/>
          <w:sz w:val="24"/>
          <w:szCs w:val="24"/>
          <w:rtl/>
        </w:rPr>
        <w:t xml:space="preserve"> המתוקן והמאוחד</w:t>
      </w:r>
      <w:r w:rsidRPr="00E7101E">
        <w:rPr>
          <w:rFonts w:ascii="David" w:hAnsi="David" w:cs="David"/>
          <w:sz w:val="24"/>
          <w:szCs w:val="24"/>
          <w:rtl/>
        </w:rPr>
        <w:t>.</w:t>
      </w:r>
    </w:p>
    <w:p w:rsidR="006E44EE" w:rsidRPr="00E7101E" w:rsidRDefault="006E44EE" w:rsidP="006E44EE">
      <w:pPr>
        <w:keepLines/>
        <w:spacing w:before="120" w:line="360" w:lineRule="auto"/>
        <w:ind w:left="714"/>
        <w:jc w:val="both"/>
        <w:rPr>
          <w:rFonts w:ascii="David" w:hAnsi="David" w:cs="David"/>
          <w:sz w:val="24"/>
          <w:szCs w:val="24"/>
          <w:rtl/>
        </w:rPr>
      </w:pPr>
      <w:r w:rsidRPr="00E7101E">
        <w:rPr>
          <w:rFonts w:ascii="David" w:hAnsi="David" w:cs="David"/>
          <w:sz w:val="24"/>
          <w:szCs w:val="24"/>
          <w:rtl/>
        </w:rPr>
        <w:t>למותר לציין, כי בכל חקירת משטרה באשר היא ניתן לבצע עוד ועוד פעולות, ועד אין סוף בדיקות אולם די לה לחקירת המשטרה שנאספות בה ראיות מספיקות לאישום, וכך היה במקרה נשוא התובענה שבכותרת.</w:t>
      </w:r>
    </w:p>
    <w:p w:rsidR="00BF2ACD" w:rsidRPr="00E7101E" w:rsidRDefault="006E44EE" w:rsidP="006E44EE">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מכל מקום, </w:t>
      </w:r>
      <w:r w:rsidR="00BF2ACD" w:rsidRPr="00E7101E">
        <w:rPr>
          <w:rFonts w:ascii="David" w:hAnsi="David" w:cs="David"/>
          <w:sz w:val="24"/>
          <w:szCs w:val="24"/>
          <w:rtl/>
        </w:rPr>
        <w:t xml:space="preserve">השתלשלות העניינים במקרה זה מלמדת על התנהלות מקצועית וסבירה מצד כל גורמי המדינה. משמעות הטלת אחריות בנזיקין על המדינה במקרה זה היא, כי בכל מקרה בו בית המשפט הפלילי אינו מקבל את עמדת המאשימה במלואה, או שהסיכוי הסביר להרשעה אינו מיתרגם בסוף ההליך לאשמה מעבר לכל ספק סביר, יש לחייב את רשויות האכיפה בנזיקין. </w:t>
      </w:r>
    </w:p>
    <w:p w:rsidR="00BF2ACD" w:rsidRPr="008E4F3E" w:rsidRDefault="00BF2ACD" w:rsidP="00BF2ACD">
      <w:pPr>
        <w:spacing w:line="360" w:lineRule="auto"/>
        <w:ind w:left="720"/>
        <w:rPr>
          <w:rFonts w:ascii="David" w:hAnsi="David" w:cs="David"/>
          <w:b/>
          <w:bCs/>
          <w:sz w:val="24"/>
          <w:szCs w:val="24"/>
          <w:rtl/>
        </w:rPr>
      </w:pPr>
      <w:r w:rsidRPr="008E4F3E">
        <w:rPr>
          <w:rFonts w:ascii="David" w:hAnsi="David" w:cs="David"/>
          <w:b/>
          <w:bCs/>
          <w:sz w:val="24"/>
          <w:szCs w:val="24"/>
          <w:rtl/>
        </w:rPr>
        <w:t>ולא היא!</w:t>
      </w:r>
    </w:p>
    <w:p w:rsidR="00BF2ACD" w:rsidRPr="00E7101E" w:rsidRDefault="00BF2ACD" w:rsidP="00BF2ACD">
      <w:pPr>
        <w:spacing w:line="360" w:lineRule="auto"/>
        <w:ind w:left="720"/>
        <w:jc w:val="both"/>
        <w:rPr>
          <w:rFonts w:ascii="David" w:hAnsi="David" w:cs="David"/>
          <w:sz w:val="24"/>
          <w:szCs w:val="24"/>
        </w:rPr>
      </w:pPr>
      <w:r w:rsidRPr="00E7101E">
        <w:rPr>
          <w:rFonts w:ascii="David" w:hAnsi="David" w:cs="David"/>
          <w:sz w:val="24"/>
          <w:szCs w:val="24"/>
          <w:rtl/>
        </w:rPr>
        <w:t>זיכוי בפלילים, כשלעצמו, אינו מקים עילת תביעה נגד המדינה והאפשרות כי הליך פלילי יסתיים בזיכוי הינה אפשרות טבועה בשיטתנו המשפטית.</w:t>
      </w:r>
    </w:p>
    <w:p w:rsidR="007B74E3" w:rsidRPr="00E7101E" w:rsidRDefault="00BF2ACD" w:rsidP="006E44EE">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sz w:val="24"/>
          <w:szCs w:val="24"/>
          <w:rtl/>
        </w:rPr>
        <w:t>עמדת הנתבעת היא כי לא היה כל מקום להגשת התובענה שבכותרת מלכתחילה.</w:t>
      </w:r>
    </w:p>
    <w:p w:rsidR="002431BA" w:rsidRPr="00424BFC" w:rsidRDefault="002431BA" w:rsidP="002431BA">
      <w:pPr>
        <w:spacing w:before="120" w:line="360" w:lineRule="auto"/>
        <w:ind w:left="357"/>
        <w:rPr>
          <w:rFonts w:ascii="David" w:hAnsi="David" w:cs="David"/>
          <w:b/>
          <w:bCs/>
          <w:sz w:val="28"/>
          <w:szCs w:val="28"/>
        </w:rPr>
      </w:pPr>
      <w:r w:rsidRPr="00424BFC">
        <w:rPr>
          <w:rFonts w:ascii="David" w:hAnsi="David" w:cs="David"/>
          <w:b/>
          <w:bCs/>
          <w:sz w:val="28"/>
          <w:szCs w:val="28"/>
          <w:rtl/>
        </w:rPr>
        <w:t xml:space="preserve">ד.  </w:t>
      </w:r>
      <w:r w:rsidRPr="00424BFC">
        <w:rPr>
          <w:rFonts w:ascii="David" w:hAnsi="David" w:cs="David"/>
          <w:b/>
          <w:bCs/>
          <w:sz w:val="28"/>
          <w:szCs w:val="28"/>
          <w:u w:val="double"/>
          <w:rtl/>
        </w:rPr>
        <w:t>טענות מקדמיות</w:t>
      </w:r>
    </w:p>
    <w:p w:rsidR="002431BA" w:rsidRPr="00E7101E" w:rsidRDefault="002431BA" w:rsidP="00EC06C4">
      <w:pPr>
        <w:keepLines/>
        <w:numPr>
          <w:ilvl w:val="0"/>
          <w:numId w:val="21"/>
        </w:numPr>
        <w:spacing w:line="360" w:lineRule="auto"/>
        <w:jc w:val="both"/>
        <w:rPr>
          <w:rFonts w:ascii="David" w:hAnsi="David" w:cs="David"/>
          <w:sz w:val="24"/>
          <w:szCs w:val="24"/>
        </w:rPr>
      </w:pPr>
      <w:r w:rsidRPr="008E4F3E">
        <w:rPr>
          <w:rFonts w:ascii="David" w:hAnsi="David" w:cs="David"/>
          <w:b/>
          <w:bCs/>
          <w:sz w:val="24"/>
          <w:szCs w:val="24"/>
          <w:rtl/>
        </w:rPr>
        <w:t>הנתבעת טוענת כי דין התביעה לה</w:t>
      </w:r>
      <w:r w:rsidR="008E4F3E" w:rsidRPr="008E4F3E">
        <w:rPr>
          <w:rFonts w:ascii="David" w:hAnsi="David" w:cs="David" w:hint="cs"/>
          <w:b/>
          <w:bCs/>
          <w:sz w:val="24"/>
          <w:szCs w:val="24"/>
          <w:rtl/>
        </w:rPr>
        <w:t>י</w:t>
      </w:r>
      <w:r w:rsidRPr="008E4F3E">
        <w:rPr>
          <w:rFonts w:ascii="David" w:hAnsi="David" w:cs="David"/>
          <w:b/>
          <w:bCs/>
          <w:sz w:val="24"/>
          <w:szCs w:val="24"/>
          <w:rtl/>
        </w:rPr>
        <w:t>דחות, וזאת בין היתר מן הטעמים כדלקמן</w:t>
      </w:r>
      <w:r w:rsidRPr="00E7101E">
        <w:rPr>
          <w:rFonts w:ascii="David" w:hAnsi="David" w:cs="David"/>
          <w:sz w:val="24"/>
          <w:szCs w:val="24"/>
          <w:rtl/>
        </w:rPr>
        <w:t>:</w:t>
      </w:r>
    </w:p>
    <w:p w:rsidR="002431BA" w:rsidRPr="00E7101E" w:rsidRDefault="002431BA" w:rsidP="00584D5E">
      <w:pPr>
        <w:keepLines/>
        <w:numPr>
          <w:ilvl w:val="1"/>
          <w:numId w:val="22"/>
        </w:numPr>
        <w:spacing w:line="360" w:lineRule="auto"/>
        <w:ind w:left="1079" w:hanging="283"/>
        <w:jc w:val="both"/>
        <w:rPr>
          <w:rFonts w:ascii="David" w:hAnsi="David" w:cs="David"/>
          <w:sz w:val="24"/>
          <w:szCs w:val="24"/>
        </w:rPr>
      </w:pPr>
      <w:r w:rsidRPr="00E7101E">
        <w:rPr>
          <w:rFonts w:ascii="David" w:hAnsi="David" w:cs="David"/>
          <w:sz w:val="24"/>
          <w:szCs w:val="24"/>
          <w:rtl/>
        </w:rPr>
        <w:t>הנתבעת טוענת כי לא התרשלה כנטען על ידי הת</w:t>
      </w:r>
      <w:r w:rsidR="00584D5E" w:rsidRPr="00E7101E">
        <w:rPr>
          <w:rFonts w:ascii="David" w:hAnsi="David" w:cs="David"/>
          <w:sz w:val="24"/>
          <w:szCs w:val="24"/>
          <w:rtl/>
        </w:rPr>
        <w:t>ובע</w:t>
      </w:r>
      <w:r w:rsidRPr="00E7101E">
        <w:rPr>
          <w:rFonts w:ascii="David" w:hAnsi="David" w:cs="David"/>
          <w:sz w:val="24"/>
          <w:szCs w:val="24"/>
          <w:rtl/>
        </w:rPr>
        <w:t xml:space="preserve"> וכי לנתבעת קיימת הגנה ו/או לא מוטלת עליה כל אחריות בהתאם לדין, לרבות בהתאם לחוק העונשין, תשל"ז – 1977 ו/או פקודת סדר הדין הפלילי ו/או בהתאם לאמור בפקודת הנזיקין [נוסח חדש], התשל"א-1971 ו/או בהתאם לאמור בחוק הנזיקים האזרחיים (אחריות המדינה), תשי"ב – 1952.</w:t>
      </w:r>
    </w:p>
    <w:p w:rsidR="002431BA" w:rsidRPr="00E7101E" w:rsidRDefault="002431BA" w:rsidP="00445D68">
      <w:pPr>
        <w:keepLines/>
        <w:numPr>
          <w:ilvl w:val="1"/>
          <w:numId w:val="22"/>
        </w:numPr>
        <w:spacing w:line="360" w:lineRule="auto"/>
        <w:ind w:left="1079" w:hanging="283"/>
        <w:jc w:val="both"/>
        <w:rPr>
          <w:rFonts w:ascii="David" w:hAnsi="David" w:cs="David"/>
          <w:sz w:val="24"/>
          <w:szCs w:val="24"/>
        </w:rPr>
      </w:pPr>
      <w:r w:rsidRPr="00E7101E">
        <w:rPr>
          <w:rFonts w:ascii="David" w:hAnsi="David" w:cs="David"/>
          <w:sz w:val="24"/>
          <w:szCs w:val="24"/>
          <w:rtl/>
        </w:rPr>
        <w:lastRenderedPageBreak/>
        <w:t>הנתבעת פעלה כדין וכראוי בתום לב ו/או במיומנות ובסבירות ו/או בתחום הרשאה חוקית ו/או בזהירות ובשיקול דעת.</w:t>
      </w:r>
    </w:p>
    <w:p w:rsidR="002431BA" w:rsidRPr="00E7101E" w:rsidRDefault="002431BA" w:rsidP="00445D68">
      <w:pPr>
        <w:keepLines/>
        <w:numPr>
          <w:ilvl w:val="1"/>
          <w:numId w:val="22"/>
        </w:numPr>
        <w:spacing w:line="360" w:lineRule="auto"/>
        <w:ind w:left="1079" w:hanging="283"/>
        <w:jc w:val="both"/>
        <w:rPr>
          <w:rFonts w:ascii="David" w:hAnsi="David" w:cs="David"/>
          <w:sz w:val="24"/>
          <w:szCs w:val="24"/>
        </w:rPr>
      </w:pPr>
      <w:commentRangeStart w:id="9"/>
      <w:r w:rsidRPr="00E7101E">
        <w:rPr>
          <w:rFonts w:ascii="David" w:hAnsi="David" w:cs="David"/>
          <w:sz w:val="24"/>
          <w:szCs w:val="24"/>
          <w:rtl/>
        </w:rPr>
        <w:t xml:space="preserve">אין קשר סיבתי עובדתי </w:t>
      </w:r>
      <w:r w:rsidR="00584D5E" w:rsidRPr="00E7101E">
        <w:rPr>
          <w:rFonts w:ascii="David" w:hAnsi="David" w:cs="David" w:hint="cs"/>
          <w:sz w:val="24"/>
          <w:szCs w:val="24"/>
          <w:rtl/>
        </w:rPr>
        <w:t xml:space="preserve">ו/או משפטי </w:t>
      </w:r>
      <w:r w:rsidRPr="00E7101E">
        <w:rPr>
          <w:rFonts w:ascii="David" w:hAnsi="David" w:cs="David"/>
          <w:sz w:val="24"/>
          <w:szCs w:val="24"/>
          <w:rtl/>
        </w:rPr>
        <w:t>בין מעשיה ו/או מחדליה הנטענים והמוכחשים של הנתבעת לבין הנז</w:t>
      </w:r>
      <w:r w:rsidR="00584D5E" w:rsidRPr="00E7101E">
        <w:rPr>
          <w:rFonts w:ascii="David" w:hAnsi="David" w:cs="David"/>
          <w:sz w:val="24"/>
          <w:szCs w:val="24"/>
          <w:rtl/>
        </w:rPr>
        <w:t>קים הנטענים והמוכחשים של התובע</w:t>
      </w:r>
      <w:r w:rsidRPr="00E7101E">
        <w:rPr>
          <w:rFonts w:ascii="David" w:hAnsi="David" w:cs="David"/>
          <w:sz w:val="24"/>
          <w:szCs w:val="24"/>
          <w:rtl/>
        </w:rPr>
        <w:t>.</w:t>
      </w:r>
      <w:commentRangeEnd w:id="9"/>
      <w:r w:rsidR="00101FEC">
        <w:rPr>
          <w:rStyle w:val="a8"/>
          <w:rFonts w:cs="David"/>
          <w:rtl/>
        </w:rPr>
        <w:commentReference w:id="9"/>
      </w:r>
    </w:p>
    <w:p w:rsidR="002431BA" w:rsidRPr="00E7101E" w:rsidRDefault="002431BA" w:rsidP="00445D68">
      <w:pPr>
        <w:keepLines/>
        <w:numPr>
          <w:ilvl w:val="1"/>
          <w:numId w:val="22"/>
        </w:numPr>
        <w:spacing w:line="360" w:lineRule="auto"/>
        <w:ind w:left="1079" w:hanging="283"/>
        <w:jc w:val="both"/>
        <w:rPr>
          <w:rFonts w:ascii="David" w:hAnsi="David" w:cs="David"/>
          <w:sz w:val="24"/>
          <w:szCs w:val="24"/>
        </w:rPr>
      </w:pPr>
      <w:r w:rsidRPr="00E7101E">
        <w:rPr>
          <w:rFonts w:ascii="David" w:hAnsi="David" w:cs="David"/>
          <w:sz w:val="24"/>
          <w:szCs w:val="24"/>
          <w:rtl/>
        </w:rPr>
        <w:t>למדינה פטור מאחריות בשל פעולה בהרשאה חוקית ובתום לב, כאמור בסעיף 3 לחוק הנזיקים האזרחיים (אחריות המדינה), תשי"ב – 1952, אשר קובע כדלהלן:</w:t>
      </w:r>
    </w:p>
    <w:p w:rsidR="002431BA" w:rsidRPr="00E7101E" w:rsidRDefault="002431BA" w:rsidP="00505095">
      <w:pPr>
        <w:spacing w:before="120" w:line="360" w:lineRule="auto"/>
        <w:ind w:left="1077"/>
        <w:jc w:val="both"/>
        <w:rPr>
          <w:rFonts w:ascii="David" w:hAnsi="David" w:cs="David"/>
          <w:sz w:val="24"/>
          <w:szCs w:val="24"/>
          <w:rtl/>
        </w:rPr>
      </w:pPr>
      <w:r w:rsidRPr="00E7101E">
        <w:rPr>
          <w:rFonts w:ascii="David" w:hAnsi="David" w:cs="David"/>
          <w:sz w:val="24"/>
          <w:szCs w:val="24"/>
          <w:rtl/>
        </w:rPr>
        <w:t>"</w:t>
      </w:r>
      <w:r w:rsidRPr="008E4F3E">
        <w:rPr>
          <w:rFonts w:ascii="David" w:hAnsi="David" w:cs="David"/>
          <w:b/>
          <w:bCs/>
          <w:sz w:val="24"/>
          <w:szCs w:val="24"/>
          <w:rtl/>
        </w:rPr>
        <w:t>אין המדינה אחראית בנזיקים על מעשה שנעשה בתחום הרשאה חוקית, מתוך אמונה סבירה ובתום לב בקיומה של הרשאה חוקית; אולם אחראית היא על רשלנות שבמעשה</w:t>
      </w:r>
      <w:r w:rsidRPr="00E7101E">
        <w:rPr>
          <w:rFonts w:ascii="David" w:hAnsi="David" w:cs="David"/>
          <w:sz w:val="24"/>
          <w:szCs w:val="24"/>
          <w:rtl/>
        </w:rPr>
        <w:t>".</w:t>
      </w:r>
    </w:p>
    <w:p w:rsidR="002431BA" w:rsidRPr="00E7101E" w:rsidRDefault="002431BA" w:rsidP="00505095">
      <w:pPr>
        <w:spacing w:before="120" w:line="360" w:lineRule="auto"/>
        <w:ind w:left="1077"/>
        <w:jc w:val="both"/>
        <w:rPr>
          <w:rFonts w:ascii="David" w:hAnsi="David" w:cs="David"/>
          <w:sz w:val="24"/>
          <w:szCs w:val="24"/>
        </w:rPr>
      </w:pPr>
      <w:r w:rsidRPr="00E7101E">
        <w:rPr>
          <w:rFonts w:ascii="David" w:hAnsi="David" w:cs="David"/>
          <w:sz w:val="24"/>
          <w:szCs w:val="24"/>
          <w:rtl/>
        </w:rPr>
        <w:t>הנתבעת טוענת, כי לאורך כל ההליכים החקירתיים והמשפטיים בעניינ</w:t>
      </w:r>
      <w:r w:rsidR="00505095" w:rsidRPr="00E7101E">
        <w:rPr>
          <w:rFonts w:ascii="David" w:hAnsi="David" w:cs="David" w:hint="cs"/>
          <w:sz w:val="24"/>
          <w:szCs w:val="24"/>
          <w:rtl/>
        </w:rPr>
        <w:t>ו</w:t>
      </w:r>
      <w:r w:rsidRPr="00E7101E">
        <w:rPr>
          <w:rFonts w:ascii="David" w:hAnsi="David" w:cs="David"/>
          <w:sz w:val="24"/>
          <w:szCs w:val="24"/>
          <w:rtl/>
        </w:rPr>
        <w:t xml:space="preserve"> של התובע, פעלו הגורמים מטעמה בתחום הרשאה חוקית, בסבירות, במיומנות, במקצועיות ולחילופין בתום לב מתוך אמונה סבירה, לאור מכלול המידע וחומר החקירה אשר נאסף והיה בפניהם אותה עת, ואשר יצר בזמן אמת תמונה כוללת שחייבה את הפעולות שנעשו, ואשר העלתה א</w:t>
      </w:r>
      <w:r w:rsidR="00505095" w:rsidRPr="00E7101E">
        <w:rPr>
          <w:rFonts w:ascii="David" w:hAnsi="David" w:cs="David"/>
          <w:sz w:val="24"/>
          <w:szCs w:val="24"/>
          <w:rtl/>
        </w:rPr>
        <w:t>ת החשד הסביר כי התובע</w:t>
      </w:r>
      <w:r w:rsidRPr="00E7101E">
        <w:rPr>
          <w:rFonts w:ascii="David" w:hAnsi="David" w:cs="David"/>
          <w:sz w:val="24"/>
          <w:szCs w:val="24"/>
          <w:rtl/>
        </w:rPr>
        <w:t xml:space="preserve"> מעורב בביצוע העבירות שבגינן הוגש כנגד</w:t>
      </w:r>
      <w:r w:rsidR="00505095" w:rsidRPr="00E7101E">
        <w:rPr>
          <w:rFonts w:ascii="David" w:hAnsi="David" w:cs="David" w:hint="cs"/>
          <w:sz w:val="24"/>
          <w:szCs w:val="24"/>
          <w:rtl/>
        </w:rPr>
        <w:t>ו</w:t>
      </w:r>
      <w:r w:rsidRPr="00E7101E">
        <w:rPr>
          <w:rFonts w:ascii="David" w:hAnsi="David" w:cs="David"/>
          <w:sz w:val="24"/>
          <w:szCs w:val="24"/>
          <w:rtl/>
        </w:rPr>
        <w:t xml:space="preserve"> כתב אישום, ולכן אינה חבה בנזיקין בפרשה זו.</w:t>
      </w:r>
    </w:p>
    <w:p w:rsidR="002431BA" w:rsidRPr="00E7101E" w:rsidRDefault="002431BA" w:rsidP="00584D5E">
      <w:pPr>
        <w:keepLines/>
        <w:numPr>
          <w:ilvl w:val="1"/>
          <w:numId w:val="22"/>
        </w:numPr>
        <w:spacing w:before="120" w:line="360" w:lineRule="auto"/>
        <w:ind w:left="1078" w:hanging="284"/>
        <w:jc w:val="both"/>
        <w:rPr>
          <w:rFonts w:ascii="David" w:hAnsi="David" w:cs="David"/>
          <w:sz w:val="24"/>
          <w:szCs w:val="24"/>
        </w:rPr>
      </w:pPr>
      <w:r w:rsidRPr="00E7101E">
        <w:rPr>
          <w:rFonts w:ascii="David" w:hAnsi="David" w:cs="David"/>
          <w:sz w:val="24"/>
          <w:szCs w:val="24"/>
          <w:rtl/>
        </w:rPr>
        <w:t>ייחוס אחריות נזיקית למשטרה ולפרקליטות בנסיבות המקרה, ירתיע את רשויות החוק מלבצע את תפקידם.</w:t>
      </w:r>
    </w:p>
    <w:p w:rsidR="002431BA" w:rsidRPr="00E7101E" w:rsidRDefault="002431BA" w:rsidP="00584D5E">
      <w:pPr>
        <w:keepLines/>
        <w:numPr>
          <w:ilvl w:val="1"/>
          <w:numId w:val="22"/>
        </w:numPr>
        <w:spacing w:before="120" w:line="360" w:lineRule="auto"/>
        <w:ind w:left="1078" w:hanging="284"/>
        <w:jc w:val="both"/>
        <w:rPr>
          <w:rFonts w:ascii="David" w:hAnsi="David" w:cs="David"/>
          <w:sz w:val="24"/>
          <w:szCs w:val="24"/>
        </w:rPr>
      </w:pPr>
      <w:r w:rsidRPr="00E7101E">
        <w:rPr>
          <w:rFonts w:ascii="David" w:hAnsi="David" w:cs="David"/>
          <w:sz w:val="24"/>
          <w:szCs w:val="24"/>
          <w:rtl/>
        </w:rPr>
        <w:t>מדיניות משפטית נכונה וראויה מחייבת להימנע מקביעת אחריות בנזיקין במקרים שכאלו.</w:t>
      </w:r>
    </w:p>
    <w:p w:rsidR="002431BA" w:rsidRPr="00E7101E" w:rsidRDefault="00505095" w:rsidP="00584D5E">
      <w:pPr>
        <w:keepLines/>
        <w:numPr>
          <w:ilvl w:val="1"/>
          <w:numId w:val="22"/>
        </w:numPr>
        <w:spacing w:before="120" w:line="360" w:lineRule="auto"/>
        <w:ind w:left="1078" w:hanging="284"/>
        <w:jc w:val="both"/>
        <w:rPr>
          <w:rFonts w:ascii="David" w:hAnsi="David" w:cs="David"/>
          <w:sz w:val="24"/>
          <w:szCs w:val="24"/>
        </w:rPr>
      </w:pPr>
      <w:commentRangeStart w:id="10"/>
      <w:r w:rsidRPr="00E7101E">
        <w:rPr>
          <w:rFonts w:ascii="David" w:hAnsi="David" w:cs="David"/>
          <w:sz w:val="24"/>
          <w:szCs w:val="24"/>
          <w:rtl/>
        </w:rPr>
        <w:t>הנתבעת טוענת כי נזקי התובע</w:t>
      </w:r>
      <w:r w:rsidR="002431BA" w:rsidRPr="00E7101E">
        <w:rPr>
          <w:rFonts w:ascii="David" w:hAnsi="David" w:cs="David"/>
          <w:sz w:val="24"/>
          <w:szCs w:val="24"/>
          <w:rtl/>
        </w:rPr>
        <w:t xml:space="preserve"> נובעים, אם בכלל, מ</w:t>
      </w:r>
      <w:r w:rsidR="00584D5E" w:rsidRPr="00E7101E">
        <w:rPr>
          <w:rFonts w:ascii="David" w:hAnsi="David" w:cs="David" w:hint="cs"/>
          <w:sz w:val="24"/>
          <w:szCs w:val="24"/>
          <w:rtl/>
        </w:rPr>
        <w:t>מעשיו ו</w:t>
      </w:r>
      <w:r w:rsidR="002431BA" w:rsidRPr="00E7101E">
        <w:rPr>
          <w:rFonts w:ascii="David" w:hAnsi="David" w:cs="David"/>
          <w:sz w:val="24"/>
          <w:szCs w:val="24"/>
          <w:rtl/>
        </w:rPr>
        <w:t>מחדלי</w:t>
      </w:r>
      <w:r w:rsidR="00584D5E" w:rsidRPr="00E7101E">
        <w:rPr>
          <w:rFonts w:ascii="David" w:hAnsi="David" w:cs="David" w:hint="cs"/>
          <w:sz w:val="24"/>
          <w:szCs w:val="24"/>
          <w:rtl/>
        </w:rPr>
        <w:t>ו</w:t>
      </w:r>
      <w:r w:rsidR="002431BA" w:rsidRPr="00E7101E">
        <w:rPr>
          <w:rFonts w:ascii="David" w:hAnsi="David" w:cs="David"/>
          <w:sz w:val="24"/>
          <w:szCs w:val="24"/>
          <w:rtl/>
        </w:rPr>
        <w:t xml:space="preserve"> של</w:t>
      </w:r>
      <w:r w:rsidR="00584D5E" w:rsidRPr="00E7101E">
        <w:rPr>
          <w:rFonts w:ascii="David" w:hAnsi="David" w:cs="David" w:hint="cs"/>
          <w:sz w:val="24"/>
          <w:szCs w:val="24"/>
          <w:rtl/>
        </w:rPr>
        <w:t>ו</w:t>
      </w:r>
      <w:r w:rsidRPr="00E7101E">
        <w:rPr>
          <w:rFonts w:ascii="David" w:hAnsi="David" w:cs="David"/>
          <w:sz w:val="24"/>
          <w:szCs w:val="24"/>
          <w:rtl/>
        </w:rPr>
        <w:t>. מעשיי ומחדליי התובע</w:t>
      </w:r>
      <w:r w:rsidR="002431BA" w:rsidRPr="00E7101E">
        <w:rPr>
          <w:rFonts w:ascii="David" w:hAnsi="David" w:cs="David"/>
          <w:sz w:val="24"/>
          <w:szCs w:val="24"/>
          <w:rtl/>
        </w:rPr>
        <w:t xml:space="preserve"> ניתקו כל קשר סיבתי עובדתי ו/או משפטי בין המיוחס לנתבעת</w:t>
      </w:r>
      <w:r w:rsidR="00584D5E" w:rsidRPr="00E7101E">
        <w:rPr>
          <w:rFonts w:ascii="David" w:hAnsi="David" w:cs="David"/>
          <w:sz w:val="24"/>
          <w:szCs w:val="24"/>
          <w:rtl/>
        </w:rPr>
        <w:t xml:space="preserve"> לבין הנזקים המוכחשים של התובע</w:t>
      </w:r>
      <w:r w:rsidR="002431BA" w:rsidRPr="00E7101E">
        <w:rPr>
          <w:rFonts w:ascii="David" w:hAnsi="David" w:cs="David"/>
          <w:sz w:val="24"/>
          <w:szCs w:val="24"/>
          <w:rtl/>
        </w:rPr>
        <w:t>.</w:t>
      </w:r>
      <w:commentRangeEnd w:id="10"/>
      <w:r w:rsidR="00101FEC">
        <w:rPr>
          <w:rStyle w:val="a8"/>
          <w:rFonts w:cs="David"/>
          <w:rtl/>
        </w:rPr>
        <w:commentReference w:id="10"/>
      </w:r>
    </w:p>
    <w:p w:rsidR="002431BA" w:rsidRPr="00E7101E" w:rsidRDefault="002431BA" w:rsidP="00584D5E">
      <w:pPr>
        <w:keepLines/>
        <w:numPr>
          <w:ilvl w:val="1"/>
          <w:numId w:val="22"/>
        </w:numPr>
        <w:spacing w:before="60" w:line="360" w:lineRule="auto"/>
        <w:ind w:left="1078" w:hanging="284"/>
        <w:jc w:val="both"/>
        <w:rPr>
          <w:rFonts w:ascii="David" w:hAnsi="David" w:cs="David"/>
          <w:sz w:val="24"/>
          <w:szCs w:val="24"/>
        </w:rPr>
      </w:pPr>
      <w:r w:rsidRPr="00E7101E">
        <w:rPr>
          <w:rFonts w:ascii="David" w:hAnsi="David" w:cs="David"/>
          <w:sz w:val="24"/>
          <w:szCs w:val="24"/>
          <w:rtl/>
        </w:rPr>
        <w:t>הנתבעת טוענת כי בנסיבות הפרשה, עומדת לה חזקת התקינות.</w:t>
      </w:r>
    </w:p>
    <w:p w:rsidR="002431BA" w:rsidRPr="00E7101E" w:rsidRDefault="002431BA" w:rsidP="00584D5E">
      <w:pPr>
        <w:keepLines/>
        <w:numPr>
          <w:ilvl w:val="0"/>
          <w:numId w:val="21"/>
        </w:numPr>
        <w:spacing w:before="60" w:line="360" w:lineRule="auto"/>
        <w:ind w:left="714" w:hanging="357"/>
        <w:jc w:val="both"/>
        <w:rPr>
          <w:rFonts w:ascii="David" w:hAnsi="David" w:cs="David"/>
          <w:sz w:val="24"/>
          <w:szCs w:val="24"/>
        </w:rPr>
      </w:pPr>
      <w:r w:rsidRPr="00E7101E">
        <w:rPr>
          <w:rFonts w:ascii="David" w:hAnsi="David" w:cs="David"/>
          <w:sz w:val="24"/>
          <w:szCs w:val="24"/>
          <w:rtl/>
        </w:rPr>
        <w:t>הנתבעת טוענת כי פעלה במסגרת החוק, הדין והפסיקה ובהתאם לכך באורח סביר, מקובל, מיומן ומקצועי, וכי המדינה ו/או מי מטעמה הפעילו שיקול דעתם באורח סביר, ופעלה כפי שרשות סבירה אמורה הייתה לפעול בנסיבות המקרה.</w:t>
      </w:r>
    </w:p>
    <w:p w:rsidR="002431BA" w:rsidRPr="00E7101E" w:rsidRDefault="002431BA" w:rsidP="00A06635">
      <w:pPr>
        <w:keepLines/>
        <w:numPr>
          <w:ilvl w:val="0"/>
          <w:numId w:val="21"/>
        </w:numPr>
        <w:spacing w:before="60" w:line="360" w:lineRule="auto"/>
        <w:ind w:left="714" w:hanging="357"/>
        <w:jc w:val="both"/>
        <w:rPr>
          <w:rFonts w:ascii="David" w:hAnsi="David" w:cs="David"/>
          <w:sz w:val="24"/>
          <w:szCs w:val="24"/>
        </w:rPr>
      </w:pPr>
      <w:r w:rsidRPr="00E7101E">
        <w:rPr>
          <w:rFonts w:ascii="David" w:hAnsi="David" w:cs="David"/>
          <w:sz w:val="24"/>
          <w:szCs w:val="24"/>
          <w:rtl/>
        </w:rPr>
        <w:t>הנתבעת מוסיפה וטוענת, כי:</w:t>
      </w:r>
    </w:p>
    <w:p w:rsidR="002431BA" w:rsidRPr="00E7101E" w:rsidRDefault="002431BA" w:rsidP="00A06635">
      <w:pPr>
        <w:keepLines/>
        <w:numPr>
          <w:ilvl w:val="0"/>
          <w:numId w:val="35"/>
        </w:numPr>
        <w:tabs>
          <w:tab w:val="clear" w:pos="1440"/>
          <w:tab w:val="num" w:pos="1099"/>
        </w:tabs>
        <w:spacing w:line="360" w:lineRule="auto"/>
        <w:ind w:left="1099" w:hanging="284"/>
        <w:jc w:val="both"/>
        <w:rPr>
          <w:rFonts w:ascii="David" w:hAnsi="David" w:cs="David"/>
          <w:sz w:val="24"/>
          <w:szCs w:val="24"/>
          <w:rtl/>
        </w:rPr>
      </w:pPr>
      <w:r w:rsidRPr="00E7101E">
        <w:rPr>
          <w:rFonts w:ascii="David" w:hAnsi="David" w:cs="David"/>
          <w:sz w:val="24"/>
          <w:szCs w:val="24"/>
          <w:rtl/>
        </w:rPr>
        <w:t>פעלה בהתאם לסמכותה וחובתה על פי דין וכי לא היה במעשיה ו/או בהתנהגותה משום עוולה נזיקית בכלל ועוולת רשלנות.</w:t>
      </w:r>
    </w:p>
    <w:p w:rsidR="002431BA" w:rsidRPr="00E7101E" w:rsidRDefault="002431BA" w:rsidP="00A06635">
      <w:pPr>
        <w:keepLines/>
        <w:numPr>
          <w:ilvl w:val="0"/>
          <w:numId w:val="35"/>
        </w:numPr>
        <w:tabs>
          <w:tab w:val="clear" w:pos="1440"/>
          <w:tab w:val="num" w:pos="1099"/>
        </w:tabs>
        <w:spacing w:line="360" w:lineRule="auto"/>
        <w:ind w:left="1099" w:hanging="284"/>
        <w:jc w:val="both"/>
        <w:rPr>
          <w:rFonts w:ascii="David" w:hAnsi="David" w:cs="David"/>
          <w:sz w:val="24"/>
          <w:szCs w:val="24"/>
        </w:rPr>
      </w:pPr>
      <w:r w:rsidRPr="00E7101E">
        <w:rPr>
          <w:rFonts w:ascii="David" w:hAnsi="David" w:cs="David"/>
          <w:sz w:val="24"/>
          <w:szCs w:val="24"/>
          <w:rtl/>
        </w:rPr>
        <w:t>הנתבעת ו/או מי מטעמה פעלו בתחום סמכותם ו/או סברו בתום לב כי הם פועלים בתחום סמכותם ולא ח</w:t>
      </w:r>
      <w:r w:rsidR="00505095" w:rsidRPr="00E7101E">
        <w:rPr>
          <w:rFonts w:ascii="David" w:hAnsi="David" w:cs="David"/>
          <w:sz w:val="24"/>
          <w:szCs w:val="24"/>
          <w:rtl/>
        </w:rPr>
        <w:t>לה עליהם אחריות לפצות את התובע</w:t>
      </w:r>
      <w:r w:rsidRPr="00E7101E">
        <w:rPr>
          <w:rFonts w:ascii="David" w:hAnsi="David" w:cs="David"/>
          <w:sz w:val="24"/>
          <w:szCs w:val="24"/>
          <w:rtl/>
        </w:rPr>
        <w:t xml:space="preserve"> כנדרש בכתב התביעה.</w:t>
      </w:r>
    </w:p>
    <w:p w:rsidR="002431BA" w:rsidRPr="00E7101E" w:rsidRDefault="002431BA" w:rsidP="00A06635">
      <w:pPr>
        <w:keepLines/>
        <w:numPr>
          <w:ilvl w:val="0"/>
          <w:numId w:val="35"/>
        </w:numPr>
        <w:tabs>
          <w:tab w:val="clear" w:pos="1440"/>
          <w:tab w:val="num" w:pos="1099"/>
        </w:tabs>
        <w:spacing w:line="360" w:lineRule="auto"/>
        <w:ind w:left="1099" w:hanging="284"/>
        <w:jc w:val="both"/>
        <w:rPr>
          <w:rFonts w:ascii="David" w:hAnsi="David" w:cs="David"/>
          <w:sz w:val="24"/>
          <w:szCs w:val="24"/>
        </w:rPr>
      </w:pPr>
      <w:r w:rsidRPr="00E7101E">
        <w:rPr>
          <w:rFonts w:ascii="David" w:hAnsi="David" w:cs="David"/>
          <w:sz w:val="24"/>
          <w:szCs w:val="24"/>
          <w:rtl/>
        </w:rPr>
        <w:t>הנתבעת טוענת כי פעולותיה התחייבו מהמידע שהיה בפניה ומחומר החקירה שנאסף בגדר חקירה משטרתית, וכי נהגה כמתחייב על פי דין.</w:t>
      </w:r>
    </w:p>
    <w:p w:rsidR="002431BA" w:rsidRPr="00E7101E" w:rsidRDefault="002431BA" w:rsidP="00A06635">
      <w:pPr>
        <w:keepLines/>
        <w:numPr>
          <w:ilvl w:val="0"/>
          <w:numId w:val="35"/>
        </w:numPr>
        <w:tabs>
          <w:tab w:val="clear" w:pos="1440"/>
          <w:tab w:val="num" w:pos="1099"/>
        </w:tabs>
        <w:spacing w:line="360" w:lineRule="auto"/>
        <w:ind w:left="1099" w:hanging="284"/>
        <w:jc w:val="both"/>
        <w:rPr>
          <w:rFonts w:ascii="David" w:hAnsi="David" w:cs="David"/>
          <w:sz w:val="24"/>
          <w:szCs w:val="24"/>
        </w:rPr>
      </w:pPr>
      <w:r w:rsidRPr="00E7101E">
        <w:rPr>
          <w:rFonts w:ascii="David" w:hAnsi="David" w:cs="David"/>
          <w:sz w:val="24"/>
          <w:szCs w:val="24"/>
          <w:rtl/>
        </w:rPr>
        <w:t>נוכח החומר שנאסף בחקירת המשטרה, היה לנתבעת יסוד סביר לחשוד במעשי</w:t>
      </w:r>
      <w:r w:rsidR="00505095" w:rsidRPr="00E7101E">
        <w:rPr>
          <w:rFonts w:ascii="David" w:hAnsi="David" w:cs="David" w:hint="cs"/>
          <w:sz w:val="24"/>
          <w:szCs w:val="24"/>
          <w:rtl/>
        </w:rPr>
        <w:t>ו</w:t>
      </w:r>
      <w:r w:rsidR="00505095" w:rsidRPr="00E7101E">
        <w:rPr>
          <w:rFonts w:ascii="David" w:hAnsi="David" w:cs="David"/>
          <w:sz w:val="24"/>
          <w:szCs w:val="24"/>
          <w:rtl/>
        </w:rPr>
        <w:t xml:space="preserve"> של התובע</w:t>
      </w:r>
      <w:r w:rsidRPr="00E7101E">
        <w:rPr>
          <w:rFonts w:ascii="David" w:hAnsi="David" w:cs="David"/>
          <w:sz w:val="24"/>
          <w:szCs w:val="24"/>
          <w:rtl/>
        </w:rPr>
        <w:t>, ומכאן חובתה להביא הדברים להכרעת בית המשפט.</w:t>
      </w:r>
    </w:p>
    <w:p w:rsidR="002431BA" w:rsidRPr="00E7101E" w:rsidRDefault="002431BA" w:rsidP="00584D5E">
      <w:pPr>
        <w:keepLines/>
        <w:numPr>
          <w:ilvl w:val="0"/>
          <w:numId w:val="21"/>
        </w:numPr>
        <w:spacing w:before="60" w:line="360" w:lineRule="auto"/>
        <w:ind w:left="714" w:hanging="357"/>
        <w:jc w:val="both"/>
        <w:rPr>
          <w:rFonts w:ascii="David" w:hAnsi="David" w:cs="David"/>
          <w:sz w:val="24"/>
          <w:szCs w:val="24"/>
        </w:rPr>
      </w:pPr>
      <w:r w:rsidRPr="00E7101E">
        <w:rPr>
          <w:rFonts w:ascii="David" w:hAnsi="David" w:cs="David"/>
          <w:sz w:val="24"/>
          <w:szCs w:val="24"/>
          <w:rtl/>
        </w:rPr>
        <w:t>הנתבעת ו/או מי מטעמה לא התרשלו ו/</w:t>
      </w:r>
      <w:r w:rsidR="00505095" w:rsidRPr="00E7101E">
        <w:rPr>
          <w:rFonts w:ascii="David" w:hAnsi="David" w:cs="David"/>
          <w:sz w:val="24"/>
          <w:szCs w:val="24"/>
          <w:rtl/>
        </w:rPr>
        <w:t>או ביצעו עוולה אחרת כלפי התובע, ובטענות התובע</w:t>
      </w:r>
      <w:r w:rsidRPr="00E7101E">
        <w:rPr>
          <w:rFonts w:ascii="David" w:hAnsi="David" w:cs="David"/>
          <w:sz w:val="24"/>
          <w:szCs w:val="24"/>
          <w:rtl/>
        </w:rPr>
        <w:t xml:space="preserve"> בכתב התביעה אין כדי להצביע על רשלנות או ביצוע עוולה אחרת מצ</w:t>
      </w:r>
      <w:r w:rsidR="00505095" w:rsidRPr="00E7101E">
        <w:rPr>
          <w:rFonts w:ascii="David" w:hAnsi="David" w:cs="David"/>
          <w:sz w:val="24"/>
          <w:szCs w:val="24"/>
          <w:rtl/>
        </w:rPr>
        <w:t>ד הנתבע</w:t>
      </w:r>
      <w:r w:rsidRPr="00E7101E">
        <w:rPr>
          <w:rFonts w:ascii="David" w:hAnsi="David" w:cs="David"/>
          <w:sz w:val="24"/>
          <w:szCs w:val="24"/>
          <w:rtl/>
        </w:rPr>
        <w:t>ת.</w:t>
      </w:r>
    </w:p>
    <w:p w:rsidR="002431BA" w:rsidRPr="00E7101E" w:rsidRDefault="002431BA" w:rsidP="006E44EE">
      <w:pPr>
        <w:keepLines/>
        <w:numPr>
          <w:ilvl w:val="0"/>
          <w:numId w:val="21"/>
        </w:numPr>
        <w:spacing w:before="60" w:line="360" w:lineRule="auto"/>
        <w:ind w:left="714" w:hanging="357"/>
        <w:jc w:val="both"/>
        <w:rPr>
          <w:rFonts w:ascii="David" w:hAnsi="David" w:cs="David"/>
          <w:sz w:val="24"/>
          <w:szCs w:val="24"/>
        </w:rPr>
      </w:pPr>
      <w:r w:rsidRPr="00E7101E">
        <w:rPr>
          <w:rFonts w:ascii="David" w:hAnsi="David" w:cs="David"/>
          <w:sz w:val="24"/>
          <w:szCs w:val="24"/>
          <w:rtl/>
        </w:rPr>
        <w:t>אין לרפות את ידי המשטרה והפרקליטות במלחמתם בפשיעה ואין לפגוע באינטרס הציבורי בהעמדתם של עבריינים לדין. המדיניות השיפוטית הנכונה מחייבת את בית המשפט הנכבד להימנע מלקבוע אחריות בנזיקין במקרה הנדון.</w:t>
      </w:r>
    </w:p>
    <w:p w:rsidR="002431BA" w:rsidRPr="00E7101E" w:rsidRDefault="00505095" w:rsidP="006E44EE">
      <w:pPr>
        <w:keepLines/>
        <w:numPr>
          <w:ilvl w:val="0"/>
          <w:numId w:val="21"/>
        </w:numPr>
        <w:spacing w:before="60" w:line="360" w:lineRule="auto"/>
        <w:ind w:left="714" w:hanging="357"/>
        <w:jc w:val="both"/>
        <w:rPr>
          <w:rFonts w:ascii="David" w:hAnsi="David" w:cs="David"/>
          <w:sz w:val="24"/>
          <w:szCs w:val="24"/>
        </w:rPr>
      </w:pPr>
      <w:r w:rsidRPr="00E7101E">
        <w:rPr>
          <w:rFonts w:ascii="David" w:hAnsi="David" w:cs="David"/>
          <w:sz w:val="24"/>
          <w:szCs w:val="24"/>
          <w:rtl/>
        </w:rPr>
        <w:lastRenderedPageBreak/>
        <w:t>הנתבעת</w:t>
      </w:r>
      <w:r w:rsidRPr="00E7101E">
        <w:rPr>
          <w:rFonts w:ascii="David" w:hAnsi="David" w:cs="David" w:hint="cs"/>
          <w:sz w:val="24"/>
          <w:szCs w:val="24"/>
          <w:rtl/>
        </w:rPr>
        <w:t xml:space="preserve"> מוסיפה וטוענת</w:t>
      </w:r>
      <w:r w:rsidR="002431BA" w:rsidRPr="00E7101E">
        <w:rPr>
          <w:rFonts w:ascii="David" w:hAnsi="David" w:cs="David"/>
          <w:sz w:val="24"/>
          <w:szCs w:val="24"/>
          <w:rtl/>
        </w:rPr>
        <w:t xml:space="preserve"> כי אין כל קשר סיבתי בין העוולות הנטענות (והמוכחשות) לבין האירוע נשוא כתב התביעה ו/או הנזקים הנטענים.</w:t>
      </w:r>
    </w:p>
    <w:p w:rsidR="002431BA" w:rsidRPr="00D65582" w:rsidRDefault="002431BA" w:rsidP="006E44EE">
      <w:pPr>
        <w:keepLines/>
        <w:numPr>
          <w:ilvl w:val="0"/>
          <w:numId w:val="21"/>
        </w:numPr>
        <w:spacing w:before="60" w:line="360" w:lineRule="auto"/>
        <w:ind w:left="714" w:hanging="357"/>
        <w:jc w:val="both"/>
        <w:rPr>
          <w:rFonts w:ascii="David" w:hAnsi="David" w:cs="David"/>
          <w:sz w:val="24"/>
          <w:szCs w:val="24"/>
        </w:rPr>
      </w:pPr>
      <w:r w:rsidRPr="00D65582">
        <w:rPr>
          <w:rFonts w:ascii="David" w:hAnsi="David" w:cs="David"/>
          <w:sz w:val="24"/>
          <w:szCs w:val="24"/>
          <w:rtl/>
        </w:rPr>
        <w:t>הנתבעת טוענת, כי מחומר החקירה שנאסף והיה בפני הנתבעת נוצרה תמונה כוללת, באשר לפוטנציאל הראייתי אשר היה טמון בחומר החקירה ואשר היה בו כדי לבסס קיומו של סיכוי סביר להרשעת התו</w:t>
      </w:r>
      <w:r w:rsidR="00505095" w:rsidRPr="00D65582">
        <w:rPr>
          <w:rFonts w:ascii="David" w:hAnsi="David" w:cs="David"/>
          <w:sz w:val="24"/>
          <w:szCs w:val="24"/>
          <w:rtl/>
        </w:rPr>
        <w:t>בע</w:t>
      </w:r>
      <w:r w:rsidRPr="00D65582">
        <w:rPr>
          <w:rFonts w:ascii="David" w:hAnsi="David" w:cs="David"/>
          <w:sz w:val="24"/>
          <w:szCs w:val="24"/>
          <w:rtl/>
        </w:rPr>
        <w:t xml:space="preserve">, </w:t>
      </w:r>
      <w:r w:rsidRPr="00D65582">
        <w:rPr>
          <w:rFonts w:ascii="David" w:hAnsi="David" w:cs="David"/>
          <w:b/>
          <w:bCs/>
          <w:sz w:val="24"/>
          <w:szCs w:val="24"/>
          <w:rtl/>
        </w:rPr>
        <w:t>ולראיה – ה</w:t>
      </w:r>
      <w:r w:rsidR="00584D5E" w:rsidRPr="00D65582">
        <w:rPr>
          <w:rFonts w:ascii="David" w:hAnsi="David" w:cs="David" w:hint="cs"/>
          <w:b/>
          <w:bCs/>
          <w:sz w:val="24"/>
          <w:szCs w:val="24"/>
          <w:rtl/>
        </w:rPr>
        <w:t>תובע אכן הורשע בדעת רוב באישומים 4-6 בערכאה הדיונית בבית המשפט המחוזי</w:t>
      </w:r>
      <w:r w:rsidR="00584D5E" w:rsidRPr="00D65582">
        <w:rPr>
          <w:rFonts w:ascii="David" w:hAnsi="David" w:cs="David" w:hint="cs"/>
          <w:sz w:val="24"/>
          <w:szCs w:val="24"/>
          <w:rtl/>
        </w:rPr>
        <w:t xml:space="preserve">. </w:t>
      </w:r>
    </w:p>
    <w:p w:rsidR="002431BA" w:rsidRPr="00D65582" w:rsidRDefault="002431BA" w:rsidP="00ED7526">
      <w:pPr>
        <w:spacing w:before="120" w:line="360" w:lineRule="auto"/>
        <w:ind w:left="720"/>
        <w:jc w:val="both"/>
        <w:rPr>
          <w:rFonts w:ascii="David" w:hAnsi="David" w:cs="David"/>
          <w:sz w:val="24"/>
          <w:szCs w:val="24"/>
        </w:rPr>
      </w:pPr>
      <w:r w:rsidRPr="00D65582">
        <w:rPr>
          <w:rFonts w:ascii="David" w:hAnsi="David" w:cs="David"/>
          <w:sz w:val="24"/>
          <w:szCs w:val="24"/>
          <w:rtl/>
        </w:rPr>
        <w:t>יוטעם בהקשר זה,</w:t>
      </w:r>
      <w:r w:rsidR="00ED7526" w:rsidRPr="00D65582">
        <w:rPr>
          <w:rFonts w:ascii="David" w:hAnsi="David" w:cs="David"/>
          <w:sz w:val="24"/>
          <w:szCs w:val="24"/>
          <w:rtl/>
        </w:rPr>
        <w:t xml:space="preserve"> כי בית המשפט העליון זיכה א</w:t>
      </w:r>
      <w:r w:rsidR="00ED7526" w:rsidRPr="00D65582">
        <w:rPr>
          <w:rFonts w:ascii="David" w:hAnsi="David" w:cs="David" w:hint="cs"/>
          <w:sz w:val="24"/>
          <w:szCs w:val="24"/>
          <w:rtl/>
        </w:rPr>
        <w:t>ת התובע</w:t>
      </w:r>
      <w:r w:rsidRPr="00D65582">
        <w:rPr>
          <w:rFonts w:ascii="David" w:hAnsi="David" w:cs="David"/>
          <w:sz w:val="24"/>
          <w:szCs w:val="24"/>
          <w:rtl/>
        </w:rPr>
        <w:t xml:space="preserve"> </w:t>
      </w:r>
      <w:r w:rsidR="00ED7526" w:rsidRPr="00D65582">
        <w:rPr>
          <w:rFonts w:ascii="David" w:hAnsi="David" w:cs="David" w:hint="cs"/>
          <w:sz w:val="24"/>
          <w:szCs w:val="24"/>
          <w:rtl/>
        </w:rPr>
        <w:t xml:space="preserve">בדעת רוב </w:t>
      </w:r>
      <w:r w:rsidRPr="00D65582">
        <w:rPr>
          <w:rFonts w:ascii="David" w:hAnsi="David" w:cs="David"/>
          <w:sz w:val="24"/>
          <w:szCs w:val="24"/>
          <w:rtl/>
        </w:rPr>
        <w:t xml:space="preserve">אך </w:t>
      </w:r>
      <w:r w:rsidRPr="00D65582">
        <w:rPr>
          <w:rFonts w:ascii="David" w:hAnsi="David" w:cs="David"/>
          <w:b/>
          <w:bCs/>
          <w:sz w:val="24"/>
          <w:szCs w:val="24"/>
          <w:u w:val="single"/>
          <w:rtl/>
        </w:rPr>
        <w:t>מחמת הספק</w:t>
      </w:r>
      <w:r w:rsidRPr="00D65582">
        <w:rPr>
          <w:rFonts w:ascii="David" w:hAnsi="David" w:cs="David"/>
          <w:sz w:val="24"/>
          <w:szCs w:val="24"/>
          <w:rtl/>
        </w:rPr>
        <w:t xml:space="preserve">. במצב דברים זה, דומה כי לא </w:t>
      </w:r>
      <w:r w:rsidR="00ED7526" w:rsidRPr="00D65582">
        <w:rPr>
          <w:rFonts w:ascii="David" w:hAnsi="David" w:cs="David"/>
          <w:sz w:val="24"/>
          <w:szCs w:val="24"/>
          <w:rtl/>
        </w:rPr>
        <w:t>יכולה להישמע כל טענה מצד התובע</w:t>
      </w:r>
      <w:r w:rsidRPr="00D65582">
        <w:rPr>
          <w:rFonts w:ascii="David" w:hAnsi="David" w:cs="David"/>
          <w:sz w:val="24"/>
          <w:szCs w:val="24"/>
          <w:rtl/>
        </w:rPr>
        <w:t xml:space="preserve"> כי לא היה כל מקום להגשת כתב אישום כנגד</w:t>
      </w:r>
      <w:r w:rsidR="00ED7526" w:rsidRPr="00D65582">
        <w:rPr>
          <w:rFonts w:ascii="David" w:hAnsi="David" w:cs="David" w:hint="cs"/>
          <w:sz w:val="24"/>
          <w:szCs w:val="24"/>
          <w:rtl/>
        </w:rPr>
        <w:t>ו</w:t>
      </w:r>
      <w:r w:rsidRPr="00D65582">
        <w:rPr>
          <w:rFonts w:ascii="David" w:hAnsi="David" w:cs="David"/>
          <w:sz w:val="24"/>
          <w:szCs w:val="24"/>
          <w:rtl/>
        </w:rPr>
        <w:t xml:space="preserve"> מלכתחילה. </w:t>
      </w:r>
      <w:r w:rsidRPr="00D65582">
        <w:rPr>
          <w:rFonts w:ascii="David" w:hAnsi="David" w:cs="David"/>
          <w:b/>
          <w:bCs/>
          <w:sz w:val="24"/>
          <w:szCs w:val="24"/>
          <w:rtl/>
        </w:rPr>
        <w:t>יתרה מכך, הפוך והפוך את פסק דינו של בית המשפט העליון הנכבד, ולא תמצא בהכרעת הדין כל ביקורת על התנהלות המשטר</w:t>
      </w:r>
      <w:r w:rsidR="00ED7526" w:rsidRPr="00D65582">
        <w:rPr>
          <w:rFonts w:ascii="David" w:hAnsi="David" w:cs="David"/>
          <w:b/>
          <w:bCs/>
          <w:sz w:val="24"/>
          <w:szCs w:val="24"/>
          <w:rtl/>
        </w:rPr>
        <w:t>ה או הפרקליטות, והנה כיום מבקש התובע</w:t>
      </w:r>
      <w:r w:rsidRPr="00D65582">
        <w:rPr>
          <w:rFonts w:ascii="David" w:hAnsi="David" w:cs="David"/>
          <w:b/>
          <w:bCs/>
          <w:sz w:val="24"/>
          <w:szCs w:val="24"/>
          <w:rtl/>
        </w:rPr>
        <w:t xml:space="preserve"> להטיל אחריות בנזיקין על הנתבעת</w:t>
      </w:r>
      <w:r w:rsidRPr="00D65582">
        <w:rPr>
          <w:rFonts w:ascii="David" w:hAnsi="David" w:cs="David"/>
          <w:sz w:val="24"/>
          <w:szCs w:val="24"/>
          <w:rtl/>
        </w:rPr>
        <w:t>.</w:t>
      </w:r>
    </w:p>
    <w:p w:rsidR="00505095" w:rsidRPr="00D65582" w:rsidRDefault="002431BA" w:rsidP="006E44EE">
      <w:pPr>
        <w:keepLines/>
        <w:numPr>
          <w:ilvl w:val="0"/>
          <w:numId w:val="21"/>
        </w:numPr>
        <w:spacing w:before="60" w:line="360" w:lineRule="auto"/>
        <w:ind w:left="714" w:hanging="357"/>
        <w:jc w:val="both"/>
        <w:rPr>
          <w:rFonts w:ascii="David" w:hAnsi="David" w:cs="David"/>
          <w:sz w:val="24"/>
          <w:szCs w:val="24"/>
        </w:rPr>
      </w:pPr>
      <w:r w:rsidRPr="00D65582">
        <w:rPr>
          <w:rFonts w:ascii="David" w:hAnsi="David" w:cs="David"/>
          <w:b/>
          <w:bCs/>
          <w:sz w:val="24"/>
          <w:szCs w:val="24"/>
          <w:rtl/>
        </w:rPr>
        <w:t>יוטעם, זיכוי מחמת הספק אינו מהווה ראיה לכך שלא היה מקום להגיש כתב אישום מלכתחילה, ואי</w:t>
      </w:r>
      <w:r w:rsidR="00505095" w:rsidRPr="00D65582">
        <w:rPr>
          <w:rFonts w:ascii="David" w:hAnsi="David" w:cs="David"/>
          <w:b/>
          <w:bCs/>
          <w:sz w:val="24"/>
          <w:szCs w:val="24"/>
          <w:rtl/>
        </w:rPr>
        <w:t>ן בו כל קביעה פוזיטיבית שהתובע לא ביצע</w:t>
      </w:r>
      <w:r w:rsidRPr="00D65582">
        <w:rPr>
          <w:rFonts w:ascii="David" w:hAnsi="David" w:cs="David"/>
          <w:b/>
          <w:bCs/>
          <w:sz w:val="24"/>
          <w:szCs w:val="24"/>
          <w:rtl/>
        </w:rPr>
        <w:t xml:space="preserve"> את המעשים המיוחסים ל</w:t>
      </w:r>
      <w:r w:rsidR="00505095" w:rsidRPr="00D65582">
        <w:rPr>
          <w:rFonts w:ascii="David" w:hAnsi="David" w:cs="David" w:hint="cs"/>
          <w:b/>
          <w:bCs/>
          <w:sz w:val="24"/>
          <w:szCs w:val="24"/>
          <w:rtl/>
        </w:rPr>
        <w:t>ו</w:t>
      </w:r>
      <w:r w:rsidR="00505095" w:rsidRPr="00D65582">
        <w:rPr>
          <w:rFonts w:ascii="David" w:hAnsi="David" w:cs="David"/>
          <w:b/>
          <w:bCs/>
          <w:sz w:val="24"/>
          <w:szCs w:val="24"/>
          <w:rtl/>
        </w:rPr>
        <w:t xml:space="preserve"> כולם או מקצתם</w:t>
      </w:r>
      <w:r w:rsidR="00505095" w:rsidRPr="00D65582">
        <w:rPr>
          <w:rFonts w:ascii="David" w:hAnsi="David" w:cs="David"/>
          <w:sz w:val="24"/>
          <w:szCs w:val="24"/>
          <w:rtl/>
        </w:rPr>
        <w:t>.</w:t>
      </w:r>
    </w:p>
    <w:p w:rsidR="00505095" w:rsidRPr="00E7101E" w:rsidRDefault="00505095" w:rsidP="00ED7526">
      <w:pPr>
        <w:keepLines/>
        <w:spacing w:before="120" w:line="360" w:lineRule="auto"/>
        <w:ind w:left="720"/>
        <w:jc w:val="both"/>
        <w:rPr>
          <w:rFonts w:ascii="David" w:hAnsi="David" w:cs="David"/>
          <w:sz w:val="24"/>
          <w:szCs w:val="24"/>
          <w:rtl/>
        </w:rPr>
      </w:pPr>
      <w:r w:rsidRPr="00D65582">
        <w:rPr>
          <w:rFonts w:ascii="David" w:hAnsi="David" w:cs="David" w:hint="cs"/>
          <w:sz w:val="24"/>
          <w:szCs w:val="24"/>
          <w:rtl/>
        </w:rPr>
        <w:t xml:space="preserve">ההפך הוא הנכון. </w:t>
      </w:r>
      <w:r w:rsidRPr="00D65582">
        <w:rPr>
          <w:rFonts w:ascii="David" w:hAnsi="David" w:cs="David" w:hint="cs"/>
          <w:b/>
          <w:bCs/>
          <w:sz w:val="24"/>
          <w:szCs w:val="24"/>
          <w:rtl/>
        </w:rPr>
        <w:t>דעת הרוב</w:t>
      </w:r>
      <w:r w:rsidRPr="00D65582">
        <w:rPr>
          <w:rFonts w:ascii="David" w:hAnsi="David" w:cs="David" w:hint="cs"/>
          <w:sz w:val="24"/>
          <w:szCs w:val="24"/>
          <w:rtl/>
        </w:rPr>
        <w:t xml:space="preserve"> בבית המשפט העליון עמדה על כך כי החשדות כנגד התובע הינם כבדים, </w:t>
      </w:r>
      <w:r w:rsidRPr="00D65582">
        <w:rPr>
          <w:rFonts w:ascii="David" w:hAnsi="David" w:cs="David" w:hint="cs"/>
          <w:b/>
          <w:bCs/>
          <w:sz w:val="24"/>
          <w:szCs w:val="24"/>
          <w:u w:val="single"/>
          <w:rtl/>
        </w:rPr>
        <w:t>וכי הספק אשר נותר בליב</w:t>
      </w:r>
      <w:r w:rsidR="00ED7526" w:rsidRPr="00D65582">
        <w:rPr>
          <w:rFonts w:ascii="David" w:hAnsi="David" w:cs="David" w:hint="cs"/>
          <w:b/>
          <w:bCs/>
          <w:sz w:val="24"/>
          <w:szCs w:val="24"/>
          <w:u w:val="single"/>
          <w:rtl/>
        </w:rPr>
        <w:t>ם</w:t>
      </w:r>
      <w:r w:rsidRPr="00D65582">
        <w:rPr>
          <w:rFonts w:ascii="David" w:hAnsi="David" w:cs="David" w:hint="cs"/>
          <w:b/>
          <w:bCs/>
          <w:sz w:val="24"/>
          <w:szCs w:val="24"/>
          <w:u w:val="single"/>
          <w:rtl/>
        </w:rPr>
        <w:t xml:space="preserve"> הינו עמוס חשדות</w:t>
      </w:r>
      <w:r w:rsidR="00ED7526" w:rsidRPr="00D65582">
        <w:rPr>
          <w:rFonts w:ascii="David" w:hAnsi="David" w:cs="David" w:hint="cs"/>
          <w:sz w:val="24"/>
          <w:szCs w:val="24"/>
          <w:rtl/>
        </w:rPr>
        <w:t xml:space="preserve"> (ר' דבריי כבוד השופט רובינשטיין בעמ' 91 לפסק דינו של בית המשפט העליון הנכבד)</w:t>
      </w:r>
      <w:r w:rsidRPr="00D65582">
        <w:rPr>
          <w:rFonts w:ascii="David" w:hAnsi="David" w:cs="David" w:hint="cs"/>
          <w:sz w:val="24"/>
          <w:szCs w:val="24"/>
          <w:rtl/>
        </w:rPr>
        <w:t>.</w:t>
      </w:r>
    </w:p>
    <w:p w:rsidR="002431BA" w:rsidRPr="00424BFC" w:rsidRDefault="00505095" w:rsidP="002431BA">
      <w:pPr>
        <w:spacing w:before="240" w:line="360" w:lineRule="auto"/>
        <w:ind w:left="357"/>
        <w:rPr>
          <w:rFonts w:ascii="David" w:hAnsi="David" w:cs="David"/>
          <w:sz w:val="28"/>
          <w:szCs w:val="28"/>
          <w:rtl/>
        </w:rPr>
      </w:pPr>
      <w:r w:rsidRPr="00424BFC">
        <w:rPr>
          <w:rFonts w:ascii="David" w:hAnsi="David" w:cs="David" w:hint="cs"/>
          <w:b/>
          <w:bCs/>
          <w:sz w:val="28"/>
          <w:szCs w:val="28"/>
          <w:rtl/>
        </w:rPr>
        <w:t>ה</w:t>
      </w:r>
      <w:r w:rsidR="002431BA" w:rsidRPr="00424BFC">
        <w:rPr>
          <w:rFonts w:ascii="David" w:hAnsi="David" w:cs="David"/>
          <w:b/>
          <w:bCs/>
          <w:sz w:val="28"/>
          <w:szCs w:val="28"/>
          <w:rtl/>
        </w:rPr>
        <w:t>.</w:t>
      </w:r>
      <w:r w:rsidR="002431BA" w:rsidRPr="00424BFC">
        <w:rPr>
          <w:rFonts w:ascii="David" w:hAnsi="David" w:cs="David"/>
          <w:sz w:val="28"/>
          <w:szCs w:val="28"/>
          <w:rtl/>
        </w:rPr>
        <w:t xml:space="preserve">  </w:t>
      </w:r>
      <w:r w:rsidR="002431BA" w:rsidRPr="00424BFC">
        <w:rPr>
          <w:rFonts w:ascii="David" w:hAnsi="David" w:cs="David"/>
          <w:b/>
          <w:bCs/>
          <w:sz w:val="28"/>
          <w:szCs w:val="28"/>
          <w:u w:val="double"/>
          <w:rtl/>
        </w:rPr>
        <w:t>לתובענה גופא</w:t>
      </w:r>
    </w:p>
    <w:p w:rsidR="006E44EE" w:rsidRPr="00E7101E" w:rsidRDefault="006B0B6E" w:rsidP="006E44EE">
      <w:pPr>
        <w:keepLines/>
        <w:numPr>
          <w:ilvl w:val="0"/>
          <w:numId w:val="21"/>
        </w:numPr>
        <w:spacing w:before="60" w:line="360" w:lineRule="auto"/>
        <w:ind w:left="714" w:hanging="357"/>
        <w:jc w:val="both"/>
        <w:rPr>
          <w:rFonts w:ascii="David" w:hAnsi="David" w:cs="David"/>
          <w:sz w:val="24"/>
          <w:szCs w:val="24"/>
        </w:rPr>
      </w:pPr>
      <w:commentRangeStart w:id="11"/>
      <w:r w:rsidRPr="00E7101E">
        <w:rPr>
          <w:rFonts w:ascii="David" w:hAnsi="David" w:cs="David" w:hint="cs"/>
          <w:sz w:val="24"/>
          <w:szCs w:val="24"/>
          <w:rtl/>
        </w:rPr>
        <w:t>מוכחש האמור והנטען בסעיפים 1 ו-2 לכתב התביעה</w:t>
      </w:r>
      <w:commentRangeEnd w:id="11"/>
      <w:r w:rsidR="00AB580B">
        <w:rPr>
          <w:rStyle w:val="a8"/>
          <w:rFonts w:cs="David"/>
          <w:rtl/>
        </w:rPr>
        <w:commentReference w:id="11"/>
      </w:r>
      <w:r w:rsidRPr="00E7101E">
        <w:rPr>
          <w:rFonts w:ascii="David" w:hAnsi="David" w:cs="David" w:hint="cs"/>
          <w:sz w:val="24"/>
          <w:szCs w:val="24"/>
          <w:rtl/>
        </w:rPr>
        <w:t>, על כל פרטיהם. מבלי לגרוע מכלליות הה</w:t>
      </w:r>
      <w:r w:rsidR="006E44EE" w:rsidRPr="00E7101E">
        <w:rPr>
          <w:rFonts w:ascii="David" w:hAnsi="David" w:cs="David" w:hint="cs"/>
          <w:sz w:val="24"/>
          <w:szCs w:val="24"/>
          <w:rtl/>
        </w:rPr>
        <w:t xml:space="preserve">כחשה מוסיפה הנתבעת וטוענת כי </w:t>
      </w:r>
      <w:r w:rsidR="006E44EE" w:rsidRPr="00E7101E">
        <w:rPr>
          <w:rFonts w:ascii="David" w:hAnsi="David" w:cs="David"/>
          <w:sz w:val="24"/>
          <w:szCs w:val="24"/>
          <w:rtl/>
        </w:rPr>
        <w:t>בנסיבות הפרשה חקירת המשטרה הייתה יסודית וממצה, ולא היה כל מנוס אלא להגיש כתב אישום כנגד המעורבים בפרשה לרבות התובע.</w:t>
      </w:r>
    </w:p>
    <w:p w:rsidR="006E44EE" w:rsidRPr="00E7101E" w:rsidRDefault="006E44EE" w:rsidP="006E44EE">
      <w:pPr>
        <w:keepLines/>
        <w:spacing w:before="60" w:line="360" w:lineRule="auto"/>
        <w:ind w:left="714"/>
        <w:jc w:val="both"/>
        <w:rPr>
          <w:rFonts w:ascii="David" w:hAnsi="David" w:cs="David"/>
          <w:sz w:val="24"/>
          <w:szCs w:val="24"/>
        </w:rPr>
      </w:pPr>
      <w:r w:rsidRPr="00E7101E">
        <w:rPr>
          <w:rFonts w:ascii="David" w:hAnsi="David" w:cs="David"/>
          <w:sz w:val="24"/>
          <w:szCs w:val="24"/>
          <w:rtl/>
        </w:rPr>
        <w:t>התנהלות רשויות התביעה והחקירה הייתה מקצועית ומיומנת, ולולא הייתה נערכת חקירת משטרה ומוגש כתב אישום בהתאם לחומר הראיות אשר נאסף בנסיבות האירועים היו חוטאות הרשויות לתפקידן ולאינטרס הציבורי.</w:t>
      </w:r>
    </w:p>
    <w:p w:rsidR="006E44EE" w:rsidRPr="00E7101E" w:rsidRDefault="006E44EE" w:rsidP="006E44EE">
      <w:pPr>
        <w:spacing w:before="120" w:line="360" w:lineRule="auto"/>
        <w:ind w:left="720"/>
        <w:jc w:val="both"/>
        <w:rPr>
          <w:rFonts w:ascii="David" w:hAnsi="David" w:cs="David"/>
          <w:sz w:val="24"/>
          <w:szCs w:val="24"/>
        </w:rPr>
      </w:pPr>
      <w:r w:rsidRPr="00E7101E">
        <w:rPr>
          <w:rFonts w:ascii="David" w:hAnsi="David" w:cs="David"/>
          <w:sz w:val="24"/>
          <w:szCs w:val="24"/>
          <w:rtl/>
        </w:rPr>
        <w:t>יוטעם בהקשר זה, כי במקומות בהן התברר כי יש התפתחות ראייתי אשר אינה מצדיקה הרשעה, ביקשה המאשימה ל</w:t>
      </w:r>
      <w:r w:rsidRPr="00E7101E">
        <w:rPr>
          <w:rFonts w:ascii="David" w:hAnsi="David" w:cs="David" w:hint="cs"/>
          <w:sz w:val="24"/>
          <w:szCs w:val="24"/>
          <w:rtl/>
        </w:rPr>
        <w:t>חזור</w:t>
      </w:r>
      <w:r w:rsidRPr="00E7101E">
        <w:rPr>
          <w:rFonts w:ascii="David" w:hAnsi="David" w:cs="David"/>
          <w:sz w:val="24"/>
          <w:szCs w:val="24"/>
          <w:rtl/>
        </w:rPr>
        <w:t xml:space="preserve"> מאישומים ספציפיים</w:t>
      </w:r>
      <w:r w:rsidRPr="00E7101E">
        <w:rPr>
          <w:rFonts w:ascii="David" w:hAnsi="David" w:cs="David" w:hint="cs"/>
          <w:sz w:val="24"/>
          <w:szCs w:val="24"/>
          <w:rtl/>
        </w:rPr>
        <w:t xml:space="preserve"> בכתב האישום</w:t>
      </w:r>
      <w:r w:rsidRPr="00E7101E">
        <w:rPr>
          <w:rFonts w:ascii="David" w:hAnsi="David" w:cs="David"/>
          <w:sz w:val="24"/>
          <w:szCs w:val="24"/>
          <w:rtl/>
        </w:rPr>
        <w:t>. כך נעשה לגבי התובע, עת עתרה הנתבעת, במסגרת סיכומיה בהליך הפלילי ל</w:t>
      </w:r>
      <w:r w:rsidRPr="00E7101E">
        <w:rPr>
          <w:rFonts w:ascii="David" w:hAnsi="David" w:cs="David" w:hint="cs"/>
          <w:sz w:val="24"/>
          <w:szCs w:val="24"/>
          <w:rtl/>
        </w:rPr>
        <w:t>חזור בה</w:t>
      </w:r>
      <w:r w:rsidRPr="00E7101E">
        <w:rPr>
          <w:rFonts w:ascii="David" w:hAnsi="David" w:cs="David"/>
          <w:sz w:val="24"/>
          <w:szCs w:val="24"/>
          <w:rtl/>
        </w:rPr>
        <w:t xml:space="preserve"> מן האישומים המיוחסים לו במסגרת האישום הש</w:t>
      </w:r>
      <w:r w:rsidRPr="00E7101E">
        <w:rPr>
          <w:rFonts w:ascii="David" w:hAnsi="David" w:cs="David" w:hint="cs"/>
          <w:sz w:val="24"/>
          <w:szCs w:val="24"/>
          <w:rtl/>
        </w:rPr>
        <w:t>לישי</w:t>
      </w:r>
      <w:r w:rsidR="00EE7DFA">
        <w:rPr>
          <w:rFonts w:ascii="David" w:hAnsi="David" w:cs="David" w:hint="cs"/>
          <w:sz w:val="24"/>
          <w:szCs w:val="24"/>
          <w:rtl/>
        </w:rPr>
        <w:t>, וכן כנגד נאשם מס' 2 (ניזאר בכר)</w:t>
      </w:r>
      <w:r w:rsidRPr="00E7101E">
        <w:rPr>
          <w:rFonts w:ascii="David" w:hAnsi="David" w:cs="David" w:hint="cs"/>
          <w:sz w:val="24"/>
          <w:szCs w:val="24"/>
          <w:rtl/>
        </w:rPr>
        <w:t>.</w:t>
      </w:r>
    </w:p>
    <w:p w:rsidR="00B36756" w:rsidRPr="00E7101E" w:rsidRDefault="00B36756" w:rsidP="006E44EE">
      <w:pPr>
        <w:keepLines/>
        <w:numPr>
          <w:ilvl w:val="0"/>
          <w:numId w:val="21"/>
        </w:numPr>
        <w:spacing w:before="60" w:line="360" w:lineRule="auto"/>
        <w:ind w:left="714" w:hanging="357"/>
        <w:jc w:val="both"/>
        <w:rPr>
          <w:rFonts w:ascii="David" w:hAnsi="David" w:cs="David"/>
          <w:sz w:val="24"/>
          <w:szCs w:val="24"/>
        </w:rPr>
      </w:pPr>
      <w:r w:rsidRPr="00E7101E">
        <w:rPr>
          <w:rFonts w:ascii="David" w:hAnsi="David" w:cs="David" w:hint="cs"/>
          <w:sz w:val="24"/>
          <w:szCs w:val="24"/>
          <w:rtl/>
        </w:rPr>
        <w:t>האמור</w:t>
      </w:r>
      <w:r w:rsidR="006650A1" w:rsidRPr="00E7101E">
        <w:rPr>
          <w:rFonts w:ascii="David" w:hAnsi="David" w:cs="David" w:hint="cs"/>
          <w:sz w:val="24"/>
          <w:szCs w:val="24"/>
          <w:rtl/>
        </w:rPr>
        <w:t xml:space="preserve"> והנטען</w:t>
      </w:r>
      <w:r w:rsidRPr="00E7101E">
        <w:rPr>
          <w:rFonts w:ascii="David" w:hAnsi="David" w:cs="David" w:hint="cs"/>
          <w:sz w:val="24"/>
          <w:szCs w:val="24"/>
          <w:rtl/>
        </w:rPr>
        <w:t xml:space="preserve"> בסעיף 3 לכתב התביעה איננו מוכחש.</w:t>
      </w:r>
    </w:p>
    <w:p w:rsidR="00B36756" w:rsidRPr="00E7101E" w:rsidRDefault="00301995" w:rsidP="006E44EE">
      <w:pPr>
        <w:keepLines/>
        <w:numPr>
          <w:ilvl w:val="0"/>
          <w:numId w:val="21"/>
        </w:numPr>
        <w:spacing w:before="60" w:line="360" w:lineRule="auto"/>
        <w:ind w:left="714" w:hanging="357"/>
        <w:jc w:val="both"/>
        <w:rPr>
          <w:rFonts w:ascii="David" w:hAnsi="David" w:cs="David"/>
          <w:sz w:val="24"/>
          <w:szCs w:val="24"/>
        </w:rPr>
      </w:pPr>
      <w:r w:rsidRPr="00E7101E">
        <w:rPr>
          <w:rFonts w:ascii="David" w:hAnsi="David" w:cs="David" w:hint="cs"/>
          <w:sz w:val="24"/>
          <w:szCs w:val="24"/>
          <w:rtl/>
        </w:rPr>
        <w:t xml:space="preserve">האמור </w:t>
      </w:r>
      <w:r w:rsidR="006650A1" w:rsidRPr="00E7101E">
        <w:rPr>
          <w:rFonts w:ascii="David" w:hAnsi="David" w:cs="David" w:hint="cs"/>
          <w:sz w:val="24"/>
          <w:szCs w:val="24"/>
          <w:rtl/>
        </w:rPr>
        <w:t xml:space="preserve">והנטען </w:t>
      </w:r>
      <w:r w:rsidRPr="00E7101E">
        <w:rPr>
          <w:rFonts w:ascii="David" w:hAnsi="David" w:cs="David" w:hint="cs"/>
          <w:sz w:val="24"/>
          <w:szCs w:val="24"/>
          <w:rtl/>
        </w:rPr>
        <w:t>בסעיף 4 לכתב התביעה איננו מוכחש</w:t>
      </w:r>
      <w:r w:rsidR="006650A1" w:rsidRPr="00E7101E">
        <w:rPr>
          <w:rFonts w:ascii="David" w:hAnsi="David" w:cs="David" w:hint="cs"/>
          <w:sz w:val="24"/>
          <w:szCs w:val="24"/>
          <w:rtl/>
        </w:rPr>
        <w:t>.</w:t>
      </w:r>
    </w:p>
    <w:p w:rsidR="00B36756" w:rsidRPr="00E7101E" w:rsidRDefault="00301995" w:rsidP="006E44EE">
      <w:pPr>
        <w:keepLines/>
        <w:numPr>
          <w:ilvl w:val="0"/>
          <w:numId w:val="21"/>
        </w:numPr>
        <w:spacing w:before="60" w:line="360" w:lineRule="auto"/>
        <w:ind w:left="714" w:hanging="357"/>
        <w:jc w:val="both"/>
        <w:rPr>
          <w:rFonts w:ascii="David" w:hAnsi="David" w:cs="David"/>
          <w:sz w:val="24"/>
          <w:szCs w:val="24"/>
        </w:rPr>
      </w:pPr>
      <w:r w:rsidRPr="00E7101E">
        <w:rPr>
          <w:rFonts w:ascii="David" w:hAnsi="David" w:cs="David" w:hint="cs"/>
          <w:sz w:val="24"/>
          <w:szCs w:val="24"/>
          <w:rtl/>
        </w:rPr>
        <w:t>האמור והנטען בסעיפים 5-8 לכתב התביעה אינם מוכחשים ובלבד שהמועדים הנקובים בהם עולים בקנה אחד עם כתב האישום המתוקן והמאוחד ושאין באמור בהם כדי להטיל אחריות או חבות כלשהי על הנתבעת.</w:t>
      </w:r>
    </w:p>
    <w:p w:rsidR="00301995" w:rsidRPr="00E7101E" w:rsidRDefault="006E44EE" w:rsidP="006E44EE">
      <w:pPr>
        <w:keepLines/>
        <w:numPr>
          <w:ilvl w:val="0"/>
          <w:numId w:val="21"/>
        </w:numPr>
        <w:spacing w:before="60" w:line="360" w:lineRule="auto"/>
        <w:ind w:left="714" w:hanging="357"/>
        <w:jc w:val="both"/>
        <w:rPr>
          <w:rFonts w:ascii="David" w:hAnsi="David" w:cs="David"/>
          <w:sz w:val="24"/>
          <w:szCs w:val="24"/>
        </w:rPr>
      </w:pPr>
      <w:commentRangeStart w:id="12"/>
      <w:r w:rsidRPr="00E7101E">
        <w:rPr>
          <w:rFonts w:ascii="David" w:hAnsi="David" w:cs="David" w:hint="cs"/>
          <w:sz w:val="24"/>
          <w:szCs w:val="24"/>
          <w:rtl/>
        </w:rPr>
        <w:t>מוכחש האמור והנטען בסעיף 9 לכתב התביעה, למעט כי על פי מחקרי התקשורת החל מיום 20.10.10 לא תועדו שיחות טלפוניות בין התובע לרמזי בטלפונים המוכרים.</w:t>
      </w:r>
      <w:commentRangeEnd w:id="12"/>
      <w:r w:rsidR="00AB580B">
        <w:rPr>
          <w:rStyle w:val="a8"/>
          <w:rFonts w:cs="David"/>
          <w:rtl/>
        </w:rPr>
        <w:commentReference w:id="12"/>
      </w:r>
    </w:p>
    <w:p w:rsidR="00301995" w:rsidRPr="00E7101E" w:rsidRDefault="00301995" w:rsidP="006E44EE">
      <w:pPr>
        <w:keepLines/>
        <w:numPr>
          <w:ilvl w:val="0"/>
          <w:numId w:val="21"/>
        </w:numPr>
        <w:spacing w:before="60" w:line="360" w:lineRule="auto"/>
        <w:ind w:left="714" w:hanging="357"/>
        <w:jc w:val="both"/>
        <w:rPr>
          <w:rFonts w:ascii="David" w:hAnsi="David" w:cs="David"/>
          <w:sz w:val="24"/>
          <w:szCs w:val="24"/>
        </w:rPr>
      </w:pPr>
      <w:commentRangeStart w:id="13"/>
      <w:r w:rsidRPr="00E7101E">
        <w:rPr>
          <w:rFonts w:ascii="David" w:hAnsi="David" w:cs="David" w:hint="cs"/>
          <w:sz w:val="24"/>
          <w:szCs w:val="24"/>
          <w:rtl/>
        </w:rPr>
        <w:t xml:space="preserve">מוכחש האמור והנטען בסעיף 10 לכתב התביעה, על כל פרטיו. מבלי לפגוע בכלליות ההכחשה מוסיפה הנתבעת וטוענת כי </w:t>
      </w:r>
      <w:r w:rsidR="00355C36" w:rsidRPr="00E7101E">
        <w:rPr>
          <w:rFonts w:ascii="David" w:hAnsi="David" w:cs="David" w:hint="cs"/>
          <w:sz w:val="24"/>
          <w:szCs w:val="24"/>
          <w:rtl/>
        </w:rPr>
        <w:t xml:space="preserve">ערב הגשת כתב האישום </w:t>
      </w:r>
      <w:r w:rsidR="00EA701B" w:rsidRPr="00E7101E">
        <w:rPr>
          <w:rFonts w:ascii="David" w:hAnsi="David" w:cs="David" w:hint="cs"/>
          <w:sz w:val="24"/>
          <w:szCs w:val="24"/>
          <w:rtl/>
        </w:rPr>
        <w:t xml:space="preserve">תחילת האירועים סביב תקיפת דניאל כהן החלו </w:t>
      </w:r>
      <w:r w:rsidR="0002449F" w:rsidRPr="00E7101E">
        <w:rPr>
          <w:rFonts w:ascii="David" w:hAnsi="David" w:cs="David" w:hint="cs"/>
          <w:sz w:val="24"/>
          <w:szCs w:val="24"/>
          <w:rtl/>
        </w:rPr>
        <w:t xml:space="preserve">עוד </w:t>
      </w:r>
      <w:r w:rsidR="00EA701B" w:rsidRPr="00E7101E">
        <w:rPr>
          <w:rFonts w:ascii="David" w:hAnsi="David" w:cs="David" w:hint="cs"/>
          <w:sz w:val="24"/>
          <w:szCs w:val="24"/>
          <w:rtl/>
        </w:rPr>
        <w:t>עובר לכן</w:t>
      </w:r>
      <w:r w:rsidR="0002449F" w:rsidRPr="00E7101E">
        <w:rPr>
          <w:rFonts w:ascii="David" w:hAnsi="David" w:cs="David" w:hint="cs"/>
          <w:sz w:val="24"/>
          <w:szCs w:val="24"/>
          <w:rtl/>
        </w:rPr>
        <w:t>, כפי שהדבר עולה גם מן המתואר בכתב האישום המתוקן והמאוחד.</w:t>
      </w:r>
      <w:commentRangeEnd w:id="13"/>
      <w:r w:rsidR="0081655E">
        <w:rPr>
          <w:rStyle w:val="a8"/>
          <w:rFonts w:cs="David"/>
          <w:rtl/>
        </w:rPr>
        <w:commentReference w:id="13"/>
      </w:r>
    </w:p>
    <w:p w:rsidR="0002449F" w:rsidRPr="00A06635" w:rsidRDefault="00424BFC" w:rsidP="00A06635">
      <w:pPr>
        <w:keepLines/>
        <w:numPr>
          <w:ilvl w:val="0"/>
          <w:numId w:val="21"/>
        </w:numPr>
        <w:spacing w:before="60" w:line="360" w:lineRule="auto"/>
        <w:ind w:left="714" w:hanging="357"/>
        <w:jc w:val="both"/>
        <w:rPr>
          <w:rFonts w:ascii="David" w:hAnsi="David" w:cs="David"/>
          <w:sz w:val="24"/>
          <w:szCs w:val="24"/>
        </w:rPr>
      </w:pPr>
      <w:commentRangeStart w:id="14"/>
      <w:r w:rsidRPr="00A06635">
        <w:rPr>
          <w:rFonts w:ascii="David" w:hAnsi="David" w:cs="David" w:hint="cs"/>
          <w:sz w:val="24"/>
          <w:szCs w:val="24"/>
          <w:rtl/>
        </w:rPr>
        <w:lastRenderedPageBreak/>
        <w:t>מוכחש האמור והנטען ב</w:t>
      </w:r>
      <w:r w:rsidR="00355C36" w:rsidRPr="00A06635">
        <w:rPr>
          <w:rFonts w:ascii="David" w:hAnsi="David" w:cs="David" w:hint="cs"/>
          <w:sz w:val="24"/>
          <w:szCs w:val="24"/>
          <w:rtl/>
        </w:rPr>
        <w:t>סעיף 11 לכתב התביעה</w:t>
      </w:r>
      <w:r w:rsidRPr="00A06635">
        <w:rPr>
          <w:rFonts w:ascii="David" w:hAnsi="David" w:cs="David" w:hint="cs"/>
          <w:sz w:val="24"/>
          <w:szCs w:val="24"/>
          <w:rtl/>
        </w:rPr>
        <w:t>.</w:t>
      </w:r>
      <w:r w:rsidR="00355C36" w:rsidRPr="00A06635">
        <w:rPr>
          <w:rFonts w:ascii="David" w:hAnsi="David" w:cs="David" w:hint="cs"/>
          <w:sz w:val="24"/>
          <w:szCs w:val="24"/>
          <w:rtl/>
        </w:rPr>
        <w:t xml:space="preserve"> </w:t>
      </w:r>
      <w:commentRangeEnd w:id="14"/>
      <w:r w:rsidR="0081655E">
        <w:rPr>
          <w:rStyle w:val="a8"/>
          <w:rFonts w:cs="David"/>
          <w:rtl/>
        </w:rPr>
        <w:commentReference w:id="14"/>
      </w:r>
    </w:p>
    <w:p w:rsidR="00355C36" w:rsidRPr="00E7101E" w:rsidRDefault="00BA7737" w:rsidP="00424BFC">
      <w:pPr>
        <w:keepLines/>
        <w:numPr>
          <w:ilvl w:val="0"/>
          <w:numId w:val="21"/>
        </w:numPr>
        <w:spacing w:before="60" w:line="360" w:lineRule="auto"/>
        <w:ind w:left="714" w:hanging="357"/>
        <w:jc w:val="both"/>
        <w:rPr>
          <w:rFonts w:ascii="David" w:hAnsi="David" w:cs="David"/>
          <w:sz w:val="24"/>
          <w:szCs w:val="24"/>
        </w:rPr>
      </w:pPr>
      <w:r w:rsidRPr="00E7101E">
        <w:rPr>
          <w:rFonts w:ascii="David" w:hAnsi="David" w:cs="David" w:hint="cs"/>
          <w:sz w:val="24"/>
          <w:szCs w:val="24"/>
          <w:rtl/>
        </w:rPr>
        <w:t>האמור בסעיף 12 לכתב התביעה איננו מוכחש, ובלבד שאין בו כדי להטיל אחריות או חבות כלשהי על הנתבעת. מבלי לפגוע באמור, מוסיפה הנתבעת לשם השלמת התמונה כי כעולה מן המפורט באישו</w:t>
      </w:r>
      <w:r w:rsidR="001B479E" w:rsidRPr="00E7101E">
        <w:rPr>
          <w:rFonts w:ascii="David" w:hAnsi="David" w:cs="David" w:hint="cs"/>
          <w:sz w:val="24"/>
          <w:szCs w:val="24"/>
          <w:rtl/>
        </w:rPr>
        <w:t>מים</w:t>
      </w:r>
      <w:r w:rsidRPr="00E7101E">
        <w:rPr>
          <w:rFonts w:ascii="David" w:hAnsi="David" w:cs="David" w:hint="cs"/>
          <w:sz w:val="24"/>
          <w:szCs w:val="24"/>
          <w:rtl/>
        </w:rPr>
        <w:t xml:space="preserve"> מס' </w:t>
      </w:r>
      <w:r w:rsidR="001B479E" w:rsidRPr="00E7101E">
        <w:rPr>
          <w:rFonts w:ascii="David" w:hAnsi="David" w:cs="David" w:hint="cs"/>
          <w:sz w:val="24"/>
          <w:szCs w:val="24"/>
          <w:rtl/>
        </w:rPr>
        <w:t>3 ו-4 בכתב האישום ה</w:t>
      </w:r>
      <w:r w:rsidR="00D369A2" w:rsidRPr="00E7101E">
        <w:rPr>
          <w:rFonts w:ascii="David" w:hAnsi="David" w:cs="David" w:hint="cs"/>
          <w:sz w:val="24"/>
          <w:szCs w:val="24"/>
          <w:rtl/>
        </w:rPr>
        <w:t>מאוחד וה</w:t>
      </w:r>
      <w:r w:rsidR="001B479E" w:rsidRPr="00E7101E">
        <w:rPr>
          <w:rFonts w:ascii="David" w:hAnsi="David" w:cs="David" w:hint="cs"/>
          <w:sz w:val="24"/>
          <w:szCs w:val="24"/>
          <w:rtl/>
        </w:rPr>
        <w:t xml:space="preserve">מתוקן </w:t>
      </w:r>
      <w:r w:rsidRPr="00E7101E">
        <w:rPr>
          <w:rFonts w:ascii="David" w:hAnsi="David" w:cs="David" w:hint="cs"/>
          <w:sz w:val="24"/>
          <w:szCs w:val="24"/>
          <w:rtl/>
        </w:rPr>
        <w:t xml:space="preserve">עובר לכן </w:t>
      </w:r>
      <w:commentRangeStart w:id="15"/>
      <w:r w:rsidRPr="00E7101E">
        <w:rPr>
          <w:rFonts w:ascii="David" w:hAnsi="David" w:cs="David" w:hint="cs"/>
          <w:sz w:val="24"/>
          <w:szCs w:val="24"/>
          <w:rtl/>
        </w:rPr>
        <w:t xml:space="preserve">התרחשו מספר אירועים נוספים </w:t>
      </w:r>
      <w:commentRangeEnd w:id="15"/>
      <w:r w:rsidR="0081655E">
        <w:rPr>
          <w:rStyle w:val="a8"/>
          <w:rFonts w:cs="David"/>
          <w:rtl/>
        </w:rPr>
        <w:commentReference w:id="15"/>
      </w:r>
      <w:r w:rsidRPr="00E7101E">
        <w:rPr>
          <w:rFonts w:ascii="David" w:hAnsi="David" w:cs="David" w:hint="cs"/>
          <w:sz w:val="24"/>
          <w:szCs w:val="24"/>
          <w:rtl/>
        </w:rPr>
        <w:t>אשר נועדו להביא לפגיעה בדניאל כהן.</w:t>
      </w:r>
    </w:p>
    <w:p w:rsidR="00BA7737" w:rsidRPr="00E7101E" w:rsidRDefault="00BA7737" w:rsidP="00424BFC">
      <w:pPr>
        <w:keepLines/>
        <w:numPr>
          <w:ilvl w:val="0"/>
          <w:numId w:val="21"/>
        </w:numPr>
        <w:spacing w:before="60" w:line="360" w:lineRule="auto"/>
        <w:ind w:left="714" w:hanging="357"/>
        <w:jc w:val="both"/>
        <w:rPr>
          <w:rFonts w:ascii="David" w:hAnsi="David" w:cs="David"/>
          <w:sz w:val="24"/>
          <w:szCs w:val="24"/>
        </w:rPr>
      </w:pPr>
      <w:commentRangeStart w:id="16"/>
      <w:r w:rsidRPr="00E7101E">
        <w:rPr>
          <w:rFonts w:ascii="David" w:hAnsi="David" w:cs="David" w:hint="cs"/>
          <w:sz w:val="24"/>
          <w:szCs w:val="24"/>
          <w:rtl/>
        </w:rPr>
        <w:t>מוכחש האמור והנטען בסעיף 13 לכתב התביעה למעט כי ביום 21.11.10 הונח מטען ברכבו של דניאל כהן. מבלי לגרוע מכלליות ההכחשה, מוסיפה הנתבעת וטוענת כי בהתאם למפורט באישום מס' 7 לכתב האישום המאוחד והמתוקן</w:t>
      </w:r>
      <w:r w:rsidR="00E26D46" w:rsidRPr="00E7101E">
        <w:rPr>
          <w:rFonts w:ascii="David" w:hAnsi="David" w:cs="David" w:hint="cs"/>
          <w:sz w:val="24"/>
          <w:szCs w:val="24"/>
          <w:rtl/>
        </w:rPr>
        <w:t xml:space="preserve"> יוחס לתובע עבירה של קשירת קשר לרצוח את גרושתו ע.ש. אשר התרחשה על פי כתב האישום</w:t>
      </w:r>
      <w:r w:rsidR="00D369A2" w:rsidRPr="00E7101E">
        <w:rPr>
          <w:rFonts w:ascii="David" w:hAnsi="David" w:cs="David" w:hint="cs"/>
          <w:sz w:val="24"/>
          <w:szCs w:val="24"/>
          <w:rtl/>
        </w:rPr>
        <w:t xml:space="preserve"> המאוחד והמתוקן</w:t>
      </w:r>
      <w:r w:rsidR="00E26D46" w:rsidRPr="00E7101E">
        <w:rPr>
          <w:rFonts w:ascii="David" w:hAnsi="David" w:cs="David" w:hint="cs"/>
          <w:sz w:val="24"/>
          <w:szCs w:val="24"/>
          <w:rtl/>
        </w:rPr>
        <w:t xml:space="preserve"> לאחר ה-21.11.10 ועובר ליום 24.3.11.</w:t>
      </w:r>
      <w:commentRangeEnd w:id="16"/>
      <w:r w:rsidR="0081655E">
        <w:rPr>
          <w:rStyle w:val="a8"/>
          <w:rFonts w:cs="David"/>
          <w:rtl/>
        </w:rPr>
        <w:commentReference w:id="16"/>
      </w:r>
    </w:p>
    <w:p w:rsidR="00E26D46" w:rsidRPr="00424BFC" w:rsidRDefault="00424BFC" w:rsidP="00424BFC">
      <w:pPr>
        <w:keepLines/>
        <w:numPr>
          <w:ilvl w:val="0"/>
          <w:numId w:val="21"/>
        </w:numPr>
        <w:spacing w:before="60" w:line="360" w:lineRule="auto"/>
        <w:ind w:left="714" w:hanging="357"/>
        <w:jc w:val="both"/>
        <w:rPr>
          <w:rFonts w:ascii="David" w:hAnsi="David" w:cs="David"/>
          <w:sz w:val="24"/>
          <w:szCs w:val="24"/>
        </w:rPr>
      </w:pPr>
      <w:r w:rsidRPr="00424BFC">
        <w:rPr>
          <w:rFonts w:ascii="David" w:hAnsi="David" w:cs="David" w:hint="cs"/>
          <w:sz w:val="24"/>
          <w:szCs w:val="24"/>
          <w:rtl/>
        </w:rPr>
        <w:t>האמור והנטען בסעיף 14 לכתב התביעה איננו מוכחש ובלבד שאין בו כדי להטיל חבות ו/או אחריות כלשהי על הנתבעת.</w:t>
      </w:r>
    </w:p>
    <w:p w:rsidR="00E26D46" w:rsidRPr="00E7101E" w:rsidRDefault="00E26D46" w:rsidP="00EC06C4">
      <w:pPr>
        <w:keepLines/>
        <w:numPr>
          <w:ilvl w:val="0"/>
          <w:numId w:val="21"/>
        </w:numPr>
        <w:spacing w:line="360" w:lineRule="auto"/>
        <w:jc w:val="both"/>
        <w:rPr>
          <w:rFonts w:ascii="David" w:hAnsi="David" w:cs="David"/>
          <w:sz w:val="24"/>
          <w:szCs w:val="24"/>
        </w:rPr>
      </w:pPr>
      <w:r w:rsidRPr="00E7101E">
        <w:rPr>
          <w:rFonts w:ascii="David" w:hAnsi="David" w:cs="David" w:hint="cs"/>
          <w:sz w:val="24"/>
          <w:szCs w:val="24"/>
          <w:rtl/>
        </w:rPr>
        <w:t>האמור בסעיפים 15 ו-16 לכתב התביעה איננו מוכחש, ובלבד שהללו עולים בקנה אחד עם המועדים המפורטים בכתב האישום</w:t>
      </w:r>
      <w:r w:rsidR="00D369A2" w:rsidRPr="00E7101E">
        <w:rPr>
          <w:rFonts w:ascii="David" w:hAnsi="David" w:cs="David" w:hint="cs"/>
          <w:sz w:val="24"/>
          <w:szCs w:val="24"/>
          <w:rtl/>
        </w:rPr>
        <w:t xml:space="preserve"> המאוחד והמתוקן</w:t>
      </w:r>
      <w:r w:rsidRPr="00E7101E">
        <w:rPr>
          <w:rFonts w:ascii="David" w:hAnsi="David" w:cs="David" w:hint="cs"/>
          <w:sz w:val="24"/>
          <w:szCs w:val="24"/>
          <w:rtl/>
        </w:rPr>
        <w:t xml:space="preserve"> ואין בהם כדי להטיל אחריות או חבות כלשהי על הנתבעת.</w:t>
      </w:r>
    </w:p>
    <w:p w:rsidR="00726EA9" w:rsidRPr="00E7101E" w:rsidRDefault="00726EA9" w:rsidP="00726EA9">
      <w:pPr>
        <w:keepLines/>
        <w:numPr>
          <w:ilvl w:val="0"/>
          <w:numId w:val="21"/>
        </w:numPr>
        <w:spacing w:line="360" w:lineRule="auto"/>
        <w:jc w:val="both"/>
        <w:rPr>
          <w:rFonts w:ascii="David" w:hAnsi="David" w:cs="David"/>
          <w:sz w:val="24"/>
          <w:szCs w:val="24"/>
        </w:rPr>
      </w:pPr>
      <w:r w:rsidRPr="00E7101E">
        <w:rPr>
          <w:rFonts w:ascii="David" w:hAnsi="David" w:cs="David" w:hint="cs"/>
          <w:sz w:val="24"/>
          <w:szCs w:val="24"/>
          <w:rtl/>
        </w:rPr>
        <w:t>האמור בסעיפים 17-19 לכתב התביעה איננו מוכחש, ובלבד שהללו עולים בקנה אחד עם המועדים המפורטים בכתב האישום המאוחד והמתוקן ואין בהם כדי להטיל אחריות או חבות כלשהי על הנתבעת.</w:t>
      </w:r>
    </w:p>
    <w:p w:rsidR="00E26D46" w:rsidRPr="00E7101E" w:rsidRDefault="00E26D46" w:rsidP="00285619">
      <w:pPr>
        <w:keepLines/>
        <w:numPr>
          <w:ilvl w:val="0"/>
          <w:numId w:val="21"/>
        </w:numPr>
        <w:spacing w:line="360" w:lineRule="auto"/>
        <w:jc w:val="both"/>
        <w:rPr>
          <w:rFonts w:ascii="David" w:hAnsi="David" w:cs="David"/>
          <w:sz w:val="24"/>
          <w:szCs w:val="24"/>
        </w:rPr>
      </w:pPr>
      <w:r w:rsidRPr="00E7101E">
        <w:rPr>
          <w:rFonts w:ascii="David" w:hAnsi="David" w:cs="David" w:hint="cs"/>
          <w:sz w:val="24"/>
          <w:szCs w:val="24"/>
          <w:rtl/>
        </w:rPr>
        <w:t>המועדים האמורים והנטענים בסעיפים 20-28 לכתב התביעה אינם מוכחשים</w:t>
      </w:r>
      <w:r w:rsidR="00285619" w:rsidRPr="00E7101E">
        <w:rPr>
          <w:rFonts w:ascii="David" w:hAnsi="David" w:cs="David" w:hint="cs"/>
          <w:sz w:val="24"/>
          <w:szCs w:val="24"/>
          <w:rtl/>
        </w:rPr>
        <w:t xml:space="preserve">, בשים לב לכך </w:t>
      </w:r>
      <w:commentRangeStart w:id="17"/>
      <w:r w:rsidR="00285619" w:rsidRPr="00E7101E">
        <w:rPr>
          <w:rFonts w:ascii="David" w:hAnsi="David" w:cs="David" w:hint="cs"/>
          <w:sz w:val="24"/>
          <w:szCs w:val="24"/>
          <w:rtl/>
        </w:rPr>
        <w:t>שהעובדות בסדר הכרונולוגי המוצג בכתב התביעה הינן חסרות ונעדרות פירוט של האירועים מושא אישומים מס' 13-15 לכתב האישום המאוחד והמתוקן</w:t>
      </w:r>
      <w:commentRangeEnd w:id="17"/>
      <w:r w:rsidR="0081655E">
        <w:rPr>
          <w:rStyle w:val="a8"/>
          <w:rFonts w:cs="David"/>
          <w:rtl/>
        </w:rPr>
        <w:commentReference w:id="17"/>
      </w:r>
      <w:r w:rsidRPr="00E7101E">
        <w:rPr>
          <w:rFonts w:ascii="David" w:hAnsi="David" w:cs="David" w:hint="cs"/>
          <w:sz w:val="24"/>
          <w:szCs w:val="24"/>
          <w:rtl/>
        </w:rPr>
        <w:t>.</w:t>
      </w:r>
    </w:p>
    <w:p w:rsidR="00C7204B" w:rsidRPr="00E7101E" w:rsidRDefault="00017166" w:rsidP="00EC06C4">
      <w:pPr>
        <w:keepLines/>
        <w:numPr>
          <w:ilvl w:val="0"/>
          <w:numId w:val="21"/>
        </w:numPr>
        <w:spacing w:line="360" w:lineRule="auto"/>
        <w:jc w:val="both"/>
        <w:rPr>
          <w:rFonts w:ascii="David" w:hAnsi="David" w:cs="David"/>
          <w:sz w:val="24"/>
          <w:szCs w:val="24"/>
        </w:rPr>
      </w:pPr>
      <w:r w:rsidRPr="00E7101E">
        <w:rPr>
          <w:rFonts w:ascii="David" w:hAnsi="David" w:cs="David" w:hint="cs"/>
          <w:sz w:val="24"/>
          <w:szCs w:val="24"/>
          <w:rtl/>
        </w:rPr>
        <w:t xml:space="preserve">האמור והנטען בסעיף 29 לכתב התביעה איננו מוכחש ככל שאין בו כדי להטיל אחריות ו/או חבות כלשהי על הנתבעת </w:t>
      </w:r>
      <w:commentRangeStart w:id="18"/>
      <w:r w:rsidRPr="00E7101E">
        <w:rPr>
          <w:rFonts w:ascii="David" w:hAnsi="David" w:cs="David" w:hint="cs"/>
          <w:sz w:val="24"/>
          <w:szCs w:val="24"/>
          <w:rtl/>
        </w:rPr>
        <w:t>ו</w:t>
      </w:r>
      <w:r w:rsidRPr="00424BFC">
        <w:rPr>
          <w:rFonts w:ascii="David" w:hAnsi="David" w:cs="David" w:hint="cs"/>
          <w:sz w:val="24"/>
          <w:szCs w:val="24"/>
          <w:u w:val="single"/>
          <w:rtl/>
        </w:rPr>
        <w:t>למעט</w:t>
      </w:r>
      <w:r w:rsidRPr="00E7101E">
        <w:rPr>
          <w:rFonts w:ascii="David" w:hAnsi="David" w:cs="David" w:hint="cs"/>
          <w:sz w:val="24"/>
          <w:szCs w:val="24"/>
          <w:rtl/>
        </w:rPr>
        <w:t xml:space="preserve"> טענת התובע לפיה זוכה מכל העבירות בהן הואשם, דבר שאיננו עולה בקנה אחד עם הרשעתו המפורטת לעיל באישומים 13-15 לכתב האישום המאוחד והמתוקן.</w:t>
      </w:r>
      <w:commentRangeEnd w:id="18"/>
      <w:r w:rsidR="0081655E">
        <w:rPr>
          <w:rStyle w:val="a8"/>
          <w:rFonts w:cs="David"/>
          <w:rtl/>
        </w:rPr>
        <w:commentReference w:id="18"/>
      </w:r>
    </w:p>
    <w:p w:rsidR="00017166" w:rsidRPr="00E7101E" w:rsidRDefault="00017166" w:rsidP="00424BFC">
      <w:pPr>
        <w:keepLines/>
        <w:spacing w:before="120" w:line="360" w:lineRule="auto"/>
        <w:ind w:left="927"/>
        <w:jc w:val="both"/>
        <w:rPr>
          <w:rFonts w:ascii="David" w:hAnsi="David" w:cs="David"/>
          <w:sz w:val="24"/>
          <w:szCs w:val="24"/>
          <w:rtl/>
        </w:rPr>
      </w:pPr>
      <w:r w:rsidRPr="00E7101E">
        <w:rPr>
          <w:rFonts w:ascii="David" w:hAnsi="David" w:cs="David" w:hint="cs"/>
          <w:sz w:val="24"/>
          <w:szCs w:val="24"/>
          <w:rtl/>
        </w:rPr>
        <w:t>מבלי לגרוע מכלליות ההכחשה, מוסיפה הנתבעת וטוענת כי התובע נעצר כדין בהתאם להחלטות שיפוטיות הן של שופט מעצר ימים והן של השופט בבקשת מעצר עד תום ההליכים, אשר לא נתקפו על ידו, ולחלקן אף הסכים התובע לקיומן של ראיות לכאורה כנגדו.</w:t>
      </w:r>
    </w:p>
    <w:p w:rsidR="00E734EC" w:rsidRPr="00E7101E" w:rsidRDefault="00285619" w:rsidP="00424BFC">
      <w:pPr>
        <w:keepLines/>
        <w:spacing w:before="120" w:line="360" w:lineRule="auto"/>
        <w:ind w:left="927"/>
        <w:jc w:val="both"/>
        <w:rPr>
          <w:rFonts w:ascii="David" w:hAnsi="David" w:cs="David"/>
          <w:sz w:val="24"/>
          <w:szCs w:val="24"/>
          <w:rtl/>
        </w:rPr>
      </w:pPr>
      <w:r w:rsidRPr="00E7101E">
        <w:rPr>
          <w:rFonts w:ascii="David" w:hAnsi="David" w:cs="David" w:hint="cs"/>
          <w:sz w:val="24"/>
          <w:szCs w:val="24"/>
          <w:rtl/>
        </w:rPr>
        <w:t>למען שלמות התמונה יפורטו להלן ה</w:t>
      </w:r>
      <w:r w:rsidR="006E44EE" w:rsidRPr="00E7101E">
        <w:rPr>
          <w:rFonts w:ascii="David" w:hAnsi="David" w:cs="David" w:hint="cs"/>
          <w:sz w:val="24"/>
          <w:szCs w:val="24"/>
          <w:rtl/>
        </w:rPr>
        <w:t>חלטות</w:t>
      </w:r>
      <w:r w:rsidRPr="00E7101E">
        <w:rPr>
          <w:rFonts w:ascii="David" w:hAnsi="David" w:cs="David" w:hint="cs"/>
          <w:sz w:val="24"/>
          <w:szCs w:val="24"/>
          <w:rtl/>
        </w:rPr>
        <w:t xml:space="preserve"> המעצר:</w:t>
      </w:r>
    </w:p>
    <w:p w:rsidR="000A51B3" w:rsidRPr="00E7101E" w:rsidRDefault="000A51B3" w:rsidP="000A51B3">
      <w:pPr>
        <w:pStyle w:val="af4"/>
        <w:keepLines/>
        <w:numPr>
          <w:ilvl w:val="0"/>
          <w:numId w:val="23"/>
        </w:numPr>
        <w:spacing w:before="120" w:line="360" w:lineRule="auto"/>
        <w:jc w:val="both"/>
        <w:rPr>
          <w:rFonts w:ascii="David" w:hAnsi="David" w:cs="David"/>
          <w:sz w:val="24"/>
          <w:szCs w:val="24"/>
        </w:rPr>
      </w:pPr>
      <w:r w:rsidRPr="00E7101E">
        <w:rPr>
          <w:rFonts w:ascii="David" w:hAnsi="David" w:cs="David" w:hint="cs"/>
          <w:sz w:val="24"/>
          <w:szCs w:val="24"/>
          <w:rtl/>
        </w:rPr>
        <w:t xml:space="preserve">התובע היה עצור החל מיום 13.4.2011 ועד ליום 14.9.2014. מלוא תקופת המעצר באה במניין ימי המאסר שנגזרו על התובע כדין.  </w:t>
      </w:r>
    </w:p>
    <w:p w:rsidR="00017166" w:rsidRPr="00E7101E" w:rsidRDefault="00E734EC" w:rsidP="000A51B3">
      <w:pPr>
        <w:pStyle w:val="af4"/>
        <w:keepLines/>
        <w:numPr>
          <w:ilvl w:val="0"/>
          <w:numId w:val="23"/>
        </w:numPr>
        <w:spacing w:before="120" w:line="360" w:lineRule="auto"/>
        <w:ind w:left="1077" w:hanging="357"/>
        <w:jc w:val="both"/>
        <w:rPr>
          <w:rFonts w:ascii="David" w:hAnsi="David" w:cs="David"/>
          <w:sz w:val="24"/>
          <w:szCs w:val="24"/>
          <w:rtl/>
        </w:rPr>
      </w:pPr>
      <w:commentRangeStart w:id="19"/>
      <w:r w:rsidRPr="00E7101E">
        <w:rPr>
          <w:rFonts w:ascii="David" w:hAnsi="David" w:cs="David" w:hint="cs"/>
          <w:sz w:val="24"/>
          <w:szCs w:val="24"/>
          <w:rtl/>
        </w:rPr>
        <w:t>ביום 14.4.11 הובא התובע בפני שופט מעצרים, כבוד השופט עידו דרויאן, במסגרת מ"י 47692-03-11 אשר קבע בעניינו של התובע, כדלקמן</w:t>
      </w:r>
      <w:commentRangeEnd w:id="19"/>
      <w:r w:rsidR="00561BD4">
        <w:rPr>
          <w:rStyle w:val="a8"/>
          <w:rFonts w:cs="David"/>
          <w:rtl/>
        </w:rPr>
        <w:commentReference w:id="19"/>
      </w:r>
      <w:r w:rsidRPr="00E7101E">
        <w:rPr>
          <w:rFonts w:ascii="David" w:hAnsi="David" w:cs="David" w:hint="cs"/>
          <w:sz w:val="24"/>
          <w:szCs w:val="24"/>
          <w:rtl/>
        </w:rPr>
        <w:t>:</w:t>
      </w:r>
    </w:p>
    <w:p w:rsidR="00E734EC" w:rsidRPr="00E7101E" w:rsidRDefault="00E734EC" w:rsidP="00E734EC">
      <w:pPr>
        <w:keepLines/>
        <w:spacing w:before="120" w:line="360" w:lineRule="auto"/>
        <w:ind w:left="1080"/>
        <w:jc w:val="both"/>
        <w:rPr>
          <w:rFonts w:ascii="David" w:hAnsi="David" w:cs="David"/>
          <w:sz w:val="24"/>
          <w:szCs w:val="24"/>
          <w:rtl/>
        </w:rPr>
      </w:pPr>
      <w:r w:rsidRPr="00E7101E">
        <w:rPr>
          <w:rFonts w:ascii="David" w:hAnsi="David" w:cs="David" w:hint="cs"/>
          <w:sz w:val="24"/>
          <w:szCs w:val="24"/>
          <w:rtl/>
        </w:rPr>
        <w:t>"</w:t>
      </w:r>
      <w:r w:rsidRPr="00424BFC">
        <w:rPr>
          <w:rFonts w:ascii="David" w:hAnsi="David" w:cs="David" w:hint="cs"/>
          <w:b/>
          <w:bCs/>
          <w:sz w:val="24"/>
          <w:szCs w:val="24"/>
          <w:rtl/>
        </w:rPr>
        <w:t>לגבי החשוד 6 (</w:t>
      </w:r>
      <w:r w:rsidRPr="00424BFC">
        <w:rPr>
          <w:rFonts w:ascii="David" w:hAnsi="David" w:cs="David" w:hint="cs"/>
          <w:sz w:val="24"/>
          <w:szCs w:val="24"/>
          <w:rtl/>
        </w:rPr>
        <w:t xml:space="preserve">התובע בענייננו </w:t>
      </w:r>
      <w:r w:rsidRPr="00424BFC">
        <w:rPr>
          <w:rFonts w:ascii="David" w:hAnsi="David" w:cs="David"/>
          <w:sz w:val="24"/>
          <w:szCs w:val="24"/>
          <w:rtl/>
        </w:rPr>
        <w:t>–</w:t>
      </w:r>
      <w:r w:rsidRPr="00424BFC">
        <w:rPr>
          <w:rFonts w:ascii="David" w:hAnsi="David" w:cs="David" w:hint="cs"/>
          <w:sz w:val="24"/>
          <w:szCs w:val="24"/>
          <w:rtl/>
        </w:rPr>
        <w:t xml:space="preserve"> הח"מ</w:t>
      </w:r>
      <w:r w:rsidRPr="00424BFC">
        <w:rPr>
          <w:rFonts w:ascii="David" w:hAnsi="David" w:cs="David" w:hint="cs"/>
          <w:b/>
          <w:bCs/>
          <w:sz w:val="24"/>
          <w:szCs w:val="24"/>
          <w:rtl/>
        </w:rPr>
        <w:t>), ענייננו בבקשת מעצר ראשונה. חומר החקירה בענייננו אף הוא מסבך אותו באופן ממשי במיוחס לו, באופן המצדיק המשך מעצרו, לנוכח אפשרות חמורה לשיבוש, ומסוכנות גבוהה ביותר."</w:t>
      </w:r>
    </w:p>
    <w:p w:rsidR="00C9280C" w:rsidRPr="00E7101E" w:rsidRDefault="00C9280C" w:rsidP="00E734EC">
      <w:pPr>
        <w:keepLines/>
        <w:spacing w:before="120" w:line="360" w:lineRule="auto"/>
        <w:ind w:left="1080"/>
        <w:jc w:val="both"/>
        <w:rPr>
          <w:rFonts w:ascii="David" w:hAnsi="David" w:cs="David"/>
          <w:sz w:val="24"/>
          <w:szCs w:val="24"/>
          <w:rtl/>
        </w:rPr>
      </w:pPr>
      <w:r w:rsidRPr="00E7101E">
        <w:rPr>
          <w:rFonts w:ascii="David" w:hAnsi="David" w:cs="David" w:hint="cs"/>
          <w:sz w:val="24"/>
          <w:szCs w:val="24"/>
          <w:rtl/>
        </w:rPr>
        <w:t>מעצרו של התובע הוארך בהתאם להחלטה עד ליום 24.4.11.</w:t>
      </w:r>
    </w:p>
    <w:p w:rsidR="00E734EC" w:rsidRPr="00E7101E" w:rsidRDefault="00E734EC" w:rsidP="00A06635">
      <w:pPr>
        <w:keepLines/>
        <w:spacing w:before="120" w:line="360" w:lineRule="auto"/>
        <w:ind w:left="1080"/>
        <w:jc w:val="both"/>
        <w:rPr>
          <w:rFonts w:ascii="David" w:hAnsi="David" w:cs="David"/>
          <w:sz w:val="24"/>
          <w:szCs w:val="24"/>
          <w:rtl/>
        </w:rPr>
      </w:pPr>
      <w:r w:rsidRPr="00424BFC">
        <w:rPr>
          <w:rFonts w:ascii="David" w:hAnsi="David" w:cs="David" w:hint="cs"/>
          <w:b/>
          <w:bCs/>
          <w:sz w:val="24"/>
          <w:szCs w:val="24"/>
          <w:rtl/>
        </w:rPr>
        <w:t>מצ"ב</w:t>
      </w:r>
      <w:r w:rsidRPr="00E7101E">
        <w:rPr>
          <w:rFonts w:ascii="David" w:hAnsi="David" w:cs="David" w:hint="cs"/>
          <w:sz w:val="24"/>
          <w:szCs w:val="24"/>
          <w:rtl/>
        </w:rPr>
        <w:t xml:space="preserve"> העתק ההחלטה מיום 14.4.11 </w:t>
      </w:r>
      <w:r w:rsidRPr="00E7101E">
        <w:rPr>
          <w:rFonts w:ascii="David" w:hAnsi="David" w:cs="David" w:hint="cs"/>
          <w:sz w:val="24"/>
          <w:szCs w:val="24"/>
          <w:highlight w:val="yellow"/>
          <w:rtl/>
        </w:rPr>
        <w:t>כ</w:t>
      </w:r>
      <w:r w:rsidRPr="00A06635">
        <w:rPr>
          <w:rFonts w:ascii="David" w:hAnsi="David" w:cs="David" w:hint="cs"/>
          <w:b/>
          <w:bCs/>
          <w:sz w:val="24"/>
          <w:szCs w:val="24"/>
          <w:highlight w:val="yellow"/>
          <w:u w:val="single"/>
          <w:rtl/>
        </w:rPr>
        <w:t xml:space="preserve">נספח </w:t>
      </w:r>
      <w:r w:rsidR="00A06635" w:rsidRPr="00A06635">
        <w:rPr>
          <w:rFonts w:ascii="David" w:hAnsi="David" w:cs="David" w:hint="cs"/>
          <w:b/>
          <w:bCs/>
          <w:sz w:val="24"/>
          <w:szCs w:val="24"/>
          <w:highlight w:val="yellow"/>
          <w:u w:val="single"/>
          <w:rtl/>
        </w:rPr>
        <w:t>"6"</w:t>
      </w:r>
      <w:r w:rsidRPr="00E7101E">
        <w:rPr>
          <w:rFonts w:ascii="David" w:hAnsi="David" w:cs="David" w:hint="cs"/>
          <w:sz w:val="24"/>
          <w:szCs w:val="24"/>
          <w:rtl/>
        </w:rPr>
        <w:t xml:space="preserve"> לכתב ההגנה דנא. </w:t>
      </w:r>
    </w:p>
    <w:p w:rsidR="00E734EC" w:rsidRPr="00E7101E" w:rsidRDefault="00E734EC" w:rsidP="00E734EC">
      <w:pPr>
        <w:pStyle w:val="af4"/>
        <w:keepLines/>
        <w:numPr>
          <w:ilvl w:val="0"/>
          <w:numId w:val="23"/>
        </w:numPr>
        <w:spacing w:before="120" w:line="360" w:lineRule="auto"/>
        <w:jc w:val="both"/>
        <w:rPr>
          <w:rFonts w:ascii="David" w:hAnsi="David" w:cs="David"/>
          <w:sz w:val="24"/>
          <w:szCs w:val="24"/>
        </w:rPr>
      </w:pPr>
      <w:r w:rsidRPr="00E7101E">
        <w:rPr>
          <w:rFonts w:ascii="David" w:hAnsi="David" w:cs="David" w:hint="cs"/>
          <w:sz w:val="24"/>
          <w:szCs w:val="24"/>
          <w:rtl/>
        </w:rPr>
        <w:lastRenderedPageBreak/>
        <w:t>ביום 24.4.11 ניתנה החלטה נוספת בעניינו של התובע על ידי כבוד השופט דרויאן במסגרת                מ"י 47692-03-11 במסגרתה נקבע, בין היתר, כי קיימת הצדקה להאריך את מעצר הימים של התובע, כדלקמן:</w:t>
      </w:r>
    </w:p>
    <w:p w:rsidR="00E734EC" w:rsidRPr="00424BFC" w:rsidRDefault="00E734EC" w:rsidP="00E734EC">
      <w:pPr>
        <w:pStyle w:val="af4"/>
        <w:keepLines/>
        <w:spacing w:before="120" w:line="360" w:lineRule="auto"/>
        <w:ind w:left="1080"/>
        <w:jc w:val="both"/>
        <w:rPr>
          <w:rFonts w:ascii="David" w:hAnsi="David" w:cs="David"/>
          <w:b/>
          <w:bCs/>
          <w:sz w:val="24"/>
          <w:szCs w:val="24"/>
          <w:rtl/>
        </w:rPr>
      </w:pPr>
      <w:r w:rsidRPr="00E7101E">
        <w:rPr>
          <w:rFonts w:ascii="David" w:hAnsi="David" w:cs="David" w:hint="cs"/>
          <w:sz w:val="24"/>
          <w:szCs w:val="24"/>
          <w:rtl/>
        </w:rPr>
        <w:t>"</w:t>
      </w:r>
      <w:r w:rsidRPr="00424BFC">
        <w:rPr>
          <w:rFonts w:ascii="David" w:hAnsi="David" w:cs="David" w:hint="cs"/>
          <w:b/>
          <w:bCs/>
          <w:sz w:val="24"/>
          <w:szCs w:val="24"/>
          <w:rtl/>
        </w:rPr>
        <w:t>אשוב ואומר:</w:t>
      </w:r>
    </w:p>
    <w:p w:rsidR="00E734EC" w:rsidRPr="00424BFC" w:rsidRDefault="00E734EC" w:rsidP="00E734EC">
      <w:pPr>
        <w:pStyle w:val="af4"/>
        <w:keepLines/>
        <w:spacing w:before="120" w:line="360" w:lineRule="auto"/>
        <w:ind w:left="1080"/>
        <w:jc w:val="both"/>
        <w:rPr>
          <w:rFonts w:ascii="David" w:hAnsi="David" w:cs="David"/>
          <w:b/>
          <w:bCs/>
          <w:sz w:val="24"/>
          <w:szCs w:val="24"/>
          <w:rtl/>
        </w:rPr>
      </w:pPr>
      <w:r w:rsidRPr="00424BFC">
        <w:rPr>
          <w:rFonts w:ascii="David" w:hAnsi="David" w:cs="David" w:hint="cs"/>
          <w:b/>
          <w:bCs/>
          <w:sz w:val="24"/>
          <w:szCs w:val="24"/>
          <w:rtl/>
        </w:rPr>
        <w:t xml:space="preserve"> כנגד כל אחד מן החשודים, נושא עמו החומר שהתחדש מאז הארכה קודמת, אופי מפליל, המעמיק מעורבותו באירוע.</w:t>
      </w:r>
    </w:p>
    <w:p w:rsidR="00E734EC" w:rsidRPr="00424BFC" w:rsidRDefault="00E734EC" w:rsidP="00E734EC">
      <w:pPr>
        <w:pStyle w:val="af4"/>
        <w:keepLines/>
        <w:spacing w:before="120" w:line="360" w:lineRule="auto"/>
        <w:ind w:left="1080"/>
        <w:jc w:val="both"/>
        <w:rPr>
          <w:rFonts w:ascii="David" w:hAnsi="David" w:cs="David"/>
          <w:b/>
          <w:bCs/>
          <w:sz w:val="24"/>
          <w:szCs w:val="24"/>
          <w:rtl/>
        </w:rPr>
      </w:pPr>
      <w:r w:rsidRPr="00424BFC">
        <w:rPr>
          <w:rFonts w:ascii="David" w:hAnsi="David" w:cs="David" w:hint="cs"/>
          <w:b/>
          <w:bCs/>
          <w:sz w:val="24"/>
          <w:szCs w:val="24"/>
          <w:rtl/>
        </w:rPr>
        <w:t xml:space="preserve">בפרט, בעניין של החשוד 6 </w:t>
      </w:r>
      <w:r w:rsidRPr="00424BFC">
        <w:rPr>
          <w:rFonts w:ascii="David" w:hAnsi="David" w:cs="David" w:hint="cs"/>
          <w:sz w:val="24"/>
          <w:szCs w:val="24"/>
          <w:rtl/>
        </w:rPr>
        <w:t xml:space="preserve">(התובע בענייננו </w:t>
      </w:r>
      <w:r w:rsidRPr="00424BFC">
        <w:rPr>
          <w:rFonts w:ascii="David" w:hAnsi="David" w:cs="David"/>
          <w:sz w:val="24"/>
          <w:szCs w:val="24"/>
          <w:rtl/>
        </w:rPr>
        <w:t>–</w:t>
      </w:r>
      <w:r w:rsidRPr="00424BFC">
        <w:rPr>
          <w:rFonts w:ascii="David" w:hAnsi="David" w:cs="David" w:hint="cs"/>
          <w:sz w:val="24"/>
          <w:szCs w:val="24"/>
          <w:rtl/>
        </w:rPr>
        <w:t xml:space="preserve"> הח"מ),</w:t>
      </w:r>
      <w:r w:rsidRPr="00424BFC">
        <w:rPr>
          <w:rFonts w:ascii="David" w:hAnsi="David" w:cs="David" w:hint="cs"/>
          <w:b/>
          <w:bCs/>
          <w:sz w:val="24"/>
          <w:szCs w:val="24"/>
          <w:rtl/>
        </w:rPr>
        <w:t xml:space="preserve"> אפנה למסמך עד/2 מתאריך היום. מסמך זה בעיני, משליך גם על מעורבותם של החשודים האחרים."</w:t>
      </w:r>
    </w:p>
    <w:p w:rsidR="00C9280C" w:rsidRPr="00E7101E" w:rsidRDefault="00C9280C" w:rsidP="00C9280C">
      <w:pPr>
        <w:keepLines/>
        <w:spacing w:before="120" w:line="360" w:lineRule="auto"/>
        <w:ind w:left="1080"/>
        <w:jc w:val="both"/>
        <w:rPr>
          <w:rFonts w:ascii="David" w:hAnsi="David" w:cs="David"/>
          <w:sz w:val="24"/>
          <w:szCs w:val="24"/>
          <w:rtl/>
        </w:rPr>
      </w:pPr>
      <w:r w:rsidRPr="00E7101E">
        <w:rPr>
          <w:rFonts w:ascii="David" w:hAnsi="David" w:cs="David" w:hint="cs"/>
          <w:sz w:val="24"/>
          <w:szCs w:val="24"/>
          <w:rtl/>
        </w:rPr>
        <w:t>מעצר הימים של התובע הוארך בהתאם להחלטה עד ליום 2.5.11.</w:t>
      </w:r>
    </w:p>
    <w:p w:rsidR="00E734EC" w:rsidRPr="00E7101E" w:rsidRDefault="00E734EC" w:rsidP="00A06635">
      <w:pPr>
        <w:keepLines/>
        <w:spacing w:before="120" w:line="360" w:lineRule="auto"/>
        <w:ind w:left="1080"/>
        <w:jc w:val="both"/>
        <w:rPr>
          <w:rFonts w:ascii="David" w:hAnsi="David" w:cs="David"/>
          <w:sz w:val="24"/>
          <w:szCs w:val="24"/>
          <w:rtl/>
        </w:rPr>
      </w:pPr>
      <w:r w:rsidRPr="00424BFC">
        <w:rPr>
          <w:rFonts w:ascii="David" w:hAnsi="David" w:cs="David" w:hint="cs"/>
          <w:b/>
          <w:bCs/>
          <w:sz w:val="24"/>
          <w:szCs w:val="24"/>
          <w:rtl/>
        </w:rPr>
        <w:t>מצ"ב</w:t>
      </w:r>
      <w:r w:rsidRPr="00E7101E">
        <w:rPr>
          <w:rFonts w:ascii="David" w:hAnsi="David" w:cs="David" w:hint="cs"/>
          <w:sz w:val="24"/>
          <w:szCs w:val="24"/>
          <w:rtl/>
        </w:rPr>
        <w:t xml:space="preserve"> העתק ההחלטה מיום 24.4.11 </w:t>
      </w:r>
      <w:r w:rsidRPr="00A06635">
        <w:rPr>
          <w:rFonts w:ascii="David" w:hAnsi="David" w:cs="David" w:hint="cs"/>
          <w:sz w:val="24"/>
          <w:szCs w:val="24"/>
          <w:highlight w:val="yellow"/>
          <w:rtl/>
        </w:rPr>
        <w:t>כ</w:t>
      </w:r>
      <w:r w:rsidRPr="00A06635">
        <w:rPr>
          <w:rFonts w:ascii="David" w:hAnsi="David" w:cs="David" w:hint="cs"/>
          <w:b/>
          <w:bCs/>
          <w:sz w:val="24"/>
          <w:szCs w:val="24"/>
          <w:highlight w:val="yellow"/>
          <w:u w:val="single"/>
          <w:rtl/>
        </w:rPr>
        <w:t xml:space="preserve">נספח </w:t>
      </w:r>
      <w:r w:rsidR="00A06635" w:rsidRPr="00A06635">
        <w:rPr>
          <w:rFonts w:ascii="David" w:hAnsi="David" w:cs="David" w:hint="cs"/>
          <w:b/>
          <w:bCs/>
          <w:sz w:val="24"/>
          <w:szCs w:val="24"/>
          <w:highlight w:val="yellow"/>
          <w:u w:val="single"/>
          <w:rtl/>
        </w:rPr>
        <w:t>"7"</w:t>
      </w:r>
      <w:r w:rsidRPr="00E7101E">
        <w:rPr>
          <w:rFonts w:ascii="David" w:hAnsi="David" w:cs="David" w:hint="cs"/>
          <w:sz w:val="24"/>
          <w:szCs w:val="24"/>
          <w:rtl/>
        </w:rPr>
        <w:t xml:space="preserve"> לכתב ההגנה דנא. </w:t>
      </w:r>
    </w:p>
    <w:p w:rsidR="00E734EC" w:rsidRPr="00E7101E" w:rsidRDefault="00C9280C" w:rsidP="00E734EC">
      <w:pPr>
        <w:pStyle w:val="af4"/>
        <w:keepLines/>
        <w:numPr>
          <w:ilvl w:val="0"/>
          <w:numId w:val="23"/>
        </w:numPr>
        <w:spacing w:before="120" w:line="360" w:lineRule="auto"/>
        <w:jc w:val="both"/>
        <w:rPr>
          <w:rFonts w:ascii="David" w:hAnsi="David" w:cs="David"/>
          <w:sz w:val="24"/>
          <w:szCs w:val="24"/>
        </w:rPr>
      </w:pPr>
      <w:r w:rsidRPr="00E7101E">
        <w:rPr>
          <w:rFonts w:ascii="David" w:hAnsi="David" w:cs="David" w:hint="cs"/>
          <w:sz w:val="24"/>
          <w:szCs w:val="24"/>
          <w:rtl/>
        </w:rPr>
        <w:t>ביום 2.5.11 הובא התובע פעם נוספת בפני כבוד השופט ע' דרויאן במסגרת מ"י 47692-03-11 אשר קבע בהחלטתו כי: "</w:t>
      </w:r>
      <w:r w:rsidRPr="00424BFC">
        <w:rPr>
          <w:rFonts w:ascii="David" w:hAnsi="David" w:cs="David" w:hint="cs"/>
          <w:b/>
          <w:bCs/>
          <w:sz w:val="24"/>
          <w:szCs w:val="24"/>
          <w:rtl/>
        </w:rPr>
        <w:t>לאחר שעיינתי בחומר הנוגע לחשוד 6</w:t>
      </w:r>
      <w:r w:rsidRPr="00E7101E">
        <w:rPr>
          <w:rFonts w:ascii="David" w:hAnsi="David" w:cs="David" w:hint="cs"/>
          <w:sz w:val="24"/>
          <w:szCs w:val="24"/>
          <w:rtl/>
        </w:rPr>
        <w:t xml:space="preserve"> (התובע בענייננו </w:t>
      </w:r>
      <w:r w:rsidRPr="00E7101E">
        <w:rPr>
          <w:rFonts w:ascii="David" w:hAnsi="David" w:cs="David"/>
          <w:sz w:val="24"/>
          <w:szCs w:val="24"/>
          <w:rtl/>
        </w:rPr>
        <w:t>–</w:t>
      </w:r>
      <w:r w:rsidRPr="00E7101E">
        <w:rPr>
          <w:rFonts w:ascii="David" w:hAnsi="David" w:cs="David" w:hint="cs"/>
          <w:sz w:val="24"/>
          <w:szCs w:val="24"/>
          <w:rtl/>
        </w:rPr>
        <w:t xml:space="preserve"> הח"מ), </w:t>
      </w:r>
      <w:r w:rsidRPr="00424BFC">
        <w:rPr>
          <w:rFonts w:ascii="David" w:hAnsi="David" w:cs="David" w:hint="cs"/>
          <w:b/>
          <w:bCs/>
          <w:sz w:val="24"/>
          <w:szCs w:val="24"/>
          <w:rtl/>
        </w:rPr>
        <w:t>ומצאתי כי אכן הקרקע להמשך מעצרו מוצקה, אני מורה על המשך מעצרו של החשוד 6 עד ליום 8.5.11 בשעה 13:00, שאז יובא בפני שופט אם לא ישוחרר קודם לכן בתחנת המשטרה</w:t>
      </w:r>
      <w:r w:rsidRPr="00E7101E">
        <w:rPr>
          <w:rFonts w:ascii="David" w:hAnsi="David" w:cs="David" w:hint="cs"/>
          <w:sz w:val="24"/>
          <w:szCs w:val="24"/>
          <w:rtl/>
        </w:rPr>
        <w:t>".</w:t>
      </w:r>
    </w:p>
    <w:p w:rsidR="00C9280C" w:rsidRPr="00E7101E" w:rsidRDefault="00C9280C" w:rsidP="00C9280C">
      <w:pPr>
        <w:pStyle w:val="af4"/>
        <w:keepLines/>
        <w:spacing w:before="120" w:line="360" w:lineRule="auto"/>
        <w:ind w:left="1080"/>
        <w:jc w:val="both"/>
        <w:rPr>
          <w:rFonts w:ascii="David" w:hAnsi="David" w:cs="David"/>
          <w:sz w:val="24"/>
          <w:szCs w:val="24"/>
          <w:rtl/>
        </w:rPr>
      </w:pPr>
      <w:r w:rsidRPr="00E7101E">
        <w:rPr>
          <w:rFonts w:ascii="David" w:hAnsi="David" w:cs="David" w:hint="cs"/>
          <w:sz w:val="24"/>
          <w:szCs w:val="24"/>
          <w:rtl/>
        </w:rPr>
        <w:t>יוטעם, כי בדיון זה היה התובע מיוצג על ידי עוה"ד אשר ייצגו את התובע במסגרת ההליך הפלילי מושא תביעה זו, ואלו נתנו הסכמתם להארכת מעצרו של התובע עד ליום 08.05.11.</w:t>
      </w:r>
    </w:p>
    <w:p w:rsidR="00C9280C" w:rsidRPr="00E7101E" w:rsidRDefault="00C9280C" w:rsidP="00A06635">
      <w:pPr>
        <w:keepLines/>
        <w:spacing w:before="120" w:line="360" w:lineRule="auto"/>
        <w:ind w:left="1080"/>
        <w:jc w:val="both"/>
        <w:rPr>
          <w:rFonts w:ascii="David" w:hAnsi="David" w:cs="David"/>
          <w:sz w:val="24"/>
          <w:szCs w:val="24"/>
          <w:rtl/>
        </w:rPr>
      </w:pPr>
      <w:r w:rsidRPr="00424BFC">
        <w:rPr>
          <w:rFonts w:ascii="David" w:hAnsi="David" w:cs="David" w:hint="cs"/>
          <w:b/>
          <w:bCs/>
          <w:sz w:val="24"/>
          <w:szCs w:val="24"/>
          <w:rtl/>
        </w:rPr>
        <w:t>מצ"ב</w:t>
      </w:r>
      <w:r w:rsidRPr="00E7101E">
        <w:rPr>
          <w:rFonts w:ascii="David" w:hAnsi="David" w:cs="David" w:hint="cs"/>
          <w:sz w:val="24"/>
          <w:szCs w:val="24"/>
          <w:rtl/>
        </w:rPr>
        <w:t xml:space="preserve"> העתק ההחלטה מיום 2.5.11 </w:t>
      </w:r>
      <w:r w:rsidRPr="00A06635">
        <w:rPr>
          <w:rFonts w:ascii="David" w:hAnsi="David" w:cs="David" w:hint="cs"/>
          <w:b/>
          <w:bCs/>
          <w:sz w:val="24"/>
          <w:szCs w:val="24"/>
          <w:highlight w:val="yellow"/>
          <w:rtl/>
        </w:rPr>
        <w:t>כ</w:t>
      </w:r>
      <w:r w:rsidRPr="00A06635">
        <w:rPr>
          <w:rFonts w:ascii="David" w:hAnsi="David" w:cs="David" w:hint="cs"/>
          <w:b/>
          <w:bCs/>
          <w:sz w:val="24"/>
          <w:szCs w:val="24"/>
          <w:highlight w:val="yellow"/>
          <w:u w:val="single"/>
          <w:rtl/>
        </w:rPr>
        <w:t xml:space="preserve">נספח </w:t>
      </w:r>
      <w:r w:rsidR="00A06635" w:rsidRPr="00A06635">
        <w:rPr>
          <w:rFonts w:ascii="David" w:hAnsi="David" w:cs="David" w:hint="cs"/>
          <w:b/>
          <w:bCs/>
          <w:sz w:val="24"/>
          <w:szCs w:val="24"/>
          <w:highlight w:val="yellow"/>
          <w:u w:val="single"/>
          <w:rtl/>
        </w:rPr>
        <w:t>"8"</w:t>
      </w:r>
      <w:r w:rsidRPr="00E7101E">
        <w:rPr>
          <w:rFonts w:ascii="David" w:hAnsi="David" w:cs="David" w:hint="cs"/>
          <w:sz w:val="24"/>
          <w:szCs w:val="24"/>
          <w:rtl/>
        </w:rPr>
        <w:t xml:space="preserve"> לכתב ההגנה דנא. </w:t>
      </w:r>
    </w:p>
    <w:p w:rsidR="00F44054" w:rsidRPr="00E7101E" w:rsidRDefault="00F44054" w:rsidP="00C9280C">
      <w:pPr>
        <w:keepLines/>
        <w:spacing w:before="120" w:line="360" w:lineRule="auto"/>
        <w:ind w:left="1080"/>
        <w:jc w:val="both"/>
        <w:rPr>
          <w:rFonts w:ascii="David" w:hAnsi="David" w:cs="David"/>
          <w:sz w:val="24"/>
          <w:szCs w:val="24"/>
          <w:rtl/>
        </w:rPr>
      </w:pPr>
      <w:r w:rsidRPr="00E7101E">
        <w:rPr>
          <w:rFonts w:ascii="David" w:hAnsi="David" w:cs="David" w:hint="cs"/>
          <w:sz w:val="24"/>
          <w:szCs w:val="24"/>
          <w:rtl/>
        </w:rPr>
        <w:t>ב-8.5.11 וב-11.5.11 התקיימו דיונים נוספים במסגרת מ"י 47692-03-11 אשר הורו על הארכת מעצרו של התובע.</w:t>
      </w:r>
    </w:p>
    <w:p w:rsidR="00F44054" w:rsidRPr="00E7101E" w:rsidRDefault="00F44054" w:rsidP="00F44054">
      <w:pPr>
        <w:keepLines/>
        <w:spacing w:before="120" w:line="360" w:lineRule="auto"/>
        <w:ind w:left="1080"/>
        <w:jc w:val="both"/>
        <w:rPr>
          <w:rFonts w:ascii="David" w:hAnsi="David" w:cs="David"/>
          <w:sz w:val="24"/>
          <w:szCs w:val="24"/>
          <w:rtl/>
        </w:rPr>
      </w:pPr>
      <w:r w:rsidRPr="00E7101E">
        <w:rPr>
          <w:rFonts w:ascii="David" w:hAnsi="David" w:cs="David" w:hint="cs"/>
          <w:sz w:val="24"/>
          <w:szCs w:val="24"/>
          <w:rtl/>
        </w:rPr>
        <w:t>ביום 15.5.11 ניתנה הצהרת תובע בחתימת פרקליטת מחוז תל-אביב (פלילי) דאז, גב' אריאלה סגל אנטלר ז"ל, בעניינם של כל החשודים המעורבים בפרשות אשר נחקרו אותה עת, לרבות כנגד התובע שבכותרת</w:t>
      </w:r>
      <w:r w:rsidR="006B32DD" w:rsidRPr="00E7101E">
        <w:rPr>
          <w:rFonts w:ascii="David" w:hAnsi="David" w:cs="David" w:hint="cs"/>
          <w:sz w:val="24"/>
          <w:szCs w:val="24"/>
          <w:rtl/>
        </w:rPr>
        <w:t xml:space="preserve">, ובהתאם להסכמת באי כוחו </w:t>
      </w:r>
      <w:r w:rsidR="006B32DD" w:rsidRPr="00E7101E">
        <w:rPr>
          <w:rFonts w:ascii="David" w:hAnsi="David" w:cs="David"/>
          <w:sz w:val="24"/>
          <w:szCs w:val="24"/>
          <w:rtl/>
        </w:rPr>
        <w:t>–</w:t>
      </w:r>
      <w:r w:rsidR="006B32DD" w:rsidRPr="00E7101E">
        <w:rPr>
          <w:rFonts w:ascii="David" w:hAnsi="David" w:cs="David" w:hint="cs"/>
          <w:sz w:val="24"/>
          <w:szCs w:val="24"/>
          <w:rtl/>
        </w:rPr>
        <w:t xml:space="preserve"> הוארך מעצרו עד ליום 19.5.11</w:t>
      </w:r>
      <w:r w:rsidRPr="00E7101E">
        <w:rPr>
          <w:rFonts w:ascii="David" w:hAnsi="David" w:cs="David" w:hint="cs"/>
          <w:sz w:val="24"/>
          <w:szCs w:val="24"/>
          <w:rtl/>
        </w:rPr>
        <w:t xml:space="preserve">. </w:t>
      </w:r>
    </w:p>
    <w:p w:rsidR="001E5FCE" w:rsidRPr="00E7101E" w:rsidRDefault="001E5FCE" w:rsidP="00A06635">
      <w:pPr>
        <w:keepLines/>
        <w:spacing w:before="120" w:line="360" w:lineRule="auto"/>
        <w:ind w:left="1080"/>
        <w:jc w:val="both"/>
        <w:rPr>
          <w:rFonts w:ascii="David" w:hAnsi="David" w:cs="David"/>
          <w:sz w:val="24"/>
          <w:szCs w:val="24"/>
          <w:rtl/>
        </w:rPr>
      </w:pPr>
      <w:r w:rsidRPr="00424BFC">
        <w:rPr>
          <w:rFonts w:ascii="David" w:hAnsi="David" w:cs="David" w:hint="cs"/>
          <w:b/>
          <w:bCs/>
          <w:sz w:val="24"/>
          <w:szCs w:val="24"/>
          <w:rtl/>
        </w:rPr>
        <w:t>מצ"ב</w:t>
      </w:r>
      <w:r w:rsidRPr="00E7101E">
        <w:rPr>
          <w:rFonts w:ascii="David" w:hAnsi="David" w:cs="David" w:hint="cs"/>
          <w:sz w:val="24"/>
          <w:szCs w:val="24"/>
          <w:rtl/>
        </w:rPr>
        <w:t xml:space="preserve"> העתק הצהרת תובע מיום 15.5.11 </w:t>
      </w:r>
      <w:r w:rsidRPr="00A06635">
        <w:rPr>
          <w:rFonts w:ascii="David" w:hAnsi="David" w:cs="David" w:hint="cs"/>
          <w:sz w:val="24"/>
          <w:szCs w:val="24"/>
          <w:highlight w:val="yellow"/>
          <w:rtl/>
        </w:rPr>
        <w:t>כ</w:t>
      </w:r>
      <w:r w:rsidRPr="00A06635">
        <w:rPr>
          <w:rFonts w:ascii="David" w:hAnsi="David" w:cs="David" w:hint="cs"/>
          <w:b/>
          <w:bCs/>
          <w:sz w:val="24"/>
          <w:szCs w:val="24"/>
          <w:highlight w:val="yellow"/>
          <w:u w:val="single"/>
          <w:rtl/>
        </w:rPr>
        <w:t xml:space="preserve">נספח </w:t>
      </w:r>
      <w:r w:rsidR="00A06635" w:rsidRPr="00A06635">
        <w:rPr>
          <w:rFonts w:ascii="David" w:hAnsi="David" w:cs="David" w:hint="cs"/>
          <w:b/>
          <w:bCs/>
          <w:sz w:val="24"/>
          <w:szCs w:val="24"/>
          <w:highlight w:val="yellow"/>
          <w:u w:val="single"/>
          <w:rtl/>
        </w:rPr>
        <w:t>"9"</w:t>
      </w:r>
      <w:r w:rsidRPr="00E7101E">
        <w:rPr>
          <w:rFonts w:ascii="David" w:hAnsi="David" w:cs="David" w:hint="cs"/>
          <w:sz w:val="24"/>
          <w:szCs w:val="24"/>
          <w:rtl/>
        </w:rPr>
        <w:t xml:space="preserve"> לכתב ההגנה דנא. </w:t>
      </w:r>
    </w:p>
    <w:p w:rsidR="00C9280C" w:rsidRPr="00E7101E" w:rsidRDefault="001E5FCE" w:rsidP="000A51B3">
      <w:pPr>
        <w:pStyle w:val="af4"/>
        <w:keepLines/>
        <w:numPr>
          <w:ilvl w:val="0"/>
          <w:numId w:val="23"/>
        </w:numPr>
        <w:spacing w:before="120" w:line="360" w:lineRule="auto"/>
        <w:jc w:val="both"/>
        <w:rPr>
          <w:rFonts w:ascii="David" w:hAnsi="David" w:cs="David"/>
          <w:sz w:val="24"/>
          <w:szCs w:val="24"/>
        </w:rPr>
      </w:pPr>
      <w:r w:rsidRPr="00E7101E">
        <w:rPr>
          <w:rFonts w:ascii="David" w:hAnsi="David" w:cs="David" w:hint="cs"/>
          <w:sz w:val="24"/>
          <w:szCs w:val="24"/>
          <w:rtl/>
        </w:rPr>
        <w:t xml:space="preserve">ביום 19.5.11 </w:t>
      </w:r>
      <w:r w:rsidR="00406C51" w:rsidRPr="00E7101E">
        <w:rPr>
          <w:rFonts w:ascii="David" w:hAnsi="David" w:cs="David" w:hint="cs"/>
          <w:sz w:val="24"/>
          <w:szCs w:val="24"/>
          <w:rtl/>
        </w:rPr>
        <w:t>הוגש כתב אישום כנגד התובע יחד עם בקשה למעצר עד תום ההליכים</w:t>
      </w:r>
      <w:r w:rsidR="000A51B3" w:rsidRPr="00E7101E">
        <w:rPr>
          <w:rFonts w:ascii="David" w:hAnsi="David" w:cs="David" w:hint="cs"/>
          <w:sz w:val="24"/>
          <w:szCs w:val="24"/>
          <w:rtl/>
        </w:rPr>
        <w:t xml:space="preserve"> לפי סעיף 21(א) לחוק הסדר הדין הפלילי (סמכויות אכיפה </w:t>
      </w:r>
      <w:r w:rsidR="000A51B3" w:rsidRPr="00E7101E">
        <w:rPr>
          <w:rFonts w:ascii="David" w:hAnsi="David" w:cs="David"/>
          <w:sz w:val="24"/>
          <w:szCs w:val="24"/>
          <w:rtl/>
        </w:rPr>
        <w:t>–</w:t>
      </w:r>
      <w:r w:rsidR="000A51B3" w:rsidRPr="00E7101E">
        <w:rPr>
          <w:rFonts w:ascii="David" w:hAnsi="David" w:cs="David" w:hint="cs"/>
          <w:sz w:val="24"/>
          <w:szCs w:val="24"/>
          <w:rtl/>
        </w:rPr>
        <w:t xml:space="preserve"> מעצרים), התשנ"ו </w:t>
      </w:r>
      <w:r w:rsidR="000A51B3" w:rsidRPr="00E7101E">
        <w:rPr>
          <w:rFonts w:ascii="David" w:hAnsi="David" w:cs="David"/>
          <w:sz w:val="24"/>
          <w:szCs w:val="24"/>
          <w:rtl/>
        </w:rPr>
        <w:t>–</w:t>
      </w:r>
      <w:r w:rsidR="000A51B3" w:rsidRPr="00E7101E">
        <w:rPr>
          <w:rFonts w:ascii="David" w:hAnsi="David" w:cs="David" w:hint="cs"/>
          <w:sz w:val="24"/>
          <w:szCs w:val="24"/>
          <w:rtl/>
        </w:rPr>
        <w:t xml:space="preserve"> 1996.</w:t>
      </w:r>
      <w:r w:rsidR="003A1F96" w:rsidRPr="00E7101E">
        <w:rPr>
          <w:rFonts w:ascii="David" w:hAnsi="David" w:cs="David" w:hint="cs"/>
          <w:sz w:val="24"/>
          <w:szCs w:val="24"/>
          <w:rtl/>
        </w:rPr>
        <w:t xml:space="preserve"> בדיון אשר התקיים בבקשה למעצר עד תום ההליכים מאותו מועד בפני כבוד השופט ציון קפאח במסגרת מ"ת (מחוזי ת"א) 34210-05-11 מסרו באי כוחו של התובע כי מסכימים הם לצורך ישיבה זו לקיומן של ראיות לכאורה, והתובע נעצר בהתאם עד להחלטה אחרת.</w:t>
      </w:r>
    </w:p>
    <w:p w:rsidR="000A51B3" w:rsidRPr="00E7101E" w:rsidRDefault="000A51B3" w:rsidP="000A51B3">
      <w:pPr>
        <w:pStyle w:val="af4"/>
        <w:keepLines/>
        <w:spacing w:before="120"/>
        <w:ind w:left="1080"/>
        <w:jc w:val="both"/>
        <w:rPr>
          <w:rFonts w:ascii="David" w:hAnsi="David" w:cs="David"/>
          <w:sz w:val="24"/>
          <w:szCs w:val="24"/>
        </w:rPr>
      </w:pPr>
    </w:p>
    <w:p w:rsidR="000A51B3" w:rsidRPr="00E7101E" w:rsidRDefault="000A51B3" w:rsidP="000A51B3">
      <w:pPr>
        <w:pStyle w:val="af4"/>
        <w:keepLines/>
        <w:numPr>
          <w:ilvl w:val="0"/>
          <w:numId w:val="23"/>
        </w:numPr>
        <w:spacing w:line="360" w:lineRule="auto"/>
        <w:jc w:val="both"/>
        <w:rPr>
          <w:rFonts w:ascii="David" w:hAnsi="David" w:cs="David"/>
          <w:sz w:val="24"/>
          <w:szCs w:val="24"/>
        </w:rPr>
      </w:pPr>
      <w:r w:rsidRPr="00E7101E">
        <w:rPr>
          <w:rFonts w:ascii="David" w:hAnsi="David" w:cs="David" w:hint="cs"/>
          <w:sz w:val="24"/>
          <w:szCs w:val="24"/>
          <w:rtl/>
        </w:rPr>
        <w:t xml:space="preserve">ביום 19.7.11 לאחר שמיעת טיעוני הצדדים הן בתמצית טיעונים בכתב והן בעל פה בדיון אשר התקיים ביום 12.7.11 ביחס לפרשות שוטה חובל ודניאל כהן בלבד, ניתנה החלטת כבוד השופט ציון קאפח אשר במסגרתה נקבע, בין היתר, </w:t>
      </w:r>
      <w:r w:rsidRPr="00424BFC">
        <w:rPr>
          <w:rFonts w:ascii="David" w:hAnsi="David" w:cs="David" w:hint="cs"/>
          <w:b/>
          <w:bCs/>
          <w:sz w:val="24"/>
          <w:szCs w:val="24"/>
          <w:u w:val="double"/>
          <w:rtl/>
        </w:rPr>
        <w:t>כי קיימת תשתית ראייתית לכאורית נגד התובע ומסוכנותו עולה וזועקת מכל תג ותג בכתב האישום</w:t>
      </w:r>
      <w:r w:rsidRPr="00E7101E">
        <w:rPr>
          <w:rFonts w:ascii="David" w:hAnsi="David" w:cs="David" w:hint="cs"/>
          <w:sz w:val="24"/>
          <w:szCs w:val="24"/>
          <w:rtl/>
        </w:rPr>
        <w:t xml:space="preserve">. כבוד השופט קאפח הורה בהחלטה זו על מעצרו של התובע עד תום ההליכים המשפטיים נגדו. </w:t>
      </w:r>
    </w:p>
    <w:p w:rsidR="000A51B3" w:rsidRPr="00E7101E" w:rsidRDefault="000A51B3" w:rsidP="00424BFC">
      <w:pPr>
        <w:pStyle w:val="af4"/>
        <w:keepLines/>
        <w:ind w:left="1080"/>
        <w:jc w:val="both"/>
        <w:rPr>
          <w:rFonts w:ascii="David" w:hAnsi="David" w:cs="David"/>
          <w:sz w:val="24"/>
          <w:szCs w:val="24"/>
          <w:rtl/>
        </w:rPr>
      </w:pPr>
    </w:p>
    <w:p w:rsidR="000A51B3" w:rsidRPr="00E7101E" w:rsidRDefault="000A51B3" w:rsidP="000A51B3">
      <w:pPr>
        <w:pStyle w:val="af4"/>
        <w:keepLines/>
        <w:spacing w:before="120" w:line="360" w:lineRule="auto"/>
        <w:ind w:left="1077"/>
        <w:jc w:val="both"/>
        <w:rPr>
          <w:rFonts w:ascii="David" w:hAnsi="David" w:cs="David"/>
          <w:sz w:val="24"/>
          <w:szCs w:val="24"/>
          <w:highlight w:val="yellow"/>
          <w:rtl/>
        </w:rPr>
      </w:pPr>
      <w:r w:rsidRPr="00E7101E">
        <w:rPr>
          <w:rFonts w:ascii="David" w:hAnsi="David" w:cs="David" w:hint="cs"/>
          <w:sz w:val="24"/>
          <w:szCs w:val="24"/>
          <w:rtl/>
        </w:rPr>
        <w:lastRenderedPageBreak/>
        <w:t>יצוין, כי עובר למתן ההחלטה המנומקת בדבר מעצר התובע עד תום ההליכים ב"</w:t>
      </w:r>
      <w:r w:rsidRPr="00424BFC">
        <w:rPr>
          <w:rFonts w:ascii="David" w:hAnsi="David" w:cs="David" w:hint="cs"/>
          <w:b/>
          <w:bCs/>
          <w:sz w:val="24"/>
          <w:szCs w:val="24"/>
          <w:rtl/>
        </w:rPr>
        <w:t>פרשת זר סיגליות</w:t>
      </w:r>
      <w:r w:rsidRPr="00E7101E">
        <w:rPr>
          <w:rFonts w:ascii="David" w:hAnsi="David" w:cs="David" w:hint="cs"/>
          <w:sz w:val="24"/>
          <w:szCs w:val="24"/>
          <w:rtl/>
        </w:rPr>
        <w:t xml:space="preserve">" מסרו באי כוחו של התובע בהליך הפלילי כי </w:t>
      </w:r>
      <w:r w:rsidRPr="00424BFC">
        <w:rPr>
          <w:rFonts w:ascii="David" w:hAnsi="David" w:cs="David" w:hint="cs"/>
          <w:b/>
          <w:bCs/>
          <w:sz w:val="24"/>
          <w:szCs w:val="24"/>
          <w:u w:val="double"/>
          <w:rtl/>
        </w:rPr>
        <w:t>הם מסכימים לבקשת המעצר עד תום ההליכים בעניינו של התובע ב"פרשת זר סיגליות"</w:t>
      </w:r>
      <w:r w:rsidRPr="00E7101E">
        <w:rPr>
          <w:rFonts w:ascii="David" w:hAnsi="David" w:cs="David" w:hint="cs"/>
          <w:sz w:val="24"/>
          <w:szCs w:val="24"/>
          <w:rtl/>
        </w:rPr>
        <w:t>.</w:t>
      </w:r>
    </w:p>
    <w:p w:rsidR="000A51B3" w:rsidRPr="00E7101E" w:rsidRDefault="000A51B3" w:rsidP="00424BFC">
      <w:pPr>
        <w:pStyle w:val="af4"/>
        <w:keepLines/>
        <w:spacing w:before="120"/>
        <w:jc w:val="both"/>
        <w:rPr>
          <w:rFonts w:ascii="David" w:hAnsi="David" w:cs="David"/>
          <w:sz w:val="24"/>
          <w:szCs w:val="24"/>
          <w:rtl/>
        </w:rPr>
      </w:pPr>
    </w:p>
    <w:p w:rsidR="000A51B3" w:rsidRPr="00E7101E" w:rsidRDefault="00A06635" w:rsidP="005F1591">
      <w:pPr>
        <w:pStyle w:val="af4"/>
        <w:keepLines/>
        <w:spacing w:before="120" w:line="360" w:lineRule="auto"/>
        <w:ind w:left="1080"/>
        <w:jc w:val="both"/>
        <w:rPr>
          <w:rFonts w:ascii="David" w:hAnsi="David" w:cs="David"/>
          <w:sz w:val="24"/>
          <w:szCs w:val="24"/>
        </w:rPr>
      </w:pPr>
      <w:r>
        <w:rPr>
          <w:rFonts w:ascii="David" w:hAnsi="David" w:cs="David" w:hint="cs"/>
          <w:b/>
          <w:bCs/>
          <w:sz w:val="24"/>
          <w:szCs w:val="24"/>
          <w:highlight w:val="yellow"/>
          <w:rtl/>
        </w:rPr>
        <w:t xml:space="preserve">החלטת כבוד השופט קאפח מיום 19.7.18 צורפה כנספח </w:t>
      </w:r>
      <w:r w:rsidR="005F1591">
        <w:rPr>
          <w:rFonts w:ascii="David" w:hAnsi="David" w:cs="David" w:hint="cs"/>
          <w:b/>
          <w:bCs/>
          <w:sz w:val="24"/>
          <w:szCs w:val="24"/>
          <w:highlight w:val="yellow"/>
          <w:rtl/>
        </w:rPr>
        <w:t>4</w:t>
      </w:r>
      <w:r>
        <w:rPr>
          <w:rFonts w:ascii="David" w:hAnsi="David" w:cs="David" w:hint="cs"/>
          <w:b/>
          <w:bCs/>
          <w:sz w:val="24"/>
          <w:szCs w:val="24"/>
          <w:highlight w:val="yellow"/>
          <w:rtl/>
        </w:rPr>
        <w:t xml:space="preserve"> לכתב ההגנה דנא. </w:t>
      </w:r>
    </w:p>
    <w:p w:rsidR="000A51B3" w:rsidRPr="00E7101E" w:rsidRDefault="000A51B3" w:rsidP="000A51B3">
      <w:pPr>
        <w:keepLines/>
        <w:numPr>
          <w:ilvl w:val="0"/>
          <w:numId w:val="23"/>
        </w:numPr>
        <w:spacing w:before="120" w:line="360" w:lineRule="auto"/>
        <w:jc w:val="both"/>
        <w:rPr>
          <w:rFonts w:ascii="David" w:hAnsi="David" w:cs="David"/>
          <w:sz w:val="24"/>
          <w:szCs w:val="24"/>
        </w:rPr>
      </w:pPr>
      <w:r w:rsidRPr="00E7101E">
        <w:rPr>
          <w:rFonts w:ascii="David" w:hAnsi="David" w:cs="David" w:hint="cs"/>
          <w:sz w:val="24"/>
          <w:szCs w:val="24"/>
          <w:rtl/>
        </w:rPr>
        <w:t xml:space="preserve">עוד יצוין, כי ביום 16.7.2011 נעצר התובע גם בגין </w:t>
      </w:r>
      <w:r w:rsidRPr="00424BFC">
        <w:rPr>
          <w:rFonts w:ascii="David" w:hAnsi="David" w:cs="David" w:hint="cs"/>
          <w:b/>
          <w:bCs/>
          <w:sz w:val="24"/>
          <w:szCs w:val="24"/>
          <w:rtl/>
        </w:rPr>
        <w:t>פרשת ייעוץ זוגי</w:t>
      </w:r>
      <w:r w:rsidRPr="00E7101E">
        <w:rPr>
          <w:rFonts w:ascii="David" w:hAnsi="David" w:cs="David" w:hint="cs"/>
          <w:sz w:val="24"/>
          <w:szCs w:val="24"/>
          <w:rtl/>
        </w:rPr>
        <w:t xml:space="preserve">. ביום 17.7.11 הובא התובע בפני שופט במסגרת תיק מ"י 26623-07-11 אשר הורו על מעצר ימים בהחלטות שונות עד ליום 28.7.11 המועד בו נעצר התובע עד תום ההליכים בגין </w:t>
      </w:r>
      <w:r w:rsidRPr="00424BFC">
        <w:rPr>
          <w:rFonts w:ascii="David" w:hAnsi="David" w:cs="David" w:hint="cs"/>
          <w:b/>
          <w:bCs/>
          <w:sz w:val="24"/>
          <w:szCs w:val="24"/>
          <w:rtl/>
        </w:rPr>
        <w:t>פרשת ייעוץ זוגי</w:t>
      </w:r>
      <w:r w:rsidRPr="00E7101E">
        <w:rPr>
          <w:rFonts w:ascii="David" w:hAnsi="David" w:cs="David" w:hint="cs"/>
          <w:sz w:val="24"/>
          <w:szCs w:val="24"/>
          <w:rtl/>
        </w:rPr>
        <w:t xml:space="preserve">. ההחלטה בעניין ניתנה על ידי כבוד השופטת דניה קרת-מאיר ביום 28.7.11 במסגרת תיק מ"ת 49100-07-11. </w:t>
      </w:r>
    </w:p>
    <w:p w:rsidR="000A51B3" w:rsidRPr="00424BFC" w:rsidRDefault="000A51B3" w:rsidP="000A51B3">
      <w:pPr>
        <w:keepLines/>
        <w:spacing w:before="120" w:line="360" w:lineRule="auto"/>
        <w:ind w:left="1080"/>
        <w:jc w:val="both"/>
        <w:rPr>
          <w:rFonts w:ascii="David" w:hAnsi="David" w:cs="David"/>
          <w:b/>
          <w:bCs/>
          <w:sz w:val="24"/>
          <w:szCs w:val="24"/>
          <w:u w:val="single"/>
        </w:rPr>
      </w:pPr>
      <w:r w:rsidRPr="00424BFC">
        <w:rPr>
          <w:rFonts w:ascii="David" w:hAnsi="David" w:cs="David" w:hint="cs"/>
          <w:b/>
          <w:bCs/>
          <w:sz w:val="24"/>
          <w:szCs w:val="24"/>
          <w:u w:val="single"/>
          <w:rtl/>
        </w:rPr>
        <w:t>כל החלטות המעצר בעניינו של התובע בפרשת ייעוץ זוגי היו בהסכמת באי כוחו לרבות הסכמה לקיומן של ראיות לכאורה ולקיומה של עילת מעצר.</w:t>
      </w:r>
    </w:p>
    <w:p w:rsidR="000A51B3" w:rsidRPr="00E7101E" w:rsidRDefault="000A51B3" w:rsidP="000A51B3">
      <w:pPr>
        <w:keepLines/>
        <w:numPr>
          <w:ilvl w:val="0"/>
          <w:numId w:val="23"/>
        </w:numPr>
        <w:spacing w:before="120" w:line="360" w:lineRule="auto"/>
        <w:jc w:val="both"/>
        <w:rPr>
          <w:rFonts w:ascii="David" w:hAnsi="David" w:cs="David"/>
          <w:sz w:val="24"/>
          <w:szCs w:val="24"/>
        </w:rPr>
      </w:pPr>
      <w:r w:rsidRPr="00E7101E">
        <w:rPr>
          <w:rFonts w:ascii="David" w:hAnsi="David" w:cs="David" w:hint="cs"/>
          <w:sz w:val="24"/>
          <w:szCs w:val="24"/>
          <w:rtl/>
        </w:rPr>
        <w:t>התובע שוחרר ממאסר ביום 02.10.16, והלכה למעשה, ריצה מאסר בפועל בגין הרשעתו באישומים 13-15 מיום מעצרו ביום 13.4.11.</w:t>
      </w:r>
    </w:p>
    <w:p w:rsidR="006E17F2" w:rsidRPr="00E7101E" w:rsidRDefault="006E17F2" w:rsidP="006E17F2">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האמור והנטען בסעיפים 30-38 לכתב התביעה אינו מוכחש, ובלבד שאין בהם כדי להטיל אחריות או חבות כלשהי על הנתבעת.</w:t>
      </w:r>
    </w:p>
    <w:p w:rsidR="00E75076" w:rsidRPr="00E7101E" w:rsidRDefault="00183878" w:rsidP="006E17F2">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האמור והנטען בסעיף 39 לכתב התביעה איננו מוכחש.</w:t>
      </w:r>
    </w:p>
    <w:p w:rsidR="002608C1" w:rsidRPr="00E7101E" w:rsidRDefault="002608C1" w:rsidP="00040FD7">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בסעיף 40 </w:t>
      </w:r>
      <w:r w:rsidR="00183878" w:rsidRPr="00E7101E">
        <w:rPr>
          <w:rFonts w:ascii="David" w:hAnsi="David" w:cs="David" w:hint="cs"/>
          <w:sz w:val="24"/>
          <w:szCs w:val="24"/>
          <w:rtl/>
        </w:rPr>
        <w:t>לכ</w:t>
      </w:r>
      <w:r w:rsidRPr="00E7101E">
        <w:rPr>
          <w:rFonts w:ascii="David" w:hAnsi="David" w:cs="David" w:hint="cs"/>
          <w:sz w:val="24"/>
          <w:szCs w:val="24"/>
          <w:rtl/>
        </w:rPr>
        <w:t xml:space="preserve">תב התביעה </w:t>
      </w:r>
      <w:r w:rsidR="00183878" w:rsidRPr="00E7101E">
        <w:rPr>
          <w:rFonts w:ascii="David" w:hAnsi="David" w:cs="David" w:hint="cs"/>
          <w:sz w:val="24"/>
          <w:szCs w:val="24"/>
          <w:rtl/>
        </w:rPr>
        <w:t>למעט הציטוטים המובאים בו כל עוד שצוטטו כלשונם</w:t>
      </w:r>
      <w:r w:rsidR="001F6CEA" w:rsidRPr="00E7101E">
        <w:rPr>
          <w:rFonts w:ascii="David" w:hAnsi="David" w:cs="David" w:hint="cs"/>
          <w:sz w:val="24"/>
          <w:szCs w:val="24"/>
          <w:rtl/>
        </w:rPr>
        <w:t xml:space="preserve"> ופירוט סיום ההליכים ביחס לנאשמים </w:t>
      </w:r>
      <w:r w:rsidR="00040FD7" w:rsidRPr="00E7101E">
        <w:rPr>
          <w:rFonts w:ascii="David" w:hAnsi="David" w:cs="David" w:hint="cs"/>
          <w:sz w:val="24"/>
          <w:szCs w:val="24"/>
          <w:rtl/>
        </w:rPr>
        <w:t>3 ו-4</w:t>
      </w:r>
      <w:r w:rsidRPr="00E7101E">
        <w:rPr>
          <w:rFonts w:ascii="David" w:hAnsi="David" w:cs="David" w:hint="cs"/>
          <w:sz w:val="24"/>
          <w:szCs w:val="24"/>
          <w:rtl/>
        </w:rPr>
        <w:t>.</w:t>
      </w:r>
      <w:r w:rsidR="00183878" w:rsidRPr="00E7101E">
        <w:rPr>
          <w:rFonts w:ascii="David" w:hAnsi="David" w:cs="David" w:hint="cs"/>
          <w:sz w:val="24"/>
          <w:szCs w:val="24"/>
          <w:rtl/>
        </w:rPr>
        <w:t xml:space="preserve"> </w:t>
      </w:r>
    </w:p>
    <w:p w:rsidR="002608C1" w:rsidRDefault="002608C1" w:rsidP="002608C1">
      <w:pPr>
        <w:keepLines/>
        <w:spacing w:line="360" w:lineRule="auto"/>
        <w:ind w:left="720"/>
        <w:jc w:val="both"/>
        <w:rPr>
          <w:rFonts w:ascii="David" w:hAnsi="David" w:cs="David"/>
          <w:sz w:val="24"/>
          <w:szCs w:val="24"/>
          <w:rtl/>
        </w:rPr>
      </w:pPr>
      <w:r w:rsidRPr="00E7101E">
        <w:rPr>
          <w:rFonts w:ascii="David" w:hAnsi="David" w:cs="David" w:hint="cs"/>
          <w:sz w:val="24"/>
          <w:szCs w:val="24"/>
          <w:rtl/>
        </w:rPr>
        <w:t xml:space="preserve">מבלי לגרוע מכלליות ההכחשה מוסיפה הנתבעת וטוענת כי אין המדובר במחדלי </w:t>
      </w:r>
      <w:r w:rsidR="00FA1B39" w:rsidRPr="00E7101E">
        <w:rPr>
          <w:rFonts w:ascii="David" w:hAnsi="David" w:cs="David" w:hint="cs"/>
          <w:sz w:val="24"/>
          <w:szCs w:val="24"/>
          <w:rtl/>
        </w:rPr>
        <w:t xml:space="preserve">חקירה ולחילופין </w:t>
      </w:r>
      <w:r w:rsidRPr="00E7101E">
        <w:rPr>
          <w:rFonts w:ascii="David" w:hAnsi="David" w:cs="David" w:hint="cs"/>
          <w:sz w:val="24"/>
          <w:szCs w:val="24"/>
          <w:rtl/>
        </w:rPr>
        <w:t>אין במחדלים הנטענים, אם וככל שיוכחו, כדי להשמיט את הבסיס הראייתי הלכאורי שהיה כנגד התובע ערב הגשת כתב האישום</w:t>
      </w:r>
      <w:r w:rsidR="006E44EE" w:rsidRPr="00E7101E">
        <w:rPr>
          <w:rFonts w:ascii="David" w:hAnsi="David" w:cs="David" w:hint="cs"/>
          <w:sz w:val="24"/>
          <w:szCs w:val="24"/>
          <w:rtl/>
        </w:rPr>
        <w:t xml:space="preserve"> ואין הם עולים כדי התרשלות המקימה זכות לפיצוי כספי כלשהו</w:t>
      </w:r>
      <w:r w:rsidRPr="00E7101E">
        <w:rPr>
          <w:rFonts w:ascii="David" w:hAnsi="David" w:cs="David" w:hint="cs"/>
          <w:sz w:val="24"/>
          <w:szCs w:val="24"/>
          <w:rtl/>
        </w:rPr>
        <w:t xml:space="preserve">. </w:t>
      </w:r>
    </w:p>
    <w:p w:rsidR="00D74864" w:rsidRDefault="00D74864" w:rsidP="00D74864">
      <w:pPr>
        <w:keepLines/>
        <w:ind w:left="720"/>
        <w:jc w:val="both"/>
        <w:rPr>
          <w:rFonts w:ascii="David" w:hAnsi="David" w:cs="David"/>
          <w:sz w:val="24"/>
          <w:szCs w:val="24"/>
          <w:rtl/>
        </w:rPr>
      </w:pPr>
    </w:p>
    <w:p w:rsidR="00D74864" w:rsidRPr="00E7101E" w:rsidRDefault="00D74864" w:rsidP="002608C1">
      <w:pPr>
        <w:keepLines/>
        <w:spacing w:line="360" w:lineRule="auto"/>
        <w:ind w:left="720"/>
        <w:jc w:val="both"/>
        <w:rPr>
          <w:rFonts w:ascii="David" w:hAnsi="David" w:cs="David"/>
          <w:sz w:val="24"/>
          <w:szCs w:val="24"/>
        </w:rPr>
      </w:pPr>
      <w:commentRangeStart w:id="20"/>
      <w:r>
        <w:rPr>
          <w:rFonts w:ascii="David" w:hAnsi="David" w:cs="David" w:hint="cs"/>
          <w:sz w:val="24"/>
          <w:szCs w:val="24"/>
          <w:rtl/>
        </w:rPr>
        <w:t xml:space="preserve">זאת ועוד, חלק מן הציטוטים נאמרים מחוץ להקשרם </w:t>
      </w:r>
      <w:r w:rsidR="00F32A76">
        <w:rPr>
          <w:rFonts w:ascii="David" w:hAnsi="David" w:cs="David" w:hint="cs"/>
          <w:sz w:val="24"/>
          <w:szCs w:val="24"/>
          <w:rtl/>
        </w:rPr>
        <w:t>ואין בהם כדי ללמד על מחדלי חקירה כלשהם.</w:t>
      </w:r>
      <w:commentRangeEnd w:id="20"/>
      <w:r w:rsidR="00C10073">
        <w:rPr>
          <w:rStyle w:val="a8"/>
          <w:rFonts w:cs="David"/>
          <w:rtl/>
        </w:rPr>
        <w:commentReference w:id="20"/>
      </w:r>
    </w:p>
    <w:p w:rsidR="002608C1" w:rsidRPr="00E7101E" w:rsidRDefault="00FA1B39" w:rsidP="00FA1B39">
      <w:pPr>
        <w:keepLines/>
        <w:spacing w:before="120" w:line="360" w:lineRule="auto"/>
        <w:ind w:left="714"/>
        <w:jc w:val="both"/>
        <w:rPr>
          <w:rFonts w:ascii="David" w:hAnsi="David" w:cs="David"/>
          <w:sz w:val="24"/>
          <w:szCs w:val="24"/>
          <w:rtl/>
        </w:rPr>
      </w:pPr>
      <w:r w:rsidRPr="00E7101E">
        <w:rPr>
          <w:rFonts w:ascii="David" w:hAnsi="David" w:cs="David" w:hint="cs"/>
          <w:sz w:val="24"/>
          <w:szCs w:val="24"/>
          <w:rtl/>
        </w:rPr>
        <w:t xml:space="preserve">יוטעם בהקשר זה, כי </w:t>
      </w:r>
      <w:r w:rsidR="002608C1" w:rsidRPr="00E7101E">
        <w:rPr>
          <w:rFonts w:ascii="David" w:hAnsi="David" w:cs="David"/>
          <w:sz w:val="24"/>
          <w:szCs w:val="24"/>
          <w:rtl/>
        </w:rPr>
        <w:t>אין בפסקי הדין של בית המשפט המחוזי והעליון ולו אמירה אחת המייחסת מחדלים ו/או רשלנות כלשהי למשטרה ו/או לרשויות התביעה, הגם ש</w:t>
      </w:r>
      <w:r w:rsidRPr="00E7101E">
        <w:rPr>
          <w:rFonts w:ascii="David" w:hAnsi="David" w:cs="David" w:hint="cs"/>
          <w:sz w:val="24"/>
          <w:szCs w:val="24"/>
          <w:rtl/>
        </w:rPr>
        <w:t>התובע</w:t>
      </w:r>
      <w:r w:rsidR="00D41740" w:rsidRPr="00E7101E">
        <w:rPr>
          <w:rFonts w:ascii="David" w:hAnsi="David" w:cs="David" w:hint="cs"/>
          <w:sz w:val="24"/>
          <w:szCs w:val="24"/>
          <w:rtl/>
        </w:rPr>
        <w:t xml:space="preserve"> העלה טענותיו בפניהם, אך ללא הוע</w:t>
      </w:r>
      <w:r w:rsidRPr="00E7101E">
        <w:rPr>
          <w:rFonts w:ascii="David" w:hAnsi="David" w:cs="David" w:hint="cs"/>
          <w:sz w:val="24"/>
          <w:szCs w:val="24"/>
          <w:rtl/>
        </w:rPr>
        <w:t>יל.</w:t>
      </w:r>
    </w:p>
    <w:p w:rsidR="00FA1B39" w:rsidRPr="00E7101E" w:rsidRDefault="00FA1B39" w:rsidP="00FA1B39">
      <w:pPr>
        <w:keepLines/>
        <w:spacing w:before="120" w:line="360" w:lineRule="auto"/>
        <w:ind w:left="714"/>
        <w:jc w:val="both"/>
        <w:rPr>
          <w:rFonts w:ascii="David" w:hAnsi="David" w:cs="David"/>
          <w:sz w:val="24"/>
          <w:szCs w:val="24"/>
          <w:rtl/>
        </w:rPr>
      </w:pPr>
      <w:r w:rsidRPr="00E7101E">
        <w:rPr>
          <w:rFonts w:ascii="David" w:hAnsi="David" w:cs="David" w:hint="cs"/>
          <w:sz w:val="24"/>
          <w:szCs w:val="24"/>
          <w:rtl/>
        </w:rPr>
        <w:t>כבוד השופטת שרה דותן אף ייחדה לכך את סעיף 315 בהכרעת דינה במסגרתו דחתה את טענות התובע בהקשר זה, כדלהלן:</w:t>
      </w:r>
    </w:p>
    <w:p w:rsidR="00D41740" w:rsidRPr="00424BFC" w:rsidRDefault="00FA1B39" w:rsidP="00FA1B39">
      <w:pPr>
        <w:keepLines/>
        <w:spacing w:before="120" w:line="360" w:lineRule="auto"/>
        <w:ind w:left="714"/>
        <w:jc w:val="both"/>
        <w:rPr>
          <w:rFonts w:ascii="David" w:hAnsi="David" w:cs="David"/>
          <w:b/>
          <w:bCs/>
          <w:sz w:val="24"/>
          <w:szCs w:val="24"/>
          <w:rtl/>
        </w:rPr>
      </w:pPr>
      <w:r w:rsidRPr="00E7101E">
        <w:rPr>
          <w:rFonts w:ascii="David" w:hAnsi="David" w:cs="David" w:hint="cs"/>
          <w:sz w:val="24"/>
          <w:szCs w:val="24"/>
          <w:rtl/>
        </w:rPr>
        <w:t>"</w:t>
      </w:r>
      <w:r w:rsidRPr="00424BFC">
        <w:rPr>
          <w:rFonts w:ascii="David" w:hAnsi="David" w:cs="David" w:hint="cs"/>
          <w:b/>
          <w:bCs/>
          <w:sz w:val="24"/>
          <w:szCs w:val="24"/>
          <w:rtl/>
        </w:rPr>
        <w:t>בסיכומיו (עמ'77) טוען ב"כ הנאשם כי החוקרים נמנעו מבחינת כיווני חקירה שיכלו סייע לנאשם בהגנתו ובד בבד חדלו מביצוע פעולות חקירה בכך שלא מיצו את כל כיווני החקירה בתשאולו של רמזי.</w:t>
      </w:r>
    </w:p>
    <w:p w:rsidR="00D41740" w:rsidRPr="00424BFC" w:rsidRDefault="00D41740" w:rsidP="00FA1B39">
      <w:pPr>
        <w:keepLines/>
        <w:spacing w:before="120" w:line="360" w:lineRule="auto"/>
        <w:ind w:left="714"/>
        <w:jc w:val="both"/>
        <w:rPr>
          <w:rFonts w:ascii="David" w:hAnsi="David" w:cs="David"/>
          <w:b/>
          <w:bCs/>
          <w:sz w:val="24"/>
          <w:szCs w:val="24"/>
          <w:rtl/>
        </w:rPr>
      </w:pPr>
      <w:r w:rsidRPr="00424BFC">
        <w:rPr>
          <w:rFonts w:ascii="David" w:hAnsi="David" w:cs="David" w:hint="cs"/>
          <w:b/>
          <w:bCs/>
          <w:sz w:val="24"/>
          <w:szCs w:val="24"/>
          <w:rtl/>
        </w:rPr>
        <w:t>באשר לטענה הראשונה, אין אני סבורה כי היו למשטרה כיווני חקירה נוספים באשר לזהות מזמין וממן הפגיעות בכהן  ומי עמד מאחורי מעשים אלה, אשר אין חולק כי בוצעו בידי רמזי עבדי וא.א., כיווני חקירה כאלה גם לא הוצגו למשטרה או לבית המשפט.</w:t>
      </w:r>
    </w:p>
    <w:p w:rsidR="00D41740" w:rsidRPr="00424BFC" w:rsidRDefault="00D41740" w:rsidP="00FA1B39">
      <w:pPr>
        <w:keepLines/>
        <w:spacing w:before="120" w:line="360" w:lineRule="auto"/>
        <w:ind w:left="714"/>
        <w:jc w:val="both"/>
        <w:rPr>
          <w:rFonts w:ascii="David" w:hAnsi="David" w:cs="David"/>
          <w:b/>
          <w:bCs/>
          <w:sz w:val="24"/>
          <w:szCs w:val="24"/>
          <w:rtl/>
        </w:rPr>
      </w:pPr>
      <w:r w:rsidRPr="003D1276">
        <w:rPr>
          <w:rFonts w:ascii="David" w:hAnsi="David" w:cs="David" w:hint="cs"/>
          <w:b/>
          <w:bCs/>
          <w:sz w:val="24"/>
          <w:szCs w:val="24"/>
          <w:rtl/>
        </w:rPr>
        <w:t>באשר לאישומים המתייחסים לפגיעות בחובל ובמבנה הסיינטולוגיה מכלול האפשרויות האלטרנטיביות נבחן בחוות דעתי, ולנוכח התוצאה אין לי צורך לשוב ולהתייחס לסוגיה זו.</w:t>
      </w:r>
    </w:p>
    <w:p w:rsidR="00FA1B39" w:rsidRPr="00E7101E" w:rsidRDefault="00D41740" w:rsidP="00FA1B39">
      <w:pPr>
        <w:keepLines/>
        <w:spacing w:before="120" w:line="360" w:lineRule="auto"/>
        <w:ind w:left="714"/>
        <w:jc w:val="both"/>
        <w:rPr>
          <w:rFonts w:ascii="David" w:hAnsi="David" w:cs="David"/>
          <w:sz w:val="24"/>
          <w:szCs w:val="24"/>
        </w:rPr>
      </w:pPr>
      <w:r w:rsidRPr="00424BFC">
        <w:rPr>
          <w:rFonts w:ascii="David" w:hAnsi="David" w:cs="David" w:hint="cs"/>
          <w:b/>
          <w:bCs/>
          <w:sz w:val="24"/>
          <w:szCs w:val="24"/>
          <w:rtl/>
        </w:rPr>
        <w:lastRenderedPageBreak/>
        <w:t>באשר לשאלות שניתן היה לשאול את רמזי בחקירותיו, מדובר בחכמה שלאחר מעשה, לאור העובדה שבשלב החקירה איש לא צפה שרמזי יבחר בשתיקה וימנע ממתן תשובות לשאלות אלה ואחרות...</w:t>
      </w:r>
      <w:r w:rsidR="00FA1B39" w:rsidRPr="00424BFC">
        <w:rPr>
          <w:rFonts w:ascii="David" w:hAnsi="David" w:cs="David" w:hint="cs"/>
          <w:b/>
          <w:bCs/>
          <w:sz w:val="24"/>
          <w:szCs w:val="24"/>
          <w:rtl/>
        </w:rPr>
        <w:t>"</w:t>
      </w:r>
    </w:p>
    <w:p w:rsidR="00183878" w:rsidRPr="00E7101E" w:rsidRDefault="00976905" w:rsidP="00424BFC">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האמור בסעיף 41 לכתב התביעה איננו מוכחש, ובלבד שאין בו כדי להטיל אחריות או חבות כלשהי על הנתבעת.</w:t>
      </w:r>
    </w:p>
    <w:p w:rsidR="00B93580" w:rsidRPr="00E7101E" w:rsidRDefault="00B93580" w:rsidP="00424BFC">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w:t>
      </w:r>
      <w:commentRangeStart w:id="21"/>
      <w:r w:rsidRPr="00E7101E">
        <w:rPr>
          <w:rFonts w:ascii="David" w:hAnsi="David" w:cs="David" w:hint="cs"/>
          <w:sz w:val="24"/>
          <w:szCs w:val="24"/>
          <w:rtl/>
        </w:rPr>
        <w:t xml:space="preserve">בסעיפים 42-43 </w:t>
      </w:r>
      <w:commentRangeEnd w:id="21"/>
      <w:r w:rsidR="00C10073">
        <w:rPr>
          <w:rStyle w:val="a8"/>
          <w:rFonts w:cs="David"/>
          <w:rtl/>
        </w:rPr>
        <w:commentReference w:id="21"/>
      </w:r>
      <w:r w:rsidRPr="00E7101E">
        <w:rPr>
          <w:rFonts w:ascii="David" w:hAnsi="David" w:cs="David" w:hint="cs"/>
          <w:sz w:val="24"/>
          <w:szCs w:val="24"/>
          <w:rtl/>
        </w:rPr>
        <w:t xml:space="preserve">לכתב התביעה למעט הציטוטים המובאים בהם כל עוד שצוטטו כלשונם, וכן מוכחש כי המדובר במחדלי חקירה ולחילופין מוכחש כל קשר סיבתי בינם לבין הנזקים הנטענים והמוכחשים. </w:t>
      </w:r>
    </w:p>
    <w:p w:rsidR="00976905" w:rsidRPr="00E7101E" w:rsidRDefault="00976905" w:rsidP="00CF43D9">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האמור והנטען בסעיפים 44-4</w:t>
      </w:r>
      <w:r w:rsidR="00987C7A" w:rsidRPr="00E7101E">
        <w:rPr>
          <w:rFonts w:ascii="David" w:hAnsi="David" w:cs="David" w:hint="cs"/>
          <w:sz w:val="24"/>
          <w:szCs w:val="24"/>
          <w:rtl/>
        </w:rPr>
        <w:t>8</w:t>
      </w:r>
      <w:r w:rsidRPr="00E7101E">
        <w:rPr>
          <w:rFonts w:ascii="David" w:hAnsi="David" w:cs="David" w:hint="cs"/>
          <w:sz w:val="24"/>
          <w:szCs w:val="24"/>
          <w:rtl/>
        </w:rPr>
        <w:t xml:space="preserve"> לכתב התביעה איננו מוכחש. למען הסדר הטוב יובהר כי זיכויו</w:t>
      </w:r>
      <w:r w:rsidR="00987C7A" w:rsidRPr="00E7101E">
        <w:rPr>
          <w:rFonts w:ascii="David" w:hAnsi="David" w:cs="David" w:hint="cs"/>
          <w:sz w:val="24"/>
          <w:szCs w:val="24"/>
          <w:rtl/>
        </w:rPr>
        <w:t xml:space="preserve"> של התובע בעבירות אשר יוחסו לו </w:t>
      </w:r>
      <w:r w:rsidRPr="00E7101E">
        <w:rPr>
          <w:rFonts w:ascii="David" w:hAnsi="David" w:cs="David" w:hint="cs"/>
          <w:sz w:val="24"/>
          <w:szCs w:val="24"/>
          <w:rtl/>
        </w:rPr>
        <w:t xml:space="preserve">הוא </w:t>
      </w:r>
      <w:r w:rsidRPr="00424BFC">
        <w:rPr>
          <w:rFonts w:ascii="David" w:hAnsi="David" w:cs="David" w:hint="cs"/>
          <w:b/>
          <w:bCs/>
          <w:sz w:val="24"/>
          <w:szCs w:val="24"/>
          <w:u w:val="single"/>
          <w:rtl/>
        </w:rPr>
        <w:t>מחמת הספק בלבד</w:t>
      </w:r>
      <w:r w:rsidRPr="00E7101E">
        <w:rPr>
          <w:rFonts w:ascii="David" w:hAnsi="David" w:cs="David" w:hint="cs"/>
          <w:sz w:val="24"/>
          <w:szCs w:val="24"/>
          <w:rtl/>
        </w:rPr>
        <w:t>.</w:t>
      </w:r>
    </w:p>
    <w:p w:rsidR="00976905" w:rsidRPr="00E7101E" w:rsidRDefault="00CF43D9" w:rsidP="00CF43D9">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האמור והנטען בסעיף 49 לכתב התביעה אינו מוכחש ובלבד שהציטוטים המובאים בו צוטטו כלשונם, וכי אין באמור בסעיף זה כדי להטיל אחריות ו/או חבות כלשהי על הנתבעת.</w:t>
      </w:r>
    </w:p>
    <w:p w:rsidR="00B93580" w:rsidRPr="005A4C01" w:rsidRDefault="00B93580" w:rsidP="00424BFC">
      <w:pPr>
        <w:keepLines/>
        <w:numPr>
          <w:ilvl w:val="0"/>
          <w:numId w:val="21"/>
        </w:numPr>
        <w:spacing w:before="120" w:line="360" w:lineRule="auto"/>
        <w:ind w:left="714" w:hanging="357"/>
        <w:jc w:val="both"/>
        <w:rPr>
          <w:rFonts w:ascii="David" w:hAnsi="David" w:cs="David"/>
          <w:sz w:val="24"/>
          <w:szCs w:val="24"/>
        </w:rPr>
      </w:pPr>
      <w:r w:rsidRPr="005A4C01">
        <w:rPr>
          <w:rFonts w:ascii="David" w:hAnsi="David" w:cs="David" w:hint="cs"/>
          <w:sz w:val="24"/>
          <w:szCs w:val="24"/>
          <w:rtl/>
        </w:rPr>
        <w:t xml:space="preserve">מוכחש האמור והנטען </w:t>
      </w:r>
      <w:commentRangeStart w:id="22"/>
      <w:r w:rsidRPr="005A4C01">
        <w:rPr>
          <w:rFonts w:ascii="David" w:hAnsi="David" w:cs="David" w:hint="cs"/>
          <w:sz w:val="24"/>
          <w:szCs w:val="24"/>
          <w:rtl/>
        </w:rPr>
        <w:t xml:space="preserve">בסעיף 50 </w:t>
      </w:r>
      <w:commentRangeEnd w:id="22"/>
      <w:r w:rsidR="00ED02D5">
        <w:rPr>
          <w:rStyle w:val="a8"/>
          <w:rFonts w:cs="David"/>
          <w:rtl/>
        </w:rPr>
        <w:commentReference w:id="22"/>
      </w:r>
      <w:r w:rsidRPr="005A4C01">
        <w:rPr>
          <w:rFonts w:ascii="David" w:hAnsi="David" w:cs="David" w:hint="cs"/>
          <w:sz w:val="24"/>
          <w:szCs w:val="24"/>
          <w:rtl/>
        </w:rPr>
        <w:t xml:space="preserve">לכתב התביעה. </w:t>
      </w:r>
      <w:r w:rsidR="003D1276" w:rsidRPr="005A4C01">
        <w:rPr>
          <w:rFonts w:ascii="David" w:hAnsi="David" w:cs="David" w:hint="cs"/>
          <w:sz w:val="24"/>
          <w:szCs w:val="24"/>
          <w:rtl/>
        </w:rPr>
        <w:t xml:space="preserve">מבלי לגרוע מכלליות ההכחשה מוסיפה הנתבעת וטוענת כי המדובר בטענה משפטית </w:t>
      </w:r>
      <w:r w:rsidR="005A4C01" w:rsidRPr="005A4C01">
        <w:rPr>
          <w:rFonts w:ascii="David" w:hAnsi="David" w:cs="David" w:hint="cs"/>
          <w:sz w:val="24"/>
          <w:szCs w:val="24"/>
          <w:rtl/>
        </w:rPr>
        <w:t>לגיטימית, אשר אין כל מניעה להעלותה בכל שלב, ואשר נסמכה על הלכה קיימת של בית המשפט העליון.</w:t>
      </w:r>
    </w:p>
    <w:p w:rsidR="00B93580" w:rsidRPr="00E7101E" w:rsidRDefault="00B93580" w:rsidP="00CF43D9">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האמור והנטען בסעיף 51.א. לכתב התביעה איננו מוכחש, והנתבעת מוסיפה וטוענת כי כך פעלה אף במקרה דנא עת הגישה את כתבי האישום כנגד התובע.</w:t>
      </w:r>
    </w:p>
    <w:p w:rsidR="00B93580" w:rsidRPr="00E7101E" w:rsidRDefault="00B93580" w:rsidP="00B93580">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w:t>
      </w:r>
      <w:commentRangeStart w:id="23"/>
      <w:r w:rsidRPr="00E7101E">
        <w:rPr>
          <w:rFonts w:ascii="David" w:hAnsi="David" w:cs="David" w:hint="cs"/>
          <w:sz w:val="24"/>
          <w:szCs w:val="24"/>
          <w:rtl/>
        </w:rPr>
        <w:t xml:space="preserve">בסעיפים 51.ב. ו-51.ג. </w:t>
      </w:r>
      <w:commentRangeEnd w:id="23"/>
      <w:r w:rsidR="00ED02D5">
        <w:rPr>
          <w:rStyle w:val="a8"/>
          <w:rFonts w:cs="David"/>
          <w:rtl/>
        </w:rPr>
        <w:commentReference w:id="23"/>
      </w:r>
      <w:r w:rsidRPr="00E7101E">
        <w:rPr>
          <w:rFonts w:ascii="David" w:hAnsi="David" w:cs="David" w:hint="cs"/>
          <w:sz w:val="24"/>
          <w:szCs w:val="24"/>
          <w:rtl/>
        </w:rPr>
        <w:t xml:space="preserve">על סעיפי המשנה שלו. מבלי לגרוע מכלליות ההכחשה שבה הנתבעת וטוענת כי השתלשלות הדברים בתיק מלמדת על התנהלות מקצועית נכונה וסבירה, וכי המדובר במקרה בו הייתה חובה על המאשימה על בסיס התשתית שנפרשה בפניה לפעול להגשת כתב אישום והבאת העניין להכרעת בית המשפט. </w:t>
      </w:r>
    </w:p>
    <w:p w:rsidR="003F548D" w:rsidRPr="00E7101E" w:rsidRDefault="003F548D" w:rsidP="003F548D">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w:t>
      </w:r>
      <w:commentRangeStart w:id="24"/>
      <w:r w:rsidRPr="00E7101E">
        <w:rPr>
          <w:rFonts w:ascii="David" w:hAnsi="David" w:cs="David" w:hint="cs"/>
          <w:sz w:val="24"/>
          <w:szCs w:val="24"/>
          <w:rtl/>
        </w:rPr>
        <w:t>בסעיף 52</w:t>
      </w:r>
      <w:commentRangeEnd w:id="24"/>
      <w:r w:rsidR="00A2017A">
        <w:rPr>
          <w:rStyle w:val="a8"/>
          <w:rFonts w:cs="David"/>
          <w:rtl/>
        </w:rPr>
        <w:commentReference w:id="24"/>
      </w:r>
      <w:r w:rsidRPr="00E7101E">
        <w:rPr>
          <w:rFonts w:ascii="David" w:hAnsi="David" w:cs="David" w:hint="cs"/>
          <w:sz w:val="24"/>
          <w:szCs w:val="24"/>
          <w:rtl/>
        </w:rPr>
        <w:t xml:space="preserve"> לכתב התביעה, על כל פרטיו, למעט כי ביום 17.5.11 הועבר התובע לאגף טעוני הגנה בימ"ר קישון. כמו-כן, מוכחש קשר סיבתי עובדתי ו/או משפטי בין המעשים ו/או המחדלים הנטענים (והמוכחשים כשלעצמם) המיוחסים לנתבעת לבין הנזקים הנטענים על ידי התובע.</w:t>
      </w:r>
    </w:p>
    <w:p w:rsidR="003F548D" w:rsidRPr="00E7101E" w:rsidRDefault="003F548D" w:rsidP="003F548D">
      <w:pPr>
        <w:keepLines/>
        <w:spacing w:before="120" w:line="360" w:lineRule="auto"/>
        <w:ind w:left="714"/>
        <w:jc w:val="both"/>
        <w:rPr>
          <w:rFonts w:ascii="David" w:hAnsi="David" w:cs="David"/>
          <w:sz w:val="24"/>
          <w:szCs w:val="24"/>
          <w:rtl/>
        </w:rPr>
      </w:pPr>
      <w:r w:rsidRPr="00E7101E">
        <w:rPr>
          <w:rFonts w:ascii="David" w:hAnsi="David" w:cs="David" w:hint="cs"/>
          <w:sz w:val="24"/>
          <w:szCs w:val="24"/>
          <w:rtl/>
        </w:rPr>
        <w:t xml:space="preserve">למעלה מן הנדרש, מוסיפה הנתבעת וטוענת כי כל פעולותיה בזמן מעצרו של התובע היו ראויות וזהירות </w:t>
      </w:r>
      <w:r w:rsidRPr="00E7101E">
        <w:rPr>
          <w:rFonts w:ascii="David" w:hAnsi="David" w:cs="David"/>
          <w:sz w:val="24"/>
          <w:szCs w:val="24"/>
          <w:rtl/>
        </w:rPr>
        <w:t>בנסיבות העניין, וכי לא נפל כל פגם בהחלטה בדבר שיבוצו באגף הנ"ל.</w:t>
      </w:r>
    </w:p>
    <w:p w:rsidR="003F548D" w:rsidRPr="00E7101E" w:rsidRDefault="003F548D" w:rsidP="003F548D">
      <w:pPr>
        <w:tabs>
          <w:tab w:val="num" w:pos="927"/>
        </w:tabs>
        <w:spacing w:before="120" w:line="360" w:lineRule="auto"/>
        <w:ind w:left="714"/>
        <w:rPr>
          <w:rFonts w:ascii="David" w:hAnsi="David" w:cs="David"/>
          <w:sz w:val="24"/>
          <w:szCs w:val="24"/>
        </w:rPr>
      </w:pPr>
      <w:r w:rsidRPr="00E7101E">
        <w:rPr>
          <w:rFonts w:ascii="David" w:hAnsi="David" w:cs="David"/>
          <w:sz w:val="24"/>
          <w:szCs w:val="24"/>
          <w:rtl/>
        </w:rPr>
        <w:t>ממילא, התובע לא הצביע על נפקות דופי ולו לכאורה בהחלטות בדבר שיבוץ אסירים ואף לא טענו לקיומו של קשר סיבתי כלשהו בין השיבוץ לבין מצבו הנטען והמוכחש של התובע.</w:t>
      </w:r>
    </w:p>
    <w:p w:rsidR="003F548D" w:rsidRPr="00E7101E" w:rsidRDefault="003F548D" w:rsidP="003F548D">
      <w:pPr>
        <w:keepLines/>
        <w:spacing w:before="120" w:line="360" w:lineRule="auto"/>
        <w:ind w:left="714"/>
        <w:jc w:val="both"/>
        <w:rPr>
          <w:rFonts w:ascii="David" w:hAnsi="David" w:cs="David"/>
          <w:sz w:val="24"/>
          <w:szCs w:val="24"/>
          <w:rtl/>
        </w:rPr>
      </w:pPr>
      <w:r w:rsidRPr="00E7101E">
        <w:rPr>
          <w:rFonts w:ascii="David" w:hAnsi="David" w:cs="David" w:hint="cs"/>
          <w:sz w:val="24"/>
          <w:szCs w:val="24"/>
          <w:rtl/>
        </w:rPr>
        <w:t>עוד מוסיפה הנתבעת וטוענת למעלה מן הנדרש, כי טענותיו של התובע בהקשר זה אינן עולות בקנה אחד עם הבקשה אשר הפנה בא כוחו במסגרת ההליך הפלילי לבית המשפט, בבחינת שלוחו של אדם כמותו, כי ינתנו הוראות מצילות חיים בעניינו של התובע, כדלהלן:</w:t>
      </w:r>
    </w:p>
    <w:p w:rsidR="003F548D" w:rsidRPr="00E7101E" w:rsidRDefault="003F548D" w:rsidP="003F548D">
      <w:pPr>
        <w:keepLines/>
        <w:spacing w:before="120" w:line="360" w:lineRule="auto"/>
        <w:ind w:left="714"/>
        <w:jc w:val="both"/>
        <w:rPr>
          <w:rFonts w:ascii="David" w:hAnsi="David" w:cs="David"/>
          <w:sz w:val="24"/>
          <w:szCs w:val="24"/>
          <w:rtl/>
        </w:rPr>
      </w:pPr>
      <w:r w:rsidRPr="00E7101E">
        <w:rPr>
          <w:rFonts w:ascii="David" w:hAnsi="David" w:cs="David" w:hint="cs"/>
          <w:sz w:val="24"/>
          <w:szCs w:val="24"/>
          <w:rtl/>
        </w:rPr>
        <w:t>"</w:t>
      </w:r>
      <w:r w:rsidRPr="00424BFC">
        <w:rPr>
          <w:rFonts w:ascii="David" w:hAnsi="David" w:cs="David" w:hint="cs"/>
          <w:b/>
          <w:bCs/>
          <w:sz w:val="24"/>
          <w:szCs w:val="24"/>
          <w:rtl/>
        </w:rPr>
        <w:t>עו"ד חימי:...אבקש את בית המשפט ליתן הוראה ספציפית לשב"ס לקחת אותו לבד, ולהשימו בתא מוגן, 24 שעות ביממה, הוא לא יכול לבוא בהסעות הרגילות של האסירים כפי שהובא היום. אם היה לו יד ורגל בענין זה, אולי זה חלק מהמחיר, אך מאחר ולא כך, אבקש ליתן הוראות מצילות חיים בענין זה."</w:t>
      </w:r>
    </w:p>
    <w:p w:rsidR="00575859" w:rsidRPr="00E7101E" w:rsidRDefault="00575859" w:rsidP="003F548D">
      <w:pPr>
        <w:keepLines/>
        <w:spacing w:before="120" w:line="360" w:lineRule="auto"/>
        <w:ind w:left="714"/>
        <w:jc w:val="both"/>
        <w:rPr>
          <w:rFonts w:ascii="David" w:hAnsi="David" w:cs="David"/>
          <w:sz w:val="24"/>
          <w:szCs w:val="24"/>
          <w:rtl/>
        </w:rPr>
      </w:pPr>
      <w:r w:rsidRPr="00E7101E">
        <w:rPr>
          <w:rFonts w:ascii="David" w:hAnsi="David" w:cs="David" w:hint="cs"/>
          <w:sz w:val="24"/>
          <w:szCs w:val="24"/>
          <w:rtl/>
        </w:rPr>
        <w:t>וכפי שעולה מהחלטת בית המשפט הנכבד במועד  הדיון נמסר עדכון כי כבר ננקטו צעדים לשמירת בטחונו האישי של התובע.</w:t>
      </w:r>
    </w:p>
    <w:p w:rsidR="003F548D" w:rsidRPr="00E7101E" w:rsidRDefault="003F548D" w:rsidP="005F1591">
      <w:pPr>
        <w:keepLines/>
        <w:spacing w:before="120" w:line="360" w:lineRule="auto"/>
        <w:ind w:left="714"/>
        <w:jc w:val="both"/>
        <w:rPr>
          <w:rFonts w:ascii="David" w:hAnsi="David" w:cs="David"/>
          <w:sz w:val="24"/>
          <w:szCs w:val="24"/>
        </w:rPr>
      </w:pPr>
      <w:r w:rsidRPr="00E7101E">
        <w:rPr>
          <w:rFonts w:ascii="David" w:hAnsi="David" w:cs="David" w:hint="cs"/>
          <w:sz w:val="24"/>
          <w:szCs w:val="24"/>
          <w:rtl/>
        </w:rPr>
        <w:lastRenderedPageBreak/>
        <w:t xml:space="preserve">ר' פרוטוקול הדיון </w:t>
      </w:r>
      <w:r w:rsidR="00575859" w:rsidRPr="00E7101E">
        <w:rPr>
          <w:rFonts w:ascii="David" w:hAnsi="David" w:cs="David" w:hint="cs"/>
          <w:sz w:val="24"/>
          <w:szCs w:val="24"/>
          <w:rtl/>
        </w:rPr>
        <w:t xml:space="preserve">וההחלטה </w:t>
      </w:r>
      <w:r w:rsidRPr="00E7101E">
        <w:rPr>
          <w:rFonts w:ascii="David" w:hAnsi="David" w:cs="David" w:hint="cs"/>
          <w:sz w:val="24"/>
          <w:szCs w:val="24"/>
          <w:rtl/>
        </w:rPr>
        <w:t xml:space="preserve">מיום 19.5.11 במסגרת מ"ת (מחוזי ת"א) 34210-05-11 לפני כבוד השופט ציון קאפח </w:t>
      </w:r>
      <w:r w:rsidRPr="00424BFC">
        <w:rPr>
          <w:rFonts w:ascii="David" w:hAnsi="David" w:cs="David" w:hint="cs"/>
          <w:b/>
          <w:bCs/>
          <w:sz w:val="24"/>
          <w:szCs w:val="24"/>
          <w:rtl/>
        </w:rPr>
        <w:t>המצ"ב</w:t>
      </w:r>
      <w:r w:rsidRPr="00E7101E">
        <w:rPr>
          <w:rFonts w:ascii="David" w:hAnsi="David" w:cs="David" w:hint="cs"/>
          <w:sz w:val="24"/>
          <w:szCs w:val="24"/>
          <w:rtl/>
        </w:rPr>
        <w:t xml:space="preserve"> ומסומן </w:t>
      </w:r>
      <w:r w:rsidRPr="005F1591">
        <w:rPr>
          <w:rFonts w:ascii="David" w:hAnsi="David" w:cs="David" w:hint="cs"/>
          <w:b/>
          <w:bCs/>
          <w:sz w:val="24"/>
          <w:szCs w:val="24"/>
          <w:highlight w:val="yellow"/>
          <w:rtl/>
        </w:rPr>
        <w:t>כ</w:t>
      </w:r>
      <w:r w:rsidRPr="005F1591">
        <w:rPr>
          <w:rFonts w:ascii="David" w:hAnsi="David" w:cs="David" w:hint="cs"/>
          <w:b/>
          <w:bCs/>
          <w:sz w:val="24"/>
          <w:szCs w:val="24"/>
          <w:highlight w:val="yellow"/>
          <w:u w:val="single"/>
          <w:rtl/>
        </w:rPr>
        <w:t xml:space="preserve">נספח </w:t>
      </w:r>
      <w:r w:rsidR="005F1591" w:rsidRPr="005F1591">
        <w:rPr>
          <w:rFonts w:ascii="David" w:hAnsi="David" w:cs="David" w:hint="cs"/>
          <w:b/>
          <w:bCs/>
          <w:sz w:val="24"/>
          <w:szCs w:val="24"/>
          <w:highlight w:val="yellow"/>
          <w:u w:val="single"/>
          <w:rtl/>
        </w:rPr>
        <w:t>"10"</w:t>
      </w:r>
      <w:r w:rsidRPr="00E7101E">
        <w:rPr>
          <w:rFonts w:ascii="David" w:hAnsi="David" w:cs="David" w:hint="cs"/>
          <w:sz w:val="24"/>
          <w:szCs w:val="24"/>
          <w:rtl/>
        </w:rPr>
        <w:t xml:space="preserve"> לכתב ההגנה דנא.</w:t>
      </w:r>
    </w:p>
    <w:p w:rsidR="00B93580" w:rsidRPr="00E7101E" w:rsidRDefault="00B93580" w:rsidP="00B93580">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w:t>
      </w:r>
      <w:commentRangeStart w:id="25"/>
      <w:r w:rsidRPr="00E7101E">
        <w:rPr>
          <w:rFonts w:ascii="David" w:hAnsi="David" w:cs="David" w:hint="cs"/>
          <w:sz w:val="24"/>
          <w:szCs w:val="24"/>
          <w:rtl/>
        </w:rPr>
        <w:t xml:space="preserve">בסעיף 53 </w:t>
      </w:r>
      <w:commentRangeEnd w:id="25"/>
      <w:r w:rsidR="00A2017A">
        <w:rPr>
          <w:rStyle w:val="a8"/>
          <w:rFonts w:cs="David"/>
          <w:rtl/>
        </w:rPr>
        <w:commentReference w:id="25"/>
      </w:r>
      <w:r w:rsidRPr="00E7101E">
        <w:rPr>
          <w:rFonts w:ascii="David" w:hAnsi="David" w:cs="David" w:hint="cs"/>
          <w:sz w:val="24"/>
          <w:szCs w:val="24"/>
          <w:rtl/>
        </w:rPr>
        <w:t xml:space="preserve">לכתב התביעה למעט כי ביום 12.5.11 אישר רמזי כי כספי העמלות אשר שולמו על ידי הקבלן סלטי חולקו בין התובע לאחרים והוא ביניהם. הנתבעת מוסיפה וטוענת בהקשר זה, כי התובע הודה במסגרת חקירותיו במשטרה כי יש לו אינטרס כלכלי  במבנה הסיינטולוגיה, שכן היה מקבל "ריטיינר" בסך 20,000 ₪ בחודש במשך תקופת שיפוץ המבנה, וכן היה מקבל עמלה מהקבלן אשר ביצע את השיפוץ </w:t>
      </w:r>
      <w:r w:rsidRPr="00E7101E">
        <w:rPr>
          <w:rFonts w:ascii="David" w:hAnsi="David" w:cs="David"/>
          <w:sz w:val="24"/>
          <w:szCs w:val="24"/>
          <w:rtl/>
        </w:rPr>
        <w:t>–</w:t>
      </w:r>
      <w:r w:rsidRPr="00E7101E">
        <w:rPr>
          <w:rFonts w:ascii="David" w:hAnsi="David" w:cs="David" w:hint="cs"/>
          <w:sz w:val="24"/>
          <w:szCs w:val="24"/>
          <w:rtl/>
        </w:rPr>
        <w:t xml:space="preserve"> דבר </w:t>
      </w:r>
      <w:r w:rsidR="00EE6B92" w:rsidRPr="00E7101E">
        <w:rPr>
          <w:rFonts w:ascii="David" w:hAnsi="David" w:cs="David" w:hint="cs"/>
          <w:sz w:val="24"/>
          <w:szCs w:val="24"/>
          <w:rtl/>
        </w:rPr>
        <w:t xml:space="preserve">אשר עלה גם בקנה אחד </w:t>
      </w:r>
      <w:r w:rsidR="005A2907" w:rsidRPr="00E7101E">
        <w:rPr>
          <w:rFonts w:ascii="David" w:hAnsi="David" w:cs="David" w:hint="cs"/>
          <w:sz w:val="24"/>
          <w:szCs w:val="24"/>
          <w:rtl/>
        </w:rPr>
        <w:t xml:space="preserve">גם </w:t>
      </w:r>
      <w:r w:rsidR="00EE6B92" w:rsidRPr="00E7101E">
        <w:rPr>
          <w:rFonts w:ascii="David" w:hAnsi="David" w:cs="David" w:hint="cs"/>
          <w:sz w:val="24"/>
          <w:szCs w:val="24"/>
          <w:rtl/>
        </w:rPr>
        <w:t>עם ראיות נוספות אשר היו בידי המאשימה ערב הגשת כתב האישום.</w:t>
      </w:r>
    </w:p>
    <w:p w:rsidR="005A2907" w:rsidRPr="00E7101E" w:rsidRDefault="00B60CD0" w:rsidP="00CF43D9">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w:t>
      </w:r>
      <w:commentRangeStart w:id="26"/>
      <w:r w:rsidRPr="00E7101E">
        <w:rPr>
          <w:rFonts w:ascii="David" w:hAnsi="David" w:cs="David" w:hint="cs"/>
          <w:sz w:val="24"/>
          <w:szCs w:val="24"/>
          <w:rtl/>
        </w:rPr>
        <w:t>בסעיף 54</w:t>
      </w:r>
      <w:commentRangeEnd w:id="26"/>
      <w:r w:rsidR="005701B9">
        <w:rPr>
          <w:rStyle w:val="a8"/>
          <w:rFonts w:cs="David"/>
          <w:rtl/>
        </w:rPr>
        <w:commentReference w:id="26"/>
      </w:r>
      <w:r w:rsidRPr="00E7101E">
        <w:rPr>
          <w:rFonts w:ascii="David" w:hAnsi="David" w:cs="David" w:hint="cs"/>
          <w:sz w:val="24"/>
          <w:szCs w:val="24"/>
          <w:rtl/>
        </w:rPr>
        <w:t xml:space="preserve"> לכתב התביעה, על כל פרטיו. מבלי לגרוע מכלליות ההכחשה מוסיפה הנתבעת וטוענת כי לא בכדי לא פירט התובע באיזה עניין ביקש לכאורה לבצע עימות עם הקבלן סלטי ואף לא הפנה היכן התבקש הדבר.</w:t>
      </w:r>
    </w:p>
    <w:p w:rsidR="00B60CD0" w:rsidRPr="00984F31" w:rsidRDefault="00B60CD0" w:rsidP="00984F31">
      <w:pPr>
        <w:keepLines/>
        <w:spacing w:before="120" w:line="360" w:lineRule="auto"/>
        <w:ind w:left="714"/>
        <w:jc w:val="both"/>
        <w:rPr>
          <w:rFonts w:ascii="David" w:hAnsi="David" w:cs="David"/>
          <w:sz w:val="24"/>
          <w:szCs w:val="24"/>
        </w:rPr>
      </w:pPr>
      <w:r w:rsidRPr="00E7101E">
        <w:rPr>
          <w:rFonts w:ascii="David" w:hAnsi="David" w:cs="David"/>
          <w:sz w:val="24"/>
          <w:szCs w:val="24"/>
          <w:rtl/>
        </w:rPr>
        <w:t>עימות איננו בגדר זכות מוקנית</w:t>
      </w:r>
      <w:r w:rsidRPr="00E7101E">
        <w:rPr>
          <w:rFonts w:ascii="David" w:hAnsi="David" w:cs="David" w:hint="cs"/>
          <w:sz w:val="24"/>
          <w:szCs w:val="24"/>
          <w:rtl/>
        </w:rPr>
        <w:t xml:space="preserve"> ואין ממש בטענות התובע אשר נטענו בעלמא כי מדובר במחדל חקירה.</w:t>
      </w:r>
      <w:r w:rsidR="005A4C01">
        <w:rPr>
          <w:rFonts w:ascii="David" w:hAnsi="David" w:cs="David" w:hint="cs"/>
          <w:sz w:val="24"/>
          <w:szCs w:val="24"/>
          <w:rtl/>
        </w:rPr>
        <w:t xml:space="preserve"> </w:t>
      </w:r>
      <w:r w:rsidR="00984F31">
        <w:rPr>
          <w:rFonts w:ascii="David" w:hAnsi="David" w:cs="David" w:hint="cs"/>
          <w:sz w:val="24"/>
          <w:szCs w:val="24"/>
          <w:rtl/>
        </w:rPr>
        <w:t xml:space="preserve">בית המשפט הנכבד מופנה בהקשר זה גם לפסק דינו של בית המשפט העליון הנכבד בע"פ 6359/12 </w:t>
      </w:r>
      <w:r w:rsidR="00984F31">
        <w:rPr>
          <w:rFonts w:ascii="David" w:hAnsi="David" w:cs="David" w:hint="cs"/>
          <w:b/>
          <w:bCs/>
          <w:sz w:val="24"/>
          <w:szCs w:val="24"/>
          <w:rtl/>
        </w:rPr>
        <w:t>יעקב בלוי נ' מדינת ישראל</w:t>
      </w:r>
      <w:r w:rsidR="00984F31">
        <w:rPr>
          <w:rFonts w:ascii="David" w:hAnsi="David" w:cs="David" w:hint="cs"/>
          <w:sz w:val="24"/>
          <w:szCs w:val="24"/>
          <w:rtl/>
        </w:rPr>
        <w:t xml:space="preserve"> (פורסם באתר הרשות השופטת, 2013) אשר קובע כי משנחקרו כל המעורבים אין באי עריכת עימות משום מחדל חקירה.</w:t>
      </w:r>
    </w:p>
    <w:p w:rsidR="00B60CD0" w:rsidRPr="00E7101E" w:rsidRDefault="00B60CD0" w:rsidP="00B60CD0">
      <w:pPr>
        <w:keepLines/>
        <w:spacing w:before="120" w:line="360" w:lineRule="auto"/>
        <w:ind w:left="714"/>
        <w:jc w:val="both"/>
        <w:rPr>
          <w:rFonts w:ascii="David" w:hAnsi="David" w:cs="David"/>
          <w:sz w:val="24"/>
          <w:szCs w:val="24"/>
        </w:rPr>
      </w:pPr>
      <w:r w:rsidRPr="00E7101E">
        <w:rPr>
          <w:rFonts w:ascii="David" w:hAnsi="David" w:cs="David" w:hint="cs"/>
          <w:sz w:val="24"/>
          <w:szCs w:val="24"/>
          <w:rtl/>
        </w:rPr>
        <w:t>גם הדברים המיוחסים לראש המחלק באבאי במהלך עדותו בבית המשפט לא נאמרו בהקשר זה.</w:t>
      </w:r>
    </w:p>
    <w:p w:rsidR="00B60CD0" w:rsidRPr="00E7101E" w:rsidRDefault="00B60CD0" w:rsidP="00B60CD0">
      <w:pPr>
        <w:keepLines/>
        <w:spacing w:before="120" w:line="360" w:lineRule="auto"/>
        <w:ind w:left="714"/>
        <w:jc w:val="both"/>
        <w:rPr>
          <w:rFonts w:ascii="David" w:hAnsi="David" w:cs="David"/>
          <w:sz w:val="24"/>
          <w:szCs w:val="24"/>
        </w:rPr>
      </w:pPr>
      <w:r w:rsidRPr="00E7101E">
        <w:rPr>
          <w:rFonts w:ascii="David" w:hAnsi="David" w:cs="David" w:hint="cs"/>
          <w:sz w:val="24"/>
          <w:szCs w:val="24"/>
          <w:rtl/>
        </w:rPr>
        <w:t xml:space="preserve">עוד </w:t>
      </w:r>
      <w:r w:rsidRPr="00E7101E">
        <w:rPr>
          <w:rFonts w:ascii="David" w:hAnsi="David" w:cs="David"/>
          <w:sz w:val="24"/>
          <w:szCs w:val="24"/>
          <w:rtl/>
        </w:rPr>
        <w:t>יובהר, כי במהלך אחת מחקירותיו במשטרה הטיח התובע בחוקר כי על המשטרה לחקור את הקבלן ולברר עמו מי "</w:t>
      </w:r>
      <w:r w:rsidRPr="00424BFC">
        <w:rPr>
          <w:rFonts w:ascii="David" w:hAnsi="David" w:cs="David"/>
          <w:b/>
          <w:bCs/>
          <w:sz w:val="24"/>
          <w:szCs w:val="24"/>
          <w:rtl/>
        </w:rPr>
        <w:t>הביא אותו</w:t>
      </w:r>
      <w:r w:rsidRPr="00E7101E">
        <w:rPr>
          <w:rFonts w:ascii="David" w:hAnsi="David" w:cs="David"/>
          <w:sz w:val="24"/>
          <w:szCs w:val="24"/>
          <w:rtl/>
        </w:rPr>
        <w:t>" ו"</w:t>
      </w:r>
      <w:r w:rsidRPr="00424BFC">
        <w:rPr>
          <w:rFonts w:ascii="David" w:hAnsi="David" w:cs="David"/>
          <w:b/>
          <w:bCs/>
          <w:sz w:val="24"/>
          <w:szCs w:val="24"/>
          <w:rtl/>
        </w:rPr>
        <w:t>מי מרויח פה את הכסף?"</w:t>
      </w:r>
      <w:r w:rsidRPr="00E7101E">
        <w:rPr>
          <w:rFonts w:ascii="David" w:hAnsi="David" w:cs="David"/>
          <w:sz w:val="24"/>
          <w:szCs w:val="24"/>
          <w:rtl/>
        </w:rPr>
        <w:t xml:space="preserve"> המשטרה ביצעה את מבוקשו של התובע וחקרה את הקבלן ביום 17.5.11</w:t>
      </w:r>
      <w:r w:rsidRPr="00E7101E">
        <w:rPr>
          <w:rFonts w:ascii="David" w:hAnsi="David" w:cs="David" w:hint="cs"/>
          <w:sz w:val="24"/>
          <w:szCs w:val="24"/>
          <w:rtl/>
        </w:rPr>
        <w:t xml:space="preserve"> וזה האחרון מסר כי התובע הוא זה שקיבל את הכסף מידיו.</w:t>
      </w:r>
    </w:p>
    <w:p w:rsidR="00040FD7" w:rsidRPr="00E7101E" w:rsidRDefault="000039D0" w:rsidP="00CF43D9">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w:t>
      </w:r>
      <w:commentRangeStart w:id="27"/>
      <w:r w:rsidRPr="00E7101E">
        <w:rPr>
          <w:rFonts w:ascii="David" w:hAnsi="David" w:cs="David" w:hint="cs"/>
          <w:sz w:val="24"/>
          <w:szCs w:val="24"/>
          <w:rtl/>
        </w:rPr>
        <w:t xml:space="preserve">בסעיף 55 </w:t>
      </w:r>
      <w:commentRangeEnd w:id="27"/>
      <w:r w:rsidR="000B0CC5">
        <w:rPr>
          <w:rStyle w:val="a8"/>
          <w:rFonts w:cs="David"/>
          <w:rtl/>
        </w:rPr>
        <w:commentReference w:id="27"/>
      </w:r>
      <w:r w:rsidRPr="00E7101E">
        <w:rPr>
          <w:rFonts w:ascii="David" w:hAnsi="David" w:cs="David" w:hint="cs"/>
          <w:sz w:val="24"/>
          <w:szCs w:val="24"/>
          <w:rtl/>
        </w:rPr>
        <w:t>לכתב התביעה, על כל פרטיו. מבלי לגרוע מכלליות ההכחשה מוסיפה הנתבעת וטוענת כי ננקטו פעולות החקירה הנדרשות בכל הנוגע לצו הפסקת העבודה.</w:t>
      </w:r>
    </w:p>
    <w:p w:rsidR="000039D0" w:rsidRPr="00424BFC" w:rsidRDefault="00424BFC" w:rsidP="00CF43D9">
      <w:pPr>
        <w:keepLines/>
        <w:numPr>
          <w:ilvl w:val="0"/>
          <w:numId w:val="21"/>
        </w:numPr>
        <w:spacing w:before="120" w:line="360" w:lineRule="auto"/>
        <w:ind w:left="714" w:hanging="357"/>
        <w:jc w:val="both"/>
        <w:rPr>
          <w:rFonts w:ascii="David" w:hAnsi="David" w:cs="David"/>
          <w:sz w:val="24"/>
          <w:szCs w:val="24"/>
        </w:rPr>
      </w:pPr>
      <w:r>
        <w:rPr>
          <w:rFonts w:ascii="David" w:hAnsi="David" w:cs="David" w:hint="cs"/>
          <w:sz w:val="24"/>
          <w:szCs w:val="24"/>
          <w:rtl/>
        </w:rPr>
        <w:t xml:space="preserve">מוכחש האמור והנטען </w:t>
      </w:r>
      <w:commentRangeStart w:id="28"/>
      <w:r>
        <w:rPr>
          <w:rFonts w:ascii="David" w:hAnsi="David" w:cs="David" w:hint="cs"/>
          <w:sz w:val="24"/>
          <w:szCs w:val="24"/>
          <w:rtl/>
        </w:rPr>
        <w:t>בסעיף 56</w:t>
      </w:r>
      <w:commentRangeEnd w:id="28"/>
      <w:r w:rsidR="000B0CC5">
        <w:rPr>
          <w:rStyle w:val="a8"/>
          <w:rFonts w:cs="David"/>
          <w:rtl/>
        </w:rPr>
        <w:commentReference w:id="28"/>
      </w:r>
      <w:r>
        <w:rPr>
          <w:rFonts w:ascii="David" w:hAnsi="David" w:cs="David" w:hint="cs"/>
          <w:sz w:val="24"/>
          <w:szCs w:val="24"/>
          <w:rtl/>
        </w:rPr>
        <w:t xml:space="preserve"> לכתב התביעה. </w:t>
      </w:r>
      <w:r w:rsidRPr="00E7101E">
        <w:rPr>
          <w:rFonts w:ascii="David" w:hAnsi="David" w:cs="David" w:hint="cs"/>
          <w:sz w:val="24"/>
          <w:szCs w:val="24"/>
          <w:rtl/>
        </w:rPr>
        <w:t>מבלי לגרוע מכלליות ההכחשה מוסיפה הנתבעת וטוענת כי ננקטו פעולות החקירה הנדרשות</w:t>
      </w:r>
      <w:r>
        <w:rPr>
          <w:rFonts w:ascii="David" w:hAnsi="David" w:cs="David" w:hint="cs"/>
          <w:sz w:val="24"/>
          <w:szCs w:val="24"/>
          <w:rtl/>
        </w:rPr>
        <w:t>.</w:t>
      </w:r>
    </w:p>
    <w:p w:rsidR="000039D0" w:rsidRPr="00E7101E" w:rsidRDefault="000039D0" w:rsidP="00CF43D9">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w:t>
      </w:r>
      <w:commentRangeStart w:id="29"/>
      <w:r w:rsidRPr="00E7101E">
        <w:rPr>
          <w:rFonts w:ascii="David" w:hAnsi="David" w:cs="David" w:hint="cs"/>
          <w:sz w:val="24"/>
          <w:szCs w:val="24"/>
          <w:rtl/>
        </w:rPr>
        <w:t>בסעיף 57</w:t>
      </w:r>
      <w:commentRangeEnd w:id="29"/>
      <w:r w:rsidR="005C2D81">
        <w:rPr>
          <w:rStyle w:val="a8"/>
          <w:rFonts w:cs="David"/>
          <w:rtl/>
        </w:rPr>
        <w:commentReference w:id="29"/>
      </w:r>
      <w:r w:rsidRPr="00E7101E">
        <w:rPr>
          <w:rFonts w:ascii="David" w:hAnsi="David" w:cs="David" w:hint="cs"/>
          <w:sz w:val="24"/>
          <w:szCs w:val="24"/>
          <w:rtl/>
        </w:rPr>
        <w:t xml:space="preserve"> לכתב התביעה. מבלי לגרוע מכלליות ההכחשה מוסיפה הנתבעת וטוענת כי עצם קיומו של נתק תקשורתי על פי מחקרי התקשורת לא לימד אודות נתק מוחלט, כפי שהדבר קיבל גם ביטוי במסגרת תרגיל קישון בו מסר רמזי כי לא היו טלפונים בינו לבין התובע וכי היו מתקשרים באמצעות פגישות בבית או במשרד.</w:t>
      </w:r>
    </w:p>
    <w:p w:rsidR="00143EE7" w:rsidRPr="00E7101E" w:rsidRDefault="000039D0" w:rsidP="00424BFC">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האמור והנטען </w:t>
      </w:r>
      <w:commentRangeStart w:id="30"/>
      <w:r w:rsidRPr="00E7101E">
        <w:rPr>
          <w:rFonts w:ascii="David" w:hAnsi="David" w:cs="David" w:hint="cs"/>
          <w:sz w:val="24"/>
          <w:szCs w:val="24"/>
          <w:rtl/>
        </w:rPr>
        <w:t>בסעיף 58</w:t>
      </w:r>
      <w:commentRangeEnd w:id="30"/>
      <w:r w:rsidR="005C2D81">
        <w:rPr>
          <w:rStyle w:val="a8"/>
          <w:rFonts w:cs="David"/>
          <w:rtl/>
        </w:rPr>
        <w:commentReference w:id="30"/>
      </w:r>
      <w:r w:rsidRPr="00E7101E">
        <w:rPr>
          <w:rFonts w:ascii="David" w:hAnsi="David" w:cs="David" w:hint="cs"/>
          <w:sz w:val="24"/>
          <w:szCs w:val="24"/>
          <w:rtl/>
        </w:rPr>
        <w:t xml:space="preserve"> לכתב התביעה </w:t>
      </w:r>
      <w:r w:rsidRPr="00424BFC">
        <w:rPr>
          <w:rFonts w:ascii="David" w:hAnsi="David" w:cs="David" w:hint="cs"/>
          <w:sz w:val="24"/>
          <w:szCs w:val="24"/>
          <w:rtl/>
        </w:rPr>
        <w:t>איננו מוכחש</w:t>
      </w:r>
      <w:r w:rsidR="00424BFC">
        <w:rPr>
          <w:rFonts w:ascii="David" w:hAnsi="David" w:cs="David" w:hint="cs"/>
          <w:sz w:val="24"/>
          <w:szCs w:val="24"/>
          <w:rtl/>
        </w:rPr>
        <w:t xml:space="preserve"> אך מוכחש כי המדובר במחדל חקירה וכן מוכחש כל קשר סיבתי עובדתי או משפטי בין המיוחס לנתבעת לבין מי מנזקי התובע הנטענים והמוכחשים כשלעצמם</w:t>
      </w:r>
      <w:r w:rsidR="000C5F15">
        <w:rPr>
          <w:rFonts w:ascii="David" w:hAnsi="David" w:cs="David" w:hint="cs"/>
          <w:sz w:val="24"/>
          <w:szCs w:val="24"/>
          <w:rtl/>
        </w:rPr>
        <w:t>, וממילא נהג המונית נחקר במסגרת ההליך הפלילי</w:t>
      </w:r>
      <w:r w:rsidR="00424BFC">
        <w:rPr>
          <w:rFonts w:ascii="David" w:hAnsi="David" w:cs="David" w:hint="cs"/>
          <w:sz w:val="24"/>
          <w:szCs w:val="24"/>
          <w:rtl/>
        </w:rPr>
        <w:t>.</w:t>
      </w:r>
    </w:p>
    <w:p w:rsidR="00CE5F6C" w:rsidRPr="00E7101E" w:rsidRDefault="00A211D9" w:rsidP="00CF43D9">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w:t>
      </w:r>
      <w:commentRangeStart w:id="31"/>
      <w:r w:rsidRPr="00E7101E">
        <w:rPr>
          <w:rFonts w:ascii="David" w:hAnsi="David" w:cs="David" w:hint="cs"/>
          <w:sz w:val="24"/>
          <w:szCs w:val="24"/>
          <w:rtl/>
        </w:rPr>
        <w:t>בסעיף 59</w:t>
      </w:r>
      <w:commentRangeEnd w:id="31"/>
      <w:r w:rsidR="004D53FE">
        <w:rPr>
          <w:rStyle w:val="a8"/>
          <w:rFonts w:cs="David"/>
          <w:rtl/>
        </w:rPr>
        <w:commentReference w:id="31"/>
      </w:r>
      <w:r w:rsidRPr="00E7101E">
        <w:rPr>
          <w:rFonts w:ascii="David" w:hAnsi="David" w:cs="David" w:hint="cs"/>
          <w:sz w:val="24"/>
          <w:szCs w:val="24"/>
          <w:rtl/>
        </w:rPr>
        <w:t xml:space="preserve"> לכתב התביעה</w:t>
      </w:r>
      <w:r w:rsidR="00044213" w:rsidRPr="00E7101E">
        <w:rPr>
          <w:rFonts w:ascii="David" w:hAnsi="David" w:cs="David" w:hint="cs"/>
          <w:sz w:val="24"/>
          <w:szCs w:val="24"/>
          <w:rtl/>
        </w:rPr>
        <w:t xml:space="preserve"> על כל פרטיו, למעט כי האסיר ג.א. הופעל על ידי גורמי הנתבעת לאחר שמסר מידע רלבנטי בעניינו של התובע.</w:t>
      </w:r>
    </w:p>
    <w:p w:rsidR="00044213" w:rsidRPr="00E7101E" w:rsidRDefault="00044213" w:rsidP="00044213">
      <w:pPr>
        <w:keepLines/>
        <w:spacing w:before="120" w:line="360" w:lineRule="auto"/>
        <w:ind w:left="714"/>
        <w:jc w:val="both"/>
        <w:rPr>
          <w:rFonts w:ascii="David" w:hAnsi="David" w:cs="David"/>
          <w:sz w:val="24"/>
          <w:szCs w:val="24"/>
          <w:rtl/>
        </w:rPr>
      </w:pPr>
      <w:r w:rsidRPr="00E7101E">
        <w:rPr>
          <w:rFonts w:ascii="David" w:hAnsi="David" w:cs="David" w:hint="cs"/>
          <w:sz w:val="24"/>
          <w:szCs w:val="24"/>
          <w:rtl/>
        </w:rPr>
        <w:t>כעולה מהכרעת הדין הנוגעת לאישומים 13-14 בבית המשפט המחוזי הרשעתו של התובע באישומים אלו התבססה על הנתונים הבאים כפי שמפורטים בסעיף 285 להכרעת הדין בעמודים 116-117, כדלהלן:</w:t>
      </w:r>
    </w:p>
    <w:p w:rsidR="00044213" w:rsidRPr="00424BFC" w:rsidRDefault="00044213" w:rsidP="00044213">
      <w:pPr>
        <w:keepLines/>
        <w:spacing w:before="120" w:line="360" w:lineRule="auto"/>
        <w:ind w:left="714"/>
        <w:jc w:val="both"/>
        <w:rPr>
          <w:rFonts w:ascii="David" w:hAnsi="David" w:cs="David"/>
          <w:b/>
          <w:bCs/>
          <w:sz w:val="24"/>
          <w:szCs w:val="24"/>
          <w:rtl/>
        </w:rPr>
      </w:pPr>
      <w:r w:rsidRPr="00E7101E">
        <w:rPr>
          <w:rFonts w:ascii="David" w:hAnsi="David" w:cs="David" w:hint="cs"/>
          <w:sz w:val="24"/>
          <w:szCs w:val="24"/>
          <w:rtl/>
        </w:rPr>
        <w:lastRenderedPageBreak/>
        <w:t>"...</w:t>
      </w:r>
      <w:r w:rsidRPr="00424BFC">
        <w:rPr>
          <w:rFonts w:ascii="David" w:hAnsi="David" w:cs="David" w:hint="cs"/>
          <w:b/>
          <w:bCs/>
          <w:sz w:val="24"/>
          <w:szCs w:val="24"/>
          <w:rtl/>
        </w:rPr>
        <w:t xml:space="preserve">סבורה אני כי בבחינה מדוקדקת זו, הודאותיו המפורשות של הנאשם בעבירות, תוך תיאור חיובי של יחסיו עם ג.א. באותה העת, מעורבותו בתכנון אופן הקטילה ואי הסתייגותו מהתוכנית להמית את עד התביעה, אף שהסוכן המשטרתי אפשר לו לעשות כן, מאיינות כל ספק בדבר שידולו, על אף בעיית האמינות של הסוכן. דברים אלה מקבלים משנה תוקף לנוכח העובדה שהנאשם ביקש גם מראובינוף לבצע רצח של עד תביעה, מבלי שנטען כי הודח על ידו, ושעה שסבר כי לא יפיק תועלת מן הרצח, חזר בו מן ההצעה למרות ניסיונות הסחיטה כלפיו. </w:t>
      </w:r>
    </w:p>
    <w:p w:rsidR="00044213" w:rsidRPr="00E7101E" w:rsidRDefault="00044213" w:rsidP="00044213">
      <w:pPr>
        <w:keepLines/>
        <w:spacing w:before="120" w:line="360" w:lineRule="auto"/>
        <w:ind w:left="714"/>
        <w:jc w:val="both"/>
        <w:rPr>
          <w:rFonts w:ascii="David" w:hAnsi="David" w:cs="David"/>
          <w:sz w:val="24"/>
          <w:szCs w:val="24"/>
        </w:rPr>
      </w:pPr>
      <w:r w:rsidRPr="00424BFC">
        <w:rPr>
          <w:rFonts w:ascii="David" w:hAnsi="David" w:cs="David" w:hint="cs"/>
          <w:b/>
          <w:bCs/>
          <w:sz w:val="24"/>
          <w:szCs w:val="24"/>
          <w:rtl/>
        </w:rPr>
        <w:t>יתר על כן, הנאשם העלה את טענת השידול רק בבית המשפט ואין לה סימן וזכר בהודעתו. עוד יצוין בעניין זה, כי לג.א. לא היה כל מידע קודם ביחס למעורבים בפרשה ונשאלת השאלה כיצד יכול היה לשדל את הנאשם לרצוח עד שעל קיומו לא ידע או לפגוע בדניאל כהן תוך שימוש במילים הזהות לאלה של הנאשם</w:t>
      </w:r>
      <w:r w:rsidRPr="00E7101E">
        <w:rPr>
          <w:rFonts w:ascii="David" w:hAnsi="David" w:cs="David" w:hint="cs"/>
          <w:sz w:val="24"/>
          <w:szCs w:val="24"/>
          <w:rtl/>
        </w:rPr>
        <w:t>."</w:t>
      </w:r>
    </w:p>
    <w:p w:rsidR="00044213" w:rsidRPr="00E7101E" w:rsidRDefault="00044213" w:rsidP="00044213">
      <w:pPr>
        <w:keepLines/>
        <w:spacing w:before="120" w:line="360" w:lineRule="auto"/>
        <w:ind w:left="714"/>
        <w:jc w:val="both"/>
        <w:rPr>
          <w:rFonts w:ascii="David" w:hAnsi="David" w:cs="David"/>
          <w:sz w:val="24"/>
          <w:szCs w:val="24"/>
        </w:rPr>
      </w:pPr>
      <w:r w:rsidRPr="00E7101E">
        <w:rPr>
          <w:rFonts w:ascii="David" w:hAnsi="David" w:cs="David" w:hint="cs"/>
          <w:sz w:val="24"/>
          <w:szCs w:val="24"/>
          <w:rtl/>
        </w:rPr>
        <w:t xml:space="preserve">הנתבעת מוסיפה וטוענת כי התובע מנוע מלהעלות את הטענות המפורטות בסעיף 59 לכתב התביעה נוכח הוראת </w:t>
      </w:r>
      <w:r w:rsidRPr="00424BFC">
        <w:rPr>
          <w:rFonts w:ascii="David" w:hAnsi="David" w:cs="David" w:hint="cs"/>
          <w:b/>
          <w:bCs/>
          <w:sz w:val="24"/>
          <w:szCs w:val="24"/>
          <w:rtl/>
        </w:rPr>
        <w:t>סעיף 42א לפקודת הראיות</w:t>
      </w:r>
      <w:r w:rsidRPr="00E7101E">
        <w:rPr>
          <w:rFonts w:ascii="David" w:hAnsi="David" w:cs="David" w:hint="cs"/>
          <w:sz w:val="24"/>
          <w:szCs w:val="24"/>
          <w:rtl/>
        </w:rPr>
        <w:t xml:space="preserve"> משעה שעסקינן בטענות שנדונו והוכרעו על ידי בית המשפט בהליך הפלילי ביחס לעבירות בהן הורשע התובע. טענותיו אלו של התובע נדונו לפני הרכב השופטים הפלילי אשר דחה אותן פה אחד תוך שעמד על כך שמהראיות שעמדו בפניו התאיין כל ספק בדבר שידולו הנטען והמוכחש של התובע. </w:t>
      </w:r>
    </w:p>
    <w:p w:rsidR="00670BBE" w:rsidRPr="00E7101E" w:rsidRDefault="00670BBE" w:rsidP="00CF43D9">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בסעיף 60 לכתב התביעה, על כל פרטיו. מבלי לפגוע בכלליות ההכחשה מוסיפה הנתבעת וטוענת כי </w:t>
      </w:r>
      <w:commentRangeStart w:id="32"/>
      <w:r w:rsidRPr="00E7101E">
        <w:rPr>
          <w:rFonts w:ascii="David" w:hAnsi="David" w:cs="David" w:hint="cs"/>
          <w:sz w:val="24"/>
          <w:szCs w:val="24"/>
          <w:rtl/>
        </w:rPr>
        <w:t>מוטב לו התובע היה מציג את הדברים כפי שהיו לאשורם</w:t>
      </w:r>
      <w:commentRangeEnd w:id="32"/>
      <w:r w:rsidR="00790191">
        <w:rPr>
          <w:rStyle w:val="a8"/>
          <w:rFonts w:cs="David"/>
          <w:rtl/>
        </w:rPr>
        <w:commentReference w:id="32"/>
      </w:r>
      <w:r w:rsidRPr="00E7101E">
        <w:rPr>
          <w:rFonts w:ascii="David" w:hAnsi="David" w:cs="David" w:hint="cs"/>
          <w:sz w:val="24"/>
          <w:szCs w:val="24"/>
          <w:rtl/>
        </w:rPr>
        <w:t>, שכן כעולה מהודעת רמזי במשטרה מיום 30.4.11 הוא החל לשתף פעולה אך לאחר שזיהה את קולו בהקלטה של "תרגיל קישון" שם במסגרת היותו משיח על פי תומו מסר ל-א.א. אודות מעורבות התובע באירועים מושא כתב האישום.</w:t>
      </w:r>
    </w:p>
    <w:p w:rsidR="00CE5F6C" w:rsidRPr="00E7101E" w:rsidRDefault="005F342A" w:rsidP="00CE5F6C">
      <w:pPr>
        <w:keepLines/>
        <w:spacing w:before="120" w:line="360" w:lineRule="auto"/>
        <w:ind w:left="714"/>
        <w:jc w:val="both"/>
        <w:rPr>
          <w:rFonts w:ascii="David" w:hAnsi="David" w:cs="David"/>
          <w:sz w:val="24"/>
          <w:szCs w:val="24"/>
        </w:rPr>
      </w:pPr>
      <w:r w:rsidRPr="00E7101E">
        <w:rPr>
          <w:rFonts w:ascii="David" w:hAnsi="David" w:cs="David" w:hint="cs"/>
          <w:sz w:val="24"/>
          <w:szCs w:val="24"/>
          <w:rtl/>
        </w:rPr>
        <w:t xml:space="preserve">למעלה מן הנדרש מוסיפה הנתבעת וטוענת כי </w:t>
      </w:r>
      <w:r w:rsidRPr="00424BFC">
        <w:rPr>
          <w:rFonts w:ascii="David" w:hAnsi="David" w:cs="David" w:hint="cs"/>
          <w:sz w:val="24"/>
          <w:szCs w:val="24"/>
          <w:rtl/>
        </w:rPr>
        <w:t>ממילא מדובר בתרגיל חקירה לגיטימי.</w:t>
      </w:r>
    </w:p>
    <w:p w:rsidR="00CE5F6C" w:rsidRPr="00E7101E" w:rsidRDefault="00CE5F6C" w:rsidP="00CE5F6C">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w:t>
      </w:r>
      <w:commentRangeStart w:id="33"/>
      <w:r w:rsidRPr="00E7101E">
        <w:rPr>
          <w:rFonts w:ascii="David" w:hAnsi="David" w:cs="David" w:hint="cs"/>
          <w:sz w:val="24"/>
          <w:szCs w:val="24"/>
          <w:rtl/>
        </w:rPr>
        <w:t xml:space="preserve">בסעיפים 61-63 </w:t>
      </w:r>
      <w:commentRangeEnd w:id="33"/>
      <w:r w:rsidR="00666432">
        <w:rPr>
          <w:rStyle w:val="a8"/>
          <w:rFonts w:cs="David"/>
          <w:rtl/>
        </w:rPr>
        <w:commentReference w:id="33"/>
      </w:r>
      <w:r w:rsidRPr="00E7101E">
        <w:rPr>
          <w:rFonts w:ascii="David" w:hAnsi="David" w:cs="David" w:hint="cs"/>
          <w:sz w:val="24"/>
          <w:szCs w:val="24"/>
          <w:rtl/>
        </w:rPr>
        <w:t xml:space="preserve">לכתב התביעה, על כל פרטיהם. </w:t>
      </w:r>
    </w:p>
    <w:p w:rsidR="00CE5F6C" w:rsidRPr="00E7101E" w:rsidRDefault="00CE5F6C" w:rsidP="00CE5F6C">
      <w:pPr>
        <w:keepLines/>
        <w:spacing w:before="120" w:line="360" w:lineRule="auto"/>
        <w:ind w:left="714"/>
        <w:jc w:val="both"/>
        <w:rPr>
          <w:rFonts w:ascii="David" w:hAnsi="David" w:cs="David"/>
          <w:sz w:val="24"/>
          <w:szCs w:val="24"/>
        </w:rPr>
      </w:pPr>
      <w:r w:rsidRPr="00E7101E">
        <w:rPr>
          <w:rFonts w:ascii="David" w:hAnsi="David" w:cs="David" w:hint="cs"/>
          <w:sz w:val="24"/>
          <w:szCs w:val="24"/>
          <w:rtl/>
        </w:rPr>
        <w:t xml:space="preserve">מבלי לפגוע בכלליות ההכחשה מוסיפה הנתבעת וטוענת כי כתבי אישום מוגשים מקום בו יש ראיות מספיקות לאישום </w:t>
      </w:r>
      <w:r w:rsidRPr="00E7101E">
        <w:rPr>
          <w:rFonts w:ascii="David" w:hAnsi="David" w:cs="David"/>
          <w:sz w:val="24"/>
          <w:szCs w:val="24"/>
          <w:rtl/>
        </w:rPr>
        <w:t>–</w:t>
      </w:r>
      <w:r w:rsidRPr="00E7101E">
        <w:rPr>
          <w:rFonts w:ascii="David" w:hAnsi="David" w:cs="David" w:hint="cs"/>
          <w:sz w:val="24"/>
          <w:szCs w:val="24"/>
          <w:rtl/>
        </w:rPr>
        <w:t xml:space="preserve"> משמע שקיים חומר ראיות שיכול להביא להרשעת אדם בעבירה, וכך גם נעשה בעניינו של התובע.</w:t>
      </w:r>
    </w:p>
    <w:p w:rsidR="00CE5F6C" w:rsidRPr="00E7101E" w:rsidRDefault="00CE5F6C" w:rsidP="00CE5F6C">
      <w:pPr>
        <w:keepLines/>
        <w:spacing w:before="120" w:line="360" w:lineRule="auto"/>
        <w:ind w:left="714"/>
        <w:jc w:val="both"/>
        <w:rPr>
          <w:rFonts w:ascii="David" w:hAnsi="David" w:cs="David"/>
          <w:sz w:val="24"/>
          <w:szCs w:val="24"/>
        </w:rPr>
      </w:pPr>
      <w:r w:rsidRPr="00E7101E">
        <w:rPr>
          <w:rFonts w:ascii="David" w:hAnsi="David" w:cs="David" w:hint="cs"/>
          <w:sz w:val="24"/>
          <w:szCs w:val="24"/>
          <w:rtl/>
        </w:rPr>
        <w:t>יוטעם כי גם אם עולות תמיהות מסוימות מחומר הראיות, אין בכך בכדי לשלול הגשת כתב אישום ובלבד שיש בכלל חומר הראיות תשתית לכאורית המצדיקה הגשת כתב אישום.</w:t>
      </w:r>
      <w:r w:rsidRPr="00E7101E">
        <w:rPr>
          <w:rStyle w:val="afb"/>
          <w:rtl/>
        </w:rPr>
        <w:t xml:space="preserve"> </w:t>
      </w:r>
      <w:r w:rsidRPr="00E7101E">
        <w:rPr>
          <w:rStyle w:val="afb"/>
          <w:rtl/>
        </w:rPr>
        <w:endnoteReference w:id="1"/>
      </w:r>
    </w:p>
    <w:p w:rsidR="00CE5F6C" w:rsidRPr="00E7101E" w:rsidRDefault="00CE5F6C" w:rsidP="00CE5F6C">
      <w:pPr>
        <w:keepLines/>
        <w:spacing w:before="120" w:line="360" w:lineRule="auto"/>
        <w:ind w:left="714"/>
        <w:jc w:val="both"/>
        <w:rPr>
          <w:rFonts w:ascii="David" w:hAnsi="David" w:cs="David"/>
          <w:sz w:val="24"/>
          <w:szCs w:val="24"/>
        </w:rPr>
      </w:pPr>
      <w:r w:rsidRPr="00E7101E">
        <w:rPr>
          <w:rFonts w:ascii="David" w:hAnsi="David" w:cs="David"/>
          <w:sz w:val="24"/>
          <w:szCs w:val="24"/>
          <w:rtl/>
        </w:rPr>
        <w:t>כמו-כן, בהתאם להלכה הפסוקה, לרשויות התביעה שיקול דעת רחב בקבלת ההחלטה בדבר העמדת אדם לדין. קיום ש</w:t>
      </w:r>
      <w:r w:rsidRPr="00E7101E">
        <w:rPr>
          <w:rFonts w:ascii="David" w:hAnsi="David" w:cs="David" w:hint="cs"/>
          <w:sz w:val="24"/>
          <w:szCs w:val="24"/>
          <w:rtl/>
        </w:rPr>
        <w:t>יקול דעת</w:t>
      </w:r>
      <w:r w:rsidRPr="00E7101E">
        <w:rPr>
          <w:rFonts w:ascii="David" w:hAnsi="David" w:cs="David"/>
          <w:sz w:val="24"/>
          <w:szCs w:val="24"/>
          <w:rtl/>
        </w:rPr>
        <w:t xml:space="preserve"> רחב מלמדנו שעל התובע להראות אי סבירות בולטת וברורה בהגשת כ</w:t>
      </w:r>
      <w:r w:rsidRPr="00E7101E">
        <w:rPr>
          <w:rFonts w:ascii="David" w:hAnsi="David" w:cs="David" w:hint="cs"/>
          <w:sz w:val="24"/>
          <w:szCs w:val="24"/>
          <w:rtl/>
        </w:rPr>
        <w:t>תב האישום</w:t>
      </w:r>
      <w:r w:rsidRPr="00E7101E">
        <w:rPr>
          <w:rFonts w:ascii="David" w:hAnsi="David" w:cs="David"/>
          <w:sz w:val="24"/>
          <w:szCs w:val="24"/>
          <w:rtl/>
        </w:rPr>
        <w:t xml:space="preserve"> כנגדו</w:t>
      </w:r>
      <w:r w:rsidRPr="00E7101E">
        <w:rPr>
          <w:rFonts w:ascii="David" w:hAnsi="David" w:cs="David" w:hint="cs"/>
          <w:sz w:val="24"/>
          <w:szCs w:val="24"/>
          <w:rtl/>
        </w:rPr>
        <w:t>, דבר אשר אף איננו עולה מנוסח כתב התביעה.</w:t>
      </w:r>
    </w:p>
    <w:p w:rsidR="00B93580" w:rsidRPr="00E7101E" w:rsidRDefault="00456EDB" w:rsidP="00213D92">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התובע מנוע מלהעלות את הטענות המוכחשות המפורטות </w:t>
      </w:r>
      <w:commentRangeStart w:id="34"/>
      <w:r w:rsidRPr="00E7101E">
        <w:rPr>
          <w:rFonts w:ascii="David" w:hAnsi="David" w:cs="David" w:hint="cs"/>
          <w:sz w:val="24"/>
          <w:szCs w:val="24"/>
          <w:rtl/>
        </w:rPr>
        <w:t xml:space="preserve">בסעיף 64 </w:t>
      </w:r>
      <w:commentRangeEnd w:id="34"/>
      <w:r w:rsidR="0071094A">
        <w:rPr>
          <w:rStyle w:val="a8"/>
          <w:rFonts w:cs="David"/>
          <w:rtl/>
        </w:rPr>
        <w:commentReference w:id="34"/>
      </w:r>
      <w:r w:rsidRPr="00E7101E">
        <w:rPr>
          <w:rFonts w:ascii="David" w:hAnsi="David" w:cs="David" w:hint="cs"/>
          <w:sz w:val="24"/>
          <w:szCs w:val="24"/>
          <w:rtl/>
        </w:rPr>
        <w:t xml:space="preserve">לכתב התביעה נוכח הוראת סעיף 42א לפקודת הראיות משעה שעסקינן בטענות שנדונו והוכרעו על ידי בית המשפט בהליך הפלילי ביחס לעבירות בהן הורשע התובע. טענותיו אלו של התובע נדונו לפני הרכב השופטים הפלילי אשר דחה אותן פה אחד תוך שעמד על כך שמהראיות שעמדו בפניו התאיין כל ספק בדבר שידולו הנטען והמוכחש של התובע. </w:t>
      </w:r>
    </w:p>
    <w:p w:rsidR="002360EA" w:rsidRPr="00E7101E" w:rsidRDefault="00B93580" w:rsidP="00B93580">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מוכחש המחדל המיוחס לנתבעת בסעיף 65 לכתב התביעה. מבלי לגרוע מכלליות ההכחשה מוסיפה הנתבעת וטוענת כי שיהוי בהעברת מסמך כלשהו, ככל שהיה, לא היה בו כדי לפגוע בחקירת המשטרה ובוודאי שלא בחקירת התובע.</w:t>
      </w:r>
    </w:p>
    <w:p w:rsidR="00B16745" w:rsidRPr="00E7101E" w:rsidRDefault="00B16745" w:rsidP="00B16745">
      <w:pPr>
        <w:keepLines/>
        <w:numPr>
          <w:ilvl w:val="0"/>
          <w:numId w:val="21"/>
        </w:numPr>
        <w:spacing w:before="120" w:line="360" w:lineRule="auto"/>
        <w:ind w:left="714" w:hanging="357"/>
        <w:jc w:val="both"/>
        <w:rPr>
          <w:rFonts w:ascii="David" w:hAnsi="David" w:cs="David"/>
          <w:sz w:val="24"/>
          <w:szCs w:val="24"/>
          <w:rtl/>
        </w:rPr>
      </w:pPr>
      <w:r w:rsidRPr="00E7101E">
        <w:rPr>
          <w:rFonts w:ascii="David" w:hAnsi="David" w:cs="David" w:hint="cs"/>
          <w:sz w:val="24"/>
          <w:szCs w:val="24"/>
          <w:rtl/>
        </w:rPr>
        <w:lastRenderedPageBreak/>
        <w:t xml:space="preserve">מבלי לפגוע באמור לעיל, </w:t>
      </w:r>
      <w:r w:rsidRPr="00E7101E">
        <w:rPr>
          <w:rFonts w:ascii="David" w:hAnsi="David" w:cs="David"/>
          <w:sz w:val="24"/>
          <w:szCs w:val="24"/>
          <w:rtl/>
        </w:rPr>
        <w:t>הנתבעת מוסיפה וטוענת כי לא הייתה כל התרשלות בהתנהלות רשויות התביעה והחקירה, ודין תביעת</w:t>
      </w:r>
      <w:r w:rsidRPr="00E7101E">
        <w:rPr>
          <w:rFonts w:ascii="David" w:hAnsi="David" w:cs="David" w:hint="cs"/>
          <w:sz w:val="24"/>
          <w:szCs w:val="24"/>
          <w:rtl/>
        </w:rPr>
        <w:t>ו</w:t>
      </w:r>
      <w:r w:rsidRPr="00E7101E">
        <w:rPr>
          <w:rFonts w:ascii="David" w:hAnsi="David" w:cs="David"/>
          <w:sz w:val="24"/>
          <w:szCs w:val="24"/>
          <w:rtl/>
        </w:rPr>
        <w:t xml:space="preserve"> של התובע להידחות על הסף תוך חיוב</w:t>
      </w:r>
      <w:r w:rsidRPr="00E7101E">
        <w:rPr>
          <w:rFonts w:ascii="David" w:hAnsi="David" w:cs="David" w:hint="cs"/>
          <w:sz w:val="24"/>
          <w:szCs w:val="24"/>
          <w:rtl/>
        </w:rPr>
        <w:t>ו</w:t>
      </w:r>
      <w:r w:rsidRPr="00E7101E">
        <w:rPr>
          <w:rFonts w:ascii="David" w:hAnsi="David" w:cs="David"/>
          <w:sz w:val="24"/>
          <w:szCs w:val="24"/>
          <w:rtl/>
        </w:rPr>
        <w:t xml:space="preserve"> בהוצאות</w:t>
      </w:r>
      <w:r w:rsidRPr="00E7101E">
        <w:rPr>
          <w:rFonts w:ascii="David" w:hAnsi="David" w:cs="David" w:hint="cs"/>
          <w:sz w:val="24"/>
          <w:szCs w:val="24"/>
          <w:rtl/>
        </w:rPr>
        <w:t xml:space="preserve"> משפט ריאליות</w:t>
      </w:r>
      <w:r w:rsidRPr="00E7101E">
        <w:rPr>
          <w:rFonts w:ascii="David" w:hAnsi="David" w:cs="David"/>
          <w:sz w:val="24"/>
          <w:szCs w:val="24"/>
          <w:rtl/>
        </w:rPr>
        <w:t>.</w:t>
      </w:r>
    </w:p>
    <w:p w:rsidR="00B16745" w:rsidRPr="00E7101E" w:rsidRDefault="00B16745" w:rsidP="00B16745">
      <w:pPr>
        <w:tabs>
          <w:tab w:val="left" w:pos="512"/>
          <w:tab w:val="left" w:pos="796"/>
        </w:tabs>
        <w:spacing w:before="120" w:line="360" w:lineRule="auto"/>
        <w:ind w:left="720"/>
        <w:jc w:val="both"/>
        <w:rPr>
          <w:rFonts w:ascii="David" w:hAnsi="David" w:cs="David"/>
          <w:sz w:val="24"/>
          <w:szCs w:val="24"/>
          <w:rtl/>
        </w:rPr>
      </w:pPr>
      <w:r w:rsidRPr="00E7101E">
        <w:rPr>
          <w:rFonts w:ascii="David" w:hAnsi="David" w:cs="David"/>
          <w:sz w:val="24"/>
          <w:szCs w:val="24"/>
          <w:rtl/>
        </w:rPr>
        <w:t xml:space="preserve">הנתבעת שבה וטוענת שהשתלשלות בתיק מלמדת על התנהלות מקצועית, נכונה וסבירה מצד כל הגורמים. השאלה שבית המשפט הנכבד צריך לראות לנגד </w:t>
      </w:r>
      <w:r w:rsidRPr="00424BFC">
        <w:rPr>
          <w:rFonts w:ascii="David" w:hAnsi="David" w:cs="David"/>
          <w:sz w:val="24"/>
          <w:szCs w:val="24"/>
          <w:rtl/>
        </w:rPr>
        <w:t>עיניו אינה מה לא נעשה בחקירה פלילית,</w:t>
      </w:r>
      <w:r w:rsidRPr="00E7101E">
        <w:rPr>
          <w:rFonts w:ascii="David" w:hAnsi="David" w:cs="David"/>
          <w:sz w:val="24"/>
          <w:szCs w:val="24"/>
          <w:rtl/>
        </w:rPr>
        <w:t xml:space="preserve"> אלא האם ניתן היה, בזמן אמת, לסבור שדי במה שנעשה והיה סיכוי סביר להרשעה. במקרה דנא, ברי הוא כי חובה הייתה להגיש כתב אישום ולהביא את העניין להכרעת בית המשפט הנכבד.</w:t>
      </w:r>
    </w:p>
    <w:p w:rsidR="00B16745" w:rsidRPr="00E7101E" w:rsidRDefault="00B16745" w:rsidP="00B16745">
      <w:pPr>
        <w:tabs>
          <w:tab w:val="left" w:pos="512"/>
          <w:tab w:val="left" w:pos="796"/>
        </w:tabs>
        <w:spacing w:before="120" w:line="360" w:lineRule="auto"/>
        <w:ind w:left="720"/>
        <w:jc w:val="both"/>
        <w:rPr>
          <w:rFonts w:ascii="David" w:hAnsi="David" w:cs="David"/>
          <w:sz w:val="24"/>
          <w:szCs w:val="24"/>
          <w:rtl/>
        </w:rPr>
      </w:pPr>
      <w:r w:rsidRPr="00E7101E">
        <w:rPr>
          <w:rFonts w:ascii="David" w:hAnsi="David" w:cs="David"/>
          <w:sz w:val="24"/>
          <w:szCs w:val="24"/>
          <w:rtl/>
        </w:rPr>
        <w:t xml:space="preserve">טענת התובע לפיה זיכוי </w:t>
      </w:r>
      <w:r w:rsidRPr="00424BFC">
        <w:rPr>
          <w:rFonts w:ascii="David" w:hAnsi="David" w:cs="David"/>
          <w:b/>
          <w:bCs/>
          <w:sz w:val="24"/>
          <w:szCs w:val="24"/>
          <w:u w:val="single"/>
          <w:rtl/>
        </w:rPr>
        <w:t>מחמת הספק</w:t>
      </w:r>
      <w:r w:rsidRPr="00E7101E">
        <w:rPr>
          <w:rFonts w:ascii="David" w:hAnsi="David" w:cs="David"/>
          <w:sz w:val="24"/>
          <w:szCs w:val="24"/>
          <w:rtl/>
        </w:rPr>
        <w:t xml:space="preserve"> מהווה ראיה לרשלנות הנתבעת וחובתה לפצות לא זו בלבד אשר הינה מופרכת ואינה עולה בקנה אחד עם הראיות בתיק, אלא אף נוגדת את הוראות הדין וההלכה הפסוקה.</w:t>
      </w:r>
    </w:p>
    <w:p w:rsidR="00B16745" w:rsidRPr="00E7101E" w:rsidRDefault="00B16745" w:rsidP="00B16745">
      <w:pPr>
        <w:tabs>
          <w:tab w:val="left" w:pos="512"/>
          <w:tab w:val="left" w:pos="796"/>
        </w:tabs>
        <w:spacing w:before="120" w:line="360" w:lineRule="auto"/>
        <w:ind w:left="720"/>
        <w:jc w:val="both"/>
        <w:rPr>
          <w:rFonts w:ascii="David" w:hAnsi="David" w:cs="David"/>
          <w:sz w:val="24"/>
          <w:szCs w:val="24"/>
          <w:rtl/>
        </w:rPr>
      </w:pPr>
      <w:r w:rsidRPr="00424BFC">
        <w:rPr>
          <w:rFonts w:ascii="David" w:hAnsi="David" w:cs="David"/>
          <w:b/>
          <w:bCs/>
          <w:sz w:val="24"/>
          <w:szCs w:val="24"/>
          <w:rtl/>
        </w:rPr>
        <w:t>משמעות קבלת טענה זו מצד התובע</w:t>
      </w:r>
      <w:r w:rsidRPr="00424BFC">
        <w:rPr>
          <w:rFonts w:ascii="David" w:hAnsi="David" w:cs="David" w:hint="cs"/>
          <w:b/>
          <w:bCs/>
          <w:sz w:val="24"/>
          <w:szCs w:val="24"/>
          <w:rtl/>
        </w:rPr>
        <w:t xml:space="preserve"> </w:t>
      </w:r>
      <w:r w:rsidRPr="00424BFC">
        <w:rPr>
          <w:rFonts w:ascii="David" w:hAnsi="David" w:cs="David"/>
          <w:b/>
          <w:bCs/>
          <w:sz w:val="24"/>
          <w:szCs w:val="24"/>
          <w:rtl/>
        </w:rPr>
        <w:t>הינה כי חובה על רשויות התביעה או החקירה לפצות נאשמים אך מעצם זיכויים. הדין אינו מכיר בחבות מעין זו</w:t>
      </w:r>
      <w:r w:rsidRPr="00E7101E">
        <w:rPr>
          <w:rFonts w:ascii="David" w:hAnsi="David" w:cs="David"/>
          <w:sz w:val="24"/>
          <w:szCs w:val="24"/>
          <w:rtl/>
        </w:rPr>
        <w:t>.</w:t>
      </w:r>
    </w:p>
    <w:p w:rsidR="00B16745" w:rsidRPr="00E7101E" w:rsidRDefault="00B16745" w:rsidP="00B16745">
      <w:pPr>
        <w:tabs>
          <w:tab w:val="left" w:pos="512"/>
          <w:tab w:val="left" w:pos="796"/>
        </w:tabs>
        <w:spacing w:before="120" w:line="360" w:lineRule="auto"/>
        <w:ind w:left="720"/>
        <w:jc w:val="both"/>
        <w:rPr>
          <w:rFonts w:ascii="David" w:hAnsi="David" w:cs="David"/>
          <w:sz w:val="24"/>
          <w:szCs w:val="24"/>
          <w:rtl/>
        </w:rPr>
      </w:pPr>
      <w:r w:rsidRPr="00E7101E">
        <w:rPr>
          <w:rFonts w:ascii="David" w:hAnsi="David" w:cs="David"/>
          <w:sz w:val="24"/>
          <w:szCs w:val="24"/>
          <w:rtl/>
        </w:rPr>
        <w:t>המבחן בתביעות נזיקין איננו מבחן התוצאה.</w:t>
      </w:r>
    </w:p>
    <w:p w:rsidR="00B16745" w:rsidRPr="00E7101E" w:rsidRDefault="00B16745" w:rsidP="00B16745">
      <w:pPr>
        <w:tabs>
          <w:tab w:val="left" w:pos="512"/>
          <w:tab w:val="left" w:pos="796"/>
        </w:tabs>
        <w:spacing w:before="120" w:line="360" w:lineRule="auto"/>
        <w:ind w:left="720"/>
        <w:jc w:val="both"/>
        <w:rPr>
          <w:rFonts w:ascii="David" w:hAnsi="David" w:cs="David"/>
          <w:sz w:val="24"/>
          <w:szCs w:val="24"/>
          <w:rtl/>
        </w:rPr>
      </w:pPr>
      <w:r w:rsidRPr="00E7101E">
        <w:rPr>
          <w:rFonts w:ascii="David" w:hAnsi="David" w:cs="David"/>
          <w:sz w:val="24"/>
          <w:szCs w:val="24"/>
          <w:rtl/>
        </w:rPr>
        <w:t>חומר החקירה אשר היה בתיק זה, די היה בו כדי לבסס ראיות לכאורה לביצוע העבירות בגינן הוגש כתב האישום.</w:t>
      </w:r>
    </w:p>
    <w:p w:rsidR="00B16745" w:rsidRPr="00E7101E" w:rsidRDefault="00B16745" w:rsidP="00B16745">
      <w:pPr>
        <w:tabs>
          <w:tab w:val="left" w:pos="512"/>
          <w:tab w:val="left" w:pos="796"/>
        </w:tabs>
        <w:spacing w:before="120" w:line="360" w:lineRule="auto"/>
        <w:ind w:left="720"/>
        <w:jc w:val="both"/>
        <w:rPr>
          <w:rFonts w:ascii="David" w:hAnsi="David" w:cs="David"/>
          <w:sz w:val="24"/>
          <w:szCs w:val="24"/>
          <w:rtl/>
        </w:rPr>
      </w:pPr>
      <w:r w:rsidRPr="00E7101E">
        <w:rPr>
          <w:rFonts w:ascii="David" w:hAnsi="David" w:cs="David"/>
          <w:sz w:val="24"/>
          <w:szCs w:val="24"/>
          <w:rtl/>
        </w:rPr>
        <w:t xml:space="preserve">עובדת קיומן של ראיות לכאורה נבדקה ואושרה מספר פעמים במהלך ההליך על ידי גורמים שונים. </w:t>
      </w:r>
    </w:p>
    <w:p w:rsidR="00B16745" w:rsidRPr="00E7101E" w:rsidRDefault="00B16745" w:rsidP="0002503F">
      <w:pPr>
        <w:tabs>
          <w:tab w:val="left" w:pos="512"/>
          <w:tab w:val="left" w:pos="796"/>
        </w:tabs>
        <w:spacing w:before="120" w:line="360" w:lineRule="auto"/>
        <w:ind w:left="720"/>
        <w:jc w:val="both"/>
        <w:rPr>
          <w:rFonts w:ascii="David" w:hAnsi="David" w:cs="David"/>
          <w:sz w:val="24"/>
          <w:szCs w:val="24"/>
          <w:rtl/>
        </w:rPr>
      </w:pPr>
      <w:r w:rsidRPr="00E7101E">
        <w:rPr>
          <w:rFonts w:ascii="David" w:hAnsi="David" w:cs="David"/>
          <w:sz w:val="24"/>
          <w:szCs w:val="24"/>
          <w:rtl/>
        </w:rPr>
        <w:t>הנתבעת מוסיפה וטוענת כי בסיום ראיות התביעה לא נטען על ידי מי מסניגורי</w:t>
      </w:r>
      <w:r w:rsidR="0002503F" w:rsidRPr="00E7101E">
        <w:rPr>
          <w:rFonts w:ascii="David" w:hAnsi="David" w:cs="David"/>
          <w:sz w:val="24"/>
          <w:szCs w:val="24"/>
          <w:rtl/>
        </w:rPr>
        <w:t xml:space="preserve"> הנאשמים ובכלל זה גם ב"כ התובע</w:t>
      </w:r>
      <w:r w:rsidRPr="00E7101E">
        <w:rPr>
          <w:rFonts w:ascii="David" w:hAnsi="David" w:cs="David"/>
          <w:sz w:val="24"/>
          <w:szCs w:val="24"/>
          <w:rtl/>
        </w:rPr>
        <w:t xml:space="preserve"> כי אין להשיב לאשמה.</w:t>
      </w:r>
    </w:p>
    <w:p w:rsidR="00B16745" w:rsidRPr="00E7101E" w:rsidRDefault="00B16745" w:rsidP="0002503F">
      <w:pPr>
        <w:tabs>
          <w:tab w:val="left" w:pos="512"/>
          <w:tab w:val="left" w:pos="796"/>
        </w:tabs>
        <w:spacing w:before="120" w:line="360" w:lineRule="auto"/>
        <w:ind w:left="720"/>
        <w:jc w:val="both"/>
        <w:rPr>
          <w:rFonts w:ascii="David" w:hAnsi="David" w:cs="David"/>
          <w:sz w:val="24"/>
          <w:szCs w:val="24"/>
          <w:rtl/>
        </w:rPr>
      </w:pPr>
      <w:r w:rsidRPr="00E7101E">
        <w:rPr>
          <w:rFonts w:ascii="David" w:hAnsi="David" w:cs="David"/>
          <w:sz w:val="24"/>
          <w:szCs w:val="24"/>
          <w:rtl/>
        </w:rPr>
        <w:t>המשטרה והפרקליטות ניהלו את החקירה ואת התיק הפלילי באופן מקצועי, זהיר והגון. הפעלת שיקול הדעת התבצע בזהירות רבה ואף למעלה מכך.</w:t>
      </w:r>
    </w:p>
    <w:p w:rsidR="00B16745" w:rsidRPr="00E7101E" w:rsidRDefault="0002503F" w:rsidP="0002503F">
      <w:pPr>
        <w:tabs>
          <w:tab w:val="left" w:pos="512"/>
          <w:tab w:val="left" w:pos="796"/>
        </w:tabs>
        <w:spacing w:before="120" w:line="360" w:lineRule="auto"/>
        <w:ind w:left="720"/>
        <w:jc w:val="both"/>
        <w:rPr>
          <w:rFonts w:ascii="David" w:hAnsi="David" w:cs="David"/>
          <w:sz w:val="24"/>
          <w:szCs w:val="24"/>
        </w:rPr>
      </w:pPr>
      <w:r w:rsidRPr="00E7101E">
        <w:rPr>
          <w:rFonts w:ascii="David" w:hAnsi="David" w:cs="David"/>
          <w:sz w:val="24"/>
          <w:szCs w:val="24"/>
          <w:rtl/>
        </w:rPr>
        <w:t>העובדה שהתובע זוכ</w:t>
      </w:r>
      <w:r w:rsidRPr="00E7101E">
        <w:rPr>
          <w:rFonts w:ascii="David" w:hAnsi="David" w:cs="David" w:hint="cs"/>
          <w:sz w:val="24"/>
          <w:szCs w:val="24"/>
          <w:rtl/>
        </w:rPr>
        <w:t>ה</w:t>
      </w:r>
      <w:r w:rsidR="00B16745" w:rsidRPr="00E7101E">
        <w:rPr>
          <w:rFonts w:ascii="David" w:hAnsi="David" w:cs="David"/>
          <w:sz w:val="24"/>
          <w:szCs w:val="24"/>
          <w:rtl/>
        </w:rPr>
        <w:t xml:space="preserve"> מחמת הספק</w:t>
      </w:r>
      <w:r w:rsidRPr="00E7101E">
        <w:rPr>
          <w:rFonts w:ascii="David" w:hAnsi="David" w:cs="David" w:hint="cs"/>
          <w:sz w:val="24"/>
          <w:szCs w:val="24"/>
          <w:rtl/>
        </w:rPr>
        <w:t xml:space="preserve"> </w:t>
      </w:r>
      <w:r w:rsidR="00B16745" w:rsidRPr="00E7101E">
        <w:rPr>
          <w:rFonts w:ascii="David" w:hAnsi="David" w:cs="David"/>
          <w:sz w:val="24"/>
          <w:szCs w:val="24"/>
          <w:rtl/>
        </w:rPr>
        <w:t xml:space="preserve">אינה </w:t>
      </w:r>
      <w:r w:rsidRPr="00E7101E">
        <w:rPr>
          <w:rFonts w:ascii="David" w:hAnsi="David" w:cs="David" w:hint="cs"/>
          <w:sz w:val="24"/>
          <w:szCs w:val="24"/>
          <w:rtl/>
        </w:rPr>
        <w:t>מלמדת</w:t>
      </w:r>
      <w:r w:rsidR="00A06635">
        <w:rPr>
          <w:rFonts w:ascii="David" w:hAnsi="David" w:cs="David"/>
          <w:sz w:val="24"/>
          <w:szCs w:val="24"/>
          <w:rtl/>
        </w:rPr>
        <w:t xml:space="preserve"> שמי מטעם הנתבעת נהג שלא כדין</w:t>
      </w:r>
      <w:r w:rsidR="00A06635">
        <w:rPr>
          <w:rFonts w:ascii="David" w:hAnsi="David" w:cs="David" w:hint="cs"/>
          <w:sz w:val="24"/>
          <w:szCs w:val="24"/>
          <w:rtl/>
        </w:rPr>
        <w:t>.</w:t>
      </w:r>
    </w:p>
    <w:p w:rsidR="00B16745" w:rsidRPr="00E7101E" w:rsidRDefault="00B16745" w:rsidP="0002503F">
      <w:pPr>
        <w:keepLines/>
        <w:numPr>
          <w:ilvl w:val="0"/>
          <w:numId w:val="21"/>
        </w:numPr>
        <w:spacing w:before="120" w:line="360" w:lineRule="auto"/>
        <w:ind w:left="714" w:hanging="357"/>
        <w:jc w:val="both"/>
        <w:rPr>
          <w:rFonts w:ascii="David" w:hAnsi="David" w:cs="David"/>
          <w:sz w:val="24"/>
          <w:szCs w:val="24"/>
          <w:rtl/>
        </w:rPr>
      </w:pPr>
      <w:r w:rsidRPr="00E7101E">
        <w:rPr>
          <w:rFonts w:ascii="David" w:hAnsi="David" w:cs="David"/>
          <w:sz w:val="24"/>
          <w:szCs w:val="24"/>
          <w:rtl/>
        </w:rPr>
        <w:t>הנתבעת מוסיפה וטוענת, כי:</w:t>
      </w:r>
    </w:p>
    <w:p w:rsidR="00B16745" w:rsidRPr="00E7101E" w:rsidRDefault="00B16745" w:rsidP="00424BFC">
      <w:pPr>
        <w:keepLines/>
        <w:numPr>
          <w:ilvl w:val="1"/>
          <w:numId w:val="21"/>
        </w:numPr>
        <w:tabs>
          <w:tab w:val="clear" w:pos="1440"/>
          <w:tab w:val="num" w:pos="1241"/>
        </w:tabs>
        <w:spacing w:line="360" w:lineRule="auto"/>
        <w:ind w:left="1241" w:hanging="567"/>
        <w:jc w:val="both"/>
        <w:rPr>
          <w:rFonts w:ascii="David" w:hAnsi="David" w:cs="David"/>
          <w:sz w:val="24"/>
          <w:szCs w:val="24"/>
          <w:rtl/>
        </w:rPr>
      </w:pPr>
      <w:r w:rsidRPr="00E7101E">
        <w:rPr>
          <w:rFonts w:ascii="David" w:hAnsi="David" w:cs="David"/>
          <w:sz w:val="24"/>
          <w:szCs w:val="24"/>
          <w:rtl/>
        </w:rPr>
        <w:t>החקירה בפרשה נשוא התובענה נערכה במקצועיות, במיומנות ובסבירות.</w:t>
      </w:r>
    </w:p>
    <w:p w:rsidR="00B16745" w:rsidRPr="00E7101E" w:rsidRDefault="00B16745" w:rsidP="00424BFC">
      <w:pPr>
        <w:keepLines/>
        <w:numPr>
          <w:ilvl w:val="1"/>
          <w:numId w:val="21"/>
        </w:numPr>
        <w:tabs>
          <w:tab w:val="clear" w:pos="1440"/>
          <w:tab w:val="num" w:pos="1241"/>
        </w:tabs>
        <w:spacing w:line="360" w:lineRule="auto"/>
        <w:ind w:left="1241" w:hanging="567"/>
        <w:jc w:val="both"/>
        <w:rPr>
          <w:rFonts w:ascii="David" w:hAnsi="David" w:cs="David"/>
          <w:sz w:val="24"/>
          <w:szCs w:val="24"/>
        </w:rPr>
      </w:pPr>
      <w:r w:rsidRPr="00E7101E">
        <w:rPr>
          <w:rFonts w:ascii="David" w:hAnsi="David" w:cs="David"/>
          <w:sz w:val="24"/>
          <w:szCs w:val="24"/>
          <w:rtl/>
        </w:rPr>
        <w:t>מוכחש כי לא ננקטו פעולות חקירה חיוניות.</w:t>
      </w:r>
    </w:p>
    <w:p w:rsidR="00B16745" w:rsidRPr="00E7101E" w:rsidRDefault="00B16745" w:rsidP="00424BFC">
      <w:pPr>
        <w:keepLines/>
        <w:numPr>
          <w:ilvl w:val="1"/>
          <w:numId w:val="21"/>
        </w:numPr>
        <w:tabs>
          <w:tab w:val="clear" w:pos="1440"/>
          <w:tab w:val="num" w:pos="1241"/>
        </w:tabs>
        <w:spacing w:line="360" w:lineRule="auto"/>
        <w:ind w:left="1241" w:hanging="567"/>
        <w:jc w:val="both"/>
        <w:rPr>
          <w:rFonts w:ascii="David" w:hAnsi="David" w:cs="David"/>
          <w:sz w:val="24"/>
          <w:szCs w:val="24"/>
        </w:rPr>
      </w:pPr>
      <w:r w:rsidRPr="00E7101E">
        <w:rPr>
          <w:rFonts w:ascii="David" w:hAnsi="David" w:cs="David"/>
          <w:sz w:val="24"/>
          <w:szCs w:val="24"/>
          <w:rtl/>
        </w:rPr>
        <w:t xml:space="preserve">בנסיבות תיק זה, לא רק שהיו ראיות </w:t>
      </w:r>
      <w:r w:rsidRPr="00424BFC">
        <w:rPr>
          <w:rFonts w:ascii="David" w:hAnsi="David" w:cs="David"/>
          <w:b/>
          <w:bCs/>
          <w:sz w:val="24"/>
          <w:szCs w:val="24"/>
          <w:rtl/>
        </w:rPr>
        <w:t>מספיקות</w:t>
      </w:r>
      <w:r w:rsidRPr="00E7101E">
        <w:rPr>
          <w:rFonts w:ascii="David" w:hAnsi="David" w:cs="David"/>
          <w:sz w:val="24"/>
          <w:szCs w:val="24"/>
          <w:rtl/>
        </w:rPr>
        <w:t xml:space="preserve"> לאישום, אלא שהייתה מסכת </w:t>
      </w:r>
      <w:r w:rsidRPr="00424BFC">
        <w:rPr>
          <w:rFonts w:ascii="David" w:hAnsi="David" w:cs="David"/>
          <w:b/>
          <w:bCs/>
          <w:sz w:val="24"/>
          <w:szCs w:val="24"/>
          <w:rtl/>
        </w:rPr>
        <w:t>ראיות לכאורה</w:t>
      </w:r>
      <w:r w:rsidRPr="00E7101E">
        <w:rPr>
          <w:rFonts w:ascii="David" w:hAnsi="David" w:cs="David"/>
          <w:sz w:val="24"/>
          <w:szCs w:val="24"/>
          <w:rtl/>
        </w:rPr>
        <w:t xml:space="preserve"> שביססה </w:t>
      </w:r>
      <w:r w:rsidRPr="00424BFC">
        <w:rPr>
          <w:rFonts w:ascii="David" w:hAnsi="David" w:cs="David"/>
          <w:b/>
          <w:bCs/>
          <w:sz w:val="24"/>
          <w:szCs w:val="24"/>
          <w:rtl/>
        </w:rPr>
        <w:t>יסוד סביר להרשעה</w:t>
      </w:r>
      <w:r w:rsidRPr="00E7101E">
        <w:rPr>
          <w:rFonts w:ascii="David" w:hAnsi="David" w:cs="David"/>
          <w:sz w:val="24"/>
          <w:szCs w:val="24"/>
          <w:rtl/>
        </w:rPr>
        <w:t xml:space="preserve"> ובהתאם לכך הוגש כתב האישום, ואף בית משפט מחוזי</w:t>
      </w:r>
      <w:r w:rsidR="0002503F" w:rsidRPr="00E7101E">
        <w:rPr>
          <w:rFonts w:ascii="David" w:hAnsi="David" w:cs="David" w:hint="cs"/>
          <w:sz w:val="24"/>
          <w:szCs w:val="24"/>
          <w:rtl/>
        </w:rPr>
        <w:t xml:space="preserve"> בדעת רוב</w:t>
      </w:r>
      <w:r w:rsidR="0002503F" w:rsidRPr="00E7101E">
        <w:rPr>
          <w:rFonts w:ascii="David" w:hAnsi="David" w:cs="David"/>
          <w:sz w:val="24"/>
          <w:szCs w:val="24"/>
          <w:rtl/>
        </w:rPr>
        <w:t xml:space="preserve"> הרשיע בפועל את התובע</w:t>
      </w:r>
      <w:r w:rsidRPr="00E7101E">
        <w:rPr>
          <w:rFonts w:ascii="David" w:hAnsi="David" w:cs="David"/>
          <w:sz w:val="24"/>
          <w:szCs w:val="24"/>
          <w:rtl/>
        </w:rPr>
        <w:t xml:space="preserve"> </w:t>
      </w:r>
      <w:r w:rsidR="0002503F" w:rsidRPr="00E7101E">
        <w:rPr>
          <w:rFonts w:ascii="David" w:hAnsi="David" w:cs="David" w:hint="cs"/>
          <w:sz w:val="24"/>
          <w:szCs w:val="24"/>
          <w:rtl/>
        </w:rPr>
        <w:t xml:space="preserve">באישומים 4-6 </w:t>
      </w:r>
      <w:r w:rsidRPr="00E7101E">
        <w:rPr>
          <w:rFonts w:ascii="David" w:hAnsi="David" w:cs="David"/>
          <w:sz w:val="24"/>
          <w:szCs w:val="24"/>
          <w:rtl/>
        </w:rPr>
        <w:t>בשבתו כערכאה דיונית.</w:t>
      </w:r>
    </w:p>
    <w:p w:rsidR="00B16745" w:rsidRPr="00E7101E" w:rsidRDefault="00B16745" w:rsidP="00424BFC">
      <w:pPr>
        <w:keepLines/>
        <w:numPr>
          <w:ilvl w:val="1"/>
          <w:numId w:val="21"/>
        </w:numPr>
        <w:tabs>
          <w:tab w:val="clear" w:pos="1440"/>
          <w:tab w:val="num" w:pos="1241"/>
        </w:tabs>
        <w:spacing w:line="360" w:lineRule="auto"/>
        <w:ind w:left="1241" w:hanging="567"/>
        <w:jc w:val="both"/>
        <w:rPr>
          <w:rFonts w:ascii="David" w:hAnsi="David" w:cs="David"/>
          <w:sz w:val="24"/>
          <w:szCs w:val="24"/>
        </w:rPr>
      </w:pPr>
      <w:r w:rsidRPr="00E7101E">
        <w:rPr>
          <w:rFonts w:ascii="David" w:hAnsi="David" w:cs="David"/>
          <w:sz w:val="24"/>
          <w:szCs w:val="24"/>
          <w:rtl/>
        </w:rPr>
        <w:t>כאמור לעיל, התיק נוהל בשיקול דעת, במיומנות ו</w:t>
      </w:r>
      <w:r w:rsidR="0002503F" w:rsidRPr="00E7101E">
        <w:rPr>
          <w:rFonts w:ascii="David" w:hAnsi="David" w:cs="David"/>
          <w:sz w:val="24"/>
          <w:szCs w:val="24"/>
          <w:rtl/>
        </w:rPr>
        <w:t>במקצועיות, ודין כל טענות התובע</w:t>
      </w:r>
      <w:r w:rsidRPr="00E7101E">
        <w:rPr>
          <w:rFonts w:ascii="David" w:hAnsi="David" w:cs="David"/>
          <w:sz w:val="24"/>
          <w:szCs w:val="24"/>
          <w:rtl/>
        </w:rPr>
        <w:t xml:space="preserve"> להידחות.</w:t>
      </w:r>
    </w:p>
    <w:p w:rsidR="00CF43D9" w:rsidRPr="00424BFC" w:rsidRDefault="00B16745" w:rsidP="00424BFC">
      <w:pPr>
        <w:keepLines/>
        <w:numPr>
          <w:ilvl w:val="1"/>
          <w:numId w:val="21"/>
        </w:numPr>
        <w:tabs>
          <w:tab w:val="clear" w:pos="1440"/>
          <w:tab w:val="num" w:pos="1241"/>
        </w:tabs>
        <w:spacing w:line="360" w:lineRule="auto"/>
        <w:ind w:left="1241" w:hanging="567"/>
        <w:jc w:val="both"/>
        <w:rPr>
          <w:rFonts w:ascii="David" w:hAnsi="David" w:cs="David"/>
          <w:sz w:val="24"/>
          <w:szCs w:val="24"/>
        </w:rPr>
      </w:pPr>
      <w:r w:rsidRPr="00424BFC">
        <w:rPr>
          <w:rFonts w:ascii="David" w:hAnsi="David" w:cs="David"/>
          <w:sz w:val="24"/>
          <w:szCs w:val="24"/>
          <w:rtl/>
        </w:rPr>
        <w:t>הנתבעת מוסיפה וטוענת כי לא הייתה שום נקודת מוצא ש</w:t>
      </w:r>
      <w:r w:rsidR="0002503F" w:rsidRPr="00424BFC">
        <w:rPr>
          <w:rFonts w:ascii="David" w:hAnsi="David" w:cs="David" w:hint="cs"/>
          <w:sz w:val="24"/>
          <w:szCs w:val="24"/>
          <w:rtl/>
        </w:rPr>
        <w:t>הנתבעת הלכה שבי אחרי דבריו של רמזי בלבד. לעמדת הנתבעת, גרסתו של רמזי מצאה תימוכין</w:t>
      </w:r>
      <w:r w:rsidRPr="00424BFC">
        <w:rPr>
          <w:rFonts w:ascii="David" w:hAnsi="David" w:cs="David"/>
          <w:sz w:val="24"/>
          <w:szCs w:val="24"/>
          <w:rtl/>
        </w:rPr>
        <w:t xml:space="preserve"> הן על ידי ראיות חיצוניות ואובייקטיביות והן על ידי המעורבים בפרשה עצמם.</w:t>
      </w:r>
    </w:p>
    <w:p w:rsidR="002360EA" w:rsidRPr="00E7101E" w:rsidRDefault="002360EA" w:rsidP="002360EA">
      <w:pPr>
        <w:keepLines/>
        <w:numPr>
          <w:ilvl w:val="0"/>
          <w:numId w:val="21"/>
        </w:numPr>
        <w:tabs>
          <w:tab w:val="num" w:pos="29"/>
        </w:tabs>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לחלופין ובכפוף לנטען בכתב ההגנה, טוענת הנתבעת מבלי לפגוע בטענותיה כי </w:t>
      </w:r>
      <w:commentRangeStart w:id="35"/>
      <w:r w:rsidRPr="00E7101E">
        <w:rPr>
          <w:rFonts w:ascii="David" w:hAnsi="David" w:cs="David" w:hint="cs"/>
          <w:sz w:val="24"/>
          <w:szCs w:val="24"/>
          <w:rtl/>
        </w:rPr>
        <w:t>הנזקים הנטענים והמוכחשים של התובע</w:t>
      </w:r>
      <w:r w:rsidRPr="00E7101E">
        <w:rPr>
          <w:rFonts w:ascii="David" w:hAnsi="David" w:cs="David"/>
          <w:sz w:val="24"/>
          <w:szCs w:val="24"/>
          <w:rtl/>
        </w:rPr>
        <w:t xml:space="preserve"> </w:t>
      </w:r>
      <w:r w:rsidRPr="00E7101E">
        <w:rPr>
          <w:rFonts w:ascii="David" w:hAnsi="David" w:cs="David" w:hint="cs"/>
          <w:sz w:val="24"/>
          <w:szCs w:val="24"/>
          <w:rtl/>
        </w:rPr>
        <w:t xml:space="preserve">הם </w:t>
      </w:r>
      <w:r w:rsidRPr="00E7101E">
        <w:rPr>
          <w:rFonts w:ascii="David" w:hAnsi="David" w:cs="David"/>
          <w:sz w:val="24"/>
          <w:szCs w:val="24"/>
          <w:rtl/>
        </w:rPr>
        <w:t xml:space="preserve">כתוצאה </w:t>
      </w:r>
      <w:r w:rsidRPr="00E7101E">
        <w:rPr>
          <w:rFonts w:ascii="David" w:hAnsi="David" w:cs="David" w:hint="cs"/>
          <w:sz w:val="24"/>
          <w:szCs w:val="24"/>
          <w:rtl/>
        </w:rPr>
        <w:t xml:space="preserve">ממעשיו הפליליים </w:t>
      </w:r>
      <w:commentRangeEnd w:id="35"/>
      <w:r w:rsidR="00303F62">
        <w:rPr>
          <w:rStyle w:val="a8"/>
          <w:rFonts w:cs="David"/>
          <w:rtl/>
        </w:rPr>
        <w:commentReference w:id="35"/>
      </w:r>
      <w:r w:rsidRPr="00E7101E">
        <w:rPr>
          <w:rFonts w:ascii="David" w:hAnsi="David" w:cs="David" w:hint="cs"/>
          <w:sz w:val="24"/>
          <w:szCs w:val="24"/>
          <w:rtl/>
        </w:rPr>
        <w:t xml:space="preserve">בהם הורשע בהתאם להודאתו ו/או </w:t>
      </w:r>
      <w:r w:rsidRPr="00E7101E">
        <w:rPr>
          <w:rFonts w:ascii="David" w:hAnsi="David" w:cs="David"/>
          <w:sz w:val="24"/>
          <w:szCs w:val="24"/>
          <w:rtl/>
        </w:rPr>
        <w:t>מרשלנות</w:t>
      </w:r>
      <w:r w:rsidRPr="00E7101E">
        <w:rPr>
          <w:rFonts w:ascii="David" w:hAnsi="David" w:cs="David" w:hint="cs"/>
          <w:sz w:val="24"/>
          <w:szCs w:val="24"/>
          <w:rtl/>
        </w:rPr>
        <w:t>ו</w:t>
      </w:r>
      <w:r w:rsidRPr="00E7101E">
        <w:rPr>
          <w:rFonts w:ascii="David" w:hAnsi="David" w:cs="David"/>
          <w:sz w:val="24"/>
          <w:szCs w:val="24"/>
          <w:rtl/>
        </w:rPr>
        <w:t xml:space="preserve"> הבלעדית ו/או הניכרת ו/או התורמת, ו/או מחוסר זהירות</w:t>
      </w:r>
      <w:r w:rsidRPr="00E7101E">
        <w:rPr>
          <w:rFonts w:ascii="David" w:hAnsi="David" w:cs="David" w:hint="cs"/>
          <w:sz w:val="24"/>
          <w:szCs w:val="24"/>
          <w:rtl/>
        </w:rPr>
        <w:t>ו</w:t>
      </w:r>
      <w:r w:rsidRPr="00E7101E">
        <w:rPr>
          <w:rFonts w:ascii="David" w:hAnsi="David" w:cs="David"/>
          <w:sz w:val="24"/>
          <w:szCs w:val="24"/>
          <w:rtl/>
        </w:rPr>
        <w:t xml:space="preserve">, אשר התבטאו, בין היתר, במעשים ו/או במחדלים הבאים: </w:t>
      </w:r>
    </w:p>
    <w:p w:rsidR="002360EA" w:rsidRPr="00E7101E" w:rsidRDefault="002360EA" w:rsidP="0002503F">
      <w:pPr>
        <w:pStyle w:val="af4"/>
        <w:keepLines/>
        <w:numPr>
          <w:ilvl w:val="1"/>
          <w:numId w:val="21"/>
        </w:numPr>
        <w:spacing w:before="120" w:line="360" w:lineRule="auto"/>
        <w:ind w:hanging="625"/>
        <w:jc w:val="both"/>
        <w:rPr>
          <w:rFonts w:ascii="David" w:hAnsi="David" w:cs="David"/>
          <w:sz w:val="24"/>
          <w:szCs w:val="24"/>
          <w:rtl/>
        </w:rPr>
      </w:pPr>
      <w:r w:rsidRPr="00E7101E">
        <w:rPr>
          <w:rFonts w:ascii="David" w:hAnsi="David" w:cs="David"/>
          <w:sz w:val="24"/>
          <w:szCs w:val="24"/>
          <w:rtl/>
        </w:rPr>
        <w:lastRenderedPageBreak/>
        <w:t>לא נהג כפי שאדם זהיר ו/או סביר ו/או בר דעת ו/או תם לב היה נוהג בנסיבות העניין ו/או לא נקט בכל האמצעים שהיה חייב ו/או יכול לנקוט בנסיבות המקרה; ו/או</w:t>
      </w:r>
    </w:p>
    <w:p w:rsidR="002360EA" w:rsidRPr="00E7101E" w:rsidRDefault="002360EA" w:rsidP="0002503F">
      <w:pPr>
        <w:pStyle w:val="af4"/>
        <w:keepLines/>
        <w:numPr>
          <w:ilvl w:val="1"/>
          <w:numId w:val="21"/>
        </w:numPr>
        <w:spacing w:before="120" w:line="360" w:lineRule="auto"/>
        <w:ind w:hanging="625"/>
        <w:jc w:val="both"/>
        <w:rPr>
          <w:rFonts w:ascii="David" w:hAnsi="David" w:cs="David"/>
          <w:sz w:val="24"/>
          <w:szCs w:val="24"/>
        </w:rPr>
      </w:pPr>
      <w:r w:rsidRPr="00E7101E">
        <w:rPr>
          <w:rFonts w:ascii="David" w:hAnsi="David" w:cs="David"/>
          <w:sz w:val="24"/>
          <w:szCs w:val="24"/>
          <w:rtl/>
        </w:rPr>
        <w:t>לא נקטו אמצעי זהירות כנדרש ו/או לא עש</w:t>
      </w:r>
      <w:r w:rsidRPr="00E7101E">
        <w:rPr>
          <w:rFonts w:ascii="David" w:hAnsi="David" w:cs="David" w:hint="cs"/>
          <w:sz w:val="24"/>
          <w:szCs w:val="24"/>
          <w:rtl/>
        </w:rPr>
        <w:t>ה</w:t>
      </w:r>
      <w:r w:rsidRPr="00E7101E">
        <w:rPr>
          <w:rFonts w:ascii="David" w:hAnsi="David" w:cs="David"/>
          <w:sz w:val="24"/>
          <w:szCs w:val="24"/>
          <w:rtl/>
        </w:rPr>
        <w:t xml:space="preserve"> את כל ש</w:t>
      </w:r>
      <w:r w:rsidRPr="00E7101E">
        <w:rPr>
          <w:rFonts w:ascii="David" w:hAnsi="David" w:cs="David" w:hint="cs"/>
          <w:sz w:val="24"/>
          <w:szCs w:val="24"/>
          <w:rtl/>
        </w:rPr>
        <w:t>ב</w:t>
      </w:r>
      <w:r w:rsidRPr="00E7101E">
        <w:rPr>
          <w:rFonts w:ascii="David" w:hAnsi="David" w:cs="David"/>
          <w:sz w:val="24"/>
          <w:szCs w:val="24"/>
          <w:rtl/>
        </w:rPr>
        <w:t>יכול</w:t>
      </w:r>
      <w:r w:rsidRPr="00E7101E">
        <w:rPr>
          <w:rFonts w:ascii="David" w:hAnsi="David" w:cs="David" w:hint="cs"/>
          <w:sz w:val="24"/>
          <w:szCs w:val="24"/>
          <w:rtl/>
        </w:rPr>
        <w:t>תו</w:t>
      </w:r>
      <w:r w:rsidRPr="00E7101E">
        <w:rPr>
          <w:rFonts w:ascii="David" w:hAnsi="David" w:cs="David"/>
          <w:sz w:val="24"/>
          <w:szCs w:val="24"/>
          <w:rtl/>
        </w:rPr>
        <w:t xml:space="preserve"> ו/או חייב ה</w:t>
      </w:r>
      <w:r w:rsidRPr="00E7101E">
        <w:rPr>
          <w:rFonts w:ascii="David" w:hAnsi="David" w:cs="David" w:hint="cs"/>
          <w:sz w:val="24"/>
          <w:szCs w:val="24"/>
          <w:rtl/>
        </w:rPr>
        <w:t xml:space="preserve">וא </w:t>
      </w:r>
      <w:r w:rsidRPr="00E7101E">
        <w:rPr>
          <w:rFonts w:ascii="David" w:hAnsi="David" w:cs="David"/>
          <w:sz w:val="24"/>
          <w:szCs w:val="24"/>
          <w:rtl/>
        </w:rPr>
        <w:t>לעשות למניעת הפגיעה ו/או הנזק הנטענים והמוכחשים;</w:t>
      </w:r>
    </w:p>
    <w:p w:rsidR="0002503F" w:rsidRPr="00E7101E" w:rsidRDefault="0002503F" w:rsidP="0002503F">
      <w:pPr>
        <w:keepLines/>
        <w:numPr>
          <w:ilvl w:val="0"/>
          <w:numId w:val="21"/>
        </w:numPr>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מבלי לפגוע באמור בכתב ההגנה דנא, </w:t>
      </w:r>
      <w:r w:rsidRPr="00E7101E">
        <w:rPr>
          <w:rFonts w:ascii="David" w:hAnsi="David" w:cs="David"/>
          <w:sz w:val="24"/>
          <w:szCs w:val="24"/>
          <w:rtl/>
        </w:rPr>
        <w:t>הנתבעת מוסיפה וטוענת,</w:t>
      </w:r>
      <w:r w:rsidRPr="00E7101E">
        <w:rPr>
          <w:rFonts w:ascii="David" w:hAnsi="David" w:cs="David" w:hint="cs"/>
          <w:sz w:val="24"/>
          <w:szCs w:val="24"/>
          <w:rtl/>
        </w:rPr>
        <w:t xml:space="preserve"> במצטבר ו/או לחילופין ו/או בהשלמה</w:t>
      </w:r>
      <w:r w:rsidRPr="00E7101E">
        <w:rPr>
          <w:rFonts w:ascii="David" w:hAnsi="David" w:cs="David"/>
          <w:sz w:val="24"/>
          <w:szCs w:val="24"/>
          <w:rtl/>
        </w:rPr>
        <w:t xml:space="preserve"> כי:</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פעולות הנתבעת היו תקינות, סבירות וראויות ונועדו לשם קיום החוק, הסדר הציבורי והביטחון;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הנתבעת פעל</w:t>
      </w:r>
      <w:r w:rsidRPr="00E7101E">
        <w:rPr>
          <w:rFonts w:ascii="David" w:hAnsi="David" w:cs="David" w:hint="cs"/>
          <w:sz w:val="24"/>
          <w:szCs w:val="24"/>
          <w:rtl/>
        </w:rPr>
        <w:t>ה</w:t>
      </w:r>
      <w:r w:rsidRPr="00E7101E">
        <w:rPr>
          <w:rFonts w:ascii="David" w:hAnsi="David" w:cs="David"/>
          <w:sz w:val="24"/>
          <w:szCs w:val="24"/>
          <w:rtl/>
        </w:rPr>
        <w:t xml:space="preserve"> בזהירות, בשיקול דעת, במידת הסבירות הראויה תוך נקיטת האמצעים הנדרשים ובאופן מיומן על ידי בעלי תפקיד מיומנים;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לנתבעת היה חשש אמיתי ו/או האמינה באופן סביר כי התובע ביצע את המעשים שיוחסו ל</w:t>
      </w:r>
      <w:r w:rsidRPr="00E7101E">
        <w:rPr>
          <w:rFonts w:ascii="David" w:hAnsi="David" w:cs="David" w:hint="cs"/>
          <w:sz w:val="24"/>
          <w:szCs w:val="24"/>
          <w:rtl/>
        </w:rPr>
        <w:t>ו</w:t>
      </w:r>
      <w:r w:rsidRPr="00E7101E">
        <w:rPr>
          <w:rFonts w:ascii="David" w:hAnsi="David" w:cs="David"/>
          <w:sz w:val="24"/>
          <w:szCs w:val="24"/>
          <w:rtl/>
        </w:rPr>
        <w:t>;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הנתבעת הפעילה שיקול דעת באורח סביר, מקובל, מיומן ומקצועי ונסמכה על שיקולים שבדין ובפסיקה, תוך הפעלת שיקול דעת סביר וזהיר וכפי שרשות סבירה וזהירה הייתה מפעילה,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פעולות הנתבעת ו/או פעולות מי מטעמה נעשו בתחום סמכותן כדין בתחום ההרשאה החוקית ותוך אי חריגה מן החוק, הדין, ההוראות והנהלים ו/או בתום לב בסוברן שהן פועלות בתחום סמכותן כדין;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פעולות הנתבעת לא חרגו ממידת הנחיצות הסבירה לאותן מטרות והיחס בין הנזק שנגרם, אם בכלל, ובין הנזק שביקשו למנוע היה סביר;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הנזקים הנטענים, אם נגרמו ו/או החמירו, היה זה עקב נסיבות שאינן נעוצות בנתבעת ו/או שאינה אחראית בגינם ו/או קשורים בבית המשפט ובהחלטותיו;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הנתבעת לא התרשלה במעשה ו/או במחדל, לא עצמה עיניים, ולא הפרה כל חובה שבדין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המעשים ו/או המחדלים הנטענים והמוכחשים של הנתבעת במהלך ניהול התיק הפלילי נעשו תוך שיקול דעת תקין וראוי, לחלופין אין המעשים ו/או המחדלים המיוחסים לנתבעת עולים כדי רשלנות;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אם נפגע התובע, דבר המוכחש כשלעצמו, הרי שנפגע עקב מעשה אסור ו/או בלתי חוקי של</w:t>
      </w:r>
      <w:r w:rsidRPr="00E7101E">
        <w:rPr>
          <w:rFonts w:ascii="David" w:hAnsi="David" w:cs="David" w:hint="cs"/>
          <w:sz w:val="24"/>
          <w:szCs w:val="24"/>
          <w:rtl/>
        </w:rPr>
        <w:t>ו</w:t>
      </w:r>
      <w:r w:rsidRPr="00E7101E">
        <w:rPr>
          <w:rFonts w:ascii="David" w:hAnsi="David" w:cs="David"/>
          <w:sz w:val="24"/>
          <w:szCs w:val="24"/>
          <w:rtl/>
        </w:rPr>
        <w:t>;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אשמם (המוכחש) של הנתבעת ו/או של מי מטעמם נגרם עקב התנהגות התובע ו/או אחרים;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המעשים / המחדלים ו/או הנזקים הנטענים בכתב התביעה (מוכחשים), היו בלתי צפויים ו/או בלתי נמנעים בנסיבות העניין ולנתבעת לא הייתה שליטה לגביהם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מעשים / מחדלים של אחרים, שהנתבעת אינה נושאות אחריות בגינם הם שגרמו ו/או החמירו את הנזקים הנטענים אם היו כאלה וכי הדבר מנתק את הקשר הסיבתי בין כל מעשה ו/או מחדל של הנתבעת ו/או מי מטעמה אם נעשו לבין הנזקים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הנזקים הנטענים, אם נגרמו ו/או החמירו, היה זה עקב סיבות שאינם נעוצות בנתבעת, ו/או שאינם אחראית להם ו/או;</w:t>
      </w:r>
    </w:p>
    <w:p w:rsidR="002360EA"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Pr>
      </w:pPr>
      <w:r w:rsidRPr="00E7101E">
        <w:rPr>
          <w:rFonts w:ascii="David" w:hAnsi="David" w:cs="David"/>
          <w:sz w:val="24"/>
          <w:szCs w:val="24"/>
          <w:rtl/>
        </w:rPr>
        <w:t xml:space="preserve">הנתבעת טוענת, </w:t>
      </w:r>
      <w:r w:rsidR="0002503F" w:rsidRPr="00E7101E">
        <w:rPr>
          <w:rFonts w:ascii="David" w:hAnsi="David" w:cs="David" w:hint="cs"/>
          <w:sz w:val="24"/>
          <w:szCs w:val="24"/>
          <w:rtl/>
        </w:rPr>
        <w:t>כי</w:t>
      </w:r>
      <w:r w:rsidR="0002503F" w:rsidRPr="00E7101E">
        <w:rPr>
          <w:rFonts w:ascii="David" w:hAnsi="David" w:cs="David"/>
          <w:sz w:val="24"/>
          <w:szCs w:val="24"/>
          <w:rtl/>
        </w:rPr>
        <w:t xml:space="preserve"> </w:t>
      </w:r>
      <w:r w:rsidRPr="00E7101E">
        <w:rPr>
          <w:rFonts w:ascii="David" w:hAnsi="David" w:cs="David"/>
          <w:sz w:val="24"/>
          <w:szCs w:val="24"/>
          <w:rtl/>
        </w:rPr>
        <w:t>במקרה זה חלים הוראות סעיף 64 (2) לפקודת הנזיקין (נוסח חדש) וכל ד</w:t>
      </w:r>
      <w:r w:rsidR="0002503F" w:rsidRPr="00E7101E">
        <w:rPr>
          <w:rFonts w:ascii="David" w:hAnsi="David" w:cs="David"/>
          <w:sz w:val="24"/>
          <w:szCs w:val="24"/>
          <w:rtl/>
        </w:rPr>
        <w:t>ין אחר אשר לפיו אין לראות במעשי</w:t>
      </w:r>
      <w:r w:rsidRPr="00E7101E">
        <w:rPr>
          <w:rFonts w:ascii="David" w:hAnsi="David" w:cs="David"/>
          <w:sz w:val="24"/>
          <w:szCs w:val="24"/>
          <w:rtl/>
        </w:rPr>
        <w:t xml:space="preserve"> הנתבעת כל אשם.</w:t>
      </w:r>
    </w:p>
    <w:p w:rsidR="00CF43D9" w:rsidRPr="00E7101E" w:rsidRDefault="002360EA" w:rsidP="0002503F">
      <w:pPr>
        <w:keepLines/>
        <w:numPr>
          <w:ilvl w:val="1"/>
          <w:numId w:val="21"/>
        </w:numPr>
        <w:tabs>
          <w:tab w:val="clear" w:pos="1440"/>
        </w:tabs>
        <w:spacing w:before="120" w:line="360" w:lineRule="auto"/>
        <w:ind w:hanging="766"/>
        <w:jc w:val="both"/>
        <w:rPr>
          <w:rFonts w:ascii="David" w:hAnsi="David" w:cs="David"/>
          <w:sz w:val="24"/>
          <w:szCs w:val="24"/>
          <w:rtl/>
        </w:rPr>
      </w:pPr>
      <w:r w:rsidRPr="00E7101E">
        <w:rPr>
          <w:rFonts w:ascii="David" w:hAnsi="David" w:cs="David"/>
          <w:sz w:val="24"/>
          <w:szCs w:val="24"/>
          <w:rtl/>
        </w:rPr>
        <w:lastRenderedPageBreak/>
        <w:t>מבלי לפגוע בכלליות ההכחשה מוסיפה הנתבעת וטוענת כי ההליכים כנגד התובע התנהלו במקצועיות תוך רגישות לזכויותי</w:t>
      </w:r>
      <w:r w:rsidRPr="00E7101E">
        <w:rPr>
          <w:rFonts w:ascii="David" w:hAnsi="David" w:cs="David" w:hint="cs"/>
          <w:sz w:val="24"/>
          <w:szCs w:val="24"/>
          <w:rtl/>
        </w:rPr>
        <w:t>ו</w:t>
      </w:r>
      <w:r w:rsidRPr="00E7101E">
        <w:rPr>
          <w:rFonts w:ascii="David" w:hAnsi="David" w:cs="David"/>
          <w:sz w:val="24"/>
          <w:szCs w:val="24"/>
          <w:rtl/>
        </w:rPr>
        <w:t xml:space="preserve"> ולחירות</w:t>
      </w:r>
      <w:r w:rsidRPr="00E7101E">
        <w:rPr>
          <w:rFonts w:ascii="David" w:hAnsi="David" w:cs="David" w:hint="cs"/>
          <w:sz w:val="24"/>
          <w:szCs w:val="24"/>
          <w:rtl/>
        </w:rPr>
        <w:t>ו</w:t>
      </w:r>
      <w:r w:rsidRPr="00E7101E">
        <w:rPr>
          <w:rFonts w:ascii="David" w:hAnsi="David" w:cs="David"/>
          <w:sz w:val="24"/>
          <w:szCs w:val="24"/>
          <w:rtl/>
        </w:rPr>
        <w:t>.</w:t>
      </w:r>
    </w:p>
    <w:p w:rsidR="00712AC1" w:rsidRPr="00E7101E" w:rsidRDefault="00CF43D9" w:rsidP="00BD708F">
      <w:pPr>
        <w:keepLines/>
        <w:numPr>
          <w:ilvl w:val="0"/>
          <w:numId w:val="21"/>
        </w:numPr>
        <w:tabs>
          <w:tab w:val="num" w:pos="29"/>
        </w:tabs>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מוכחש האמור והנטען </w:t>
      </w:r>
      <w:commentRangeStart w:id="36"/>
      <w:r w:rsidRPr="00E7101E">
        <w:rPr>
          <w:rFonts w:ascii="David" w:hAnsi="David" w:cs="David"/>
          <w:sz w:val="24"/>
          <w:szCs w:val="24"/>
          <w:rtl/>
        </w:rPr>
        <w:t xml:space="preserve">בסעיפים </w:t>
      </w:r>
      <w:r w:rsidRPr="00E7101E">
        <w:rPr>
          <w:rFonts w:ascii="David" w:hAnsi="David" w:cs="David" w:hint="cs"/>
          <w:sz w:val="24"/>
          <w:szCs w:val="24"/>
          <w:rtl/>
        </w:rPr>
        <w:t>66-68</w:t>
      </w:r>
      <w:r w:rsidRPr="00E7101E">
        <w:rPr>
          <w:rFonts w:ascii="David" w:hAnsi="David" w:cs="David"/>
          <w:sz w:val="24"/>
          <w:szCs w:val="24"/>
          <w:rtl/>
        </w:rPr>
        <w:t xml:space="preserve"> </w:t>
      </w:r>
      <w:commentRangeEnd w:id="36"/>
      <w:r w:rsidR="001C3A58">
        <w:rPr>
          <w:rStyle w:val="a8"/>
          <w:rFonts w:cs="David"/>
          <w:rtl/>
        </w:rPr>
        <w:commentReference w:id="36"/>
      </w:r>
      <w:r w:rsidRPr="00E7101E">
        <w:rPr>
          <w:rFonts w:ascii="David" w:hAnsi="David" w:cs="David"/>
          <w:sz w:val="24"/>
          <w:szCs w:val="24"/>
          <w:rtl/>
        </w:rPr>
        <w:t>לכתב התביעה, על כל פרטיהם</w:t>
      </w:r>
      <w:r w:rsidRPr="00E7101E">
        <w:rPr>
          <w:rFonts w:ascii="David" w:hAnsi="David" w:cs="David" w:hint="cs"/>
          <w:sz w:val="24"/>
          <w:szCs w:val="24"/>
          <w:rtl/>
        </w:rPr>
        <w:t>.</w:t>
      </w:r>
      <w:r w:rsidR="00712AC1" w:rsidRPr="00E7101E">
        <w:rPr>
          <w:rFonts w:ascii="David" w:hAnsi="David" w:cs="David" w:hint="cs"/>
          <w:sz w:val="24"/>
          <w:szCs w:val="24"/>
          <w:rtl/>
        </w:rPr>
        <w:t xml:space="preserve"> </w:t>
      </w:r>
      <w:r w:rsidR="00712AC1" w:rsidRPr="00E7101E">
        <w:rPr>
          <w:rFonts w:ascii="David" w:hAnsi="David" w:cs="David"/>
          <w:sz w:val="24"/>
          <w:szCs w:val="24"/>
          <w:rtl/>
        </w:rPr>
        <w:t>הנתבעת מוסיפה וטוענת כי על התובע מוטל נטל ההוכחה והבאת הראיות להוכחת כל טענותיו, בבחינת "המוציא מחברו ועליו הראיה"</w:t>
      </w:r>
      <w:r w:rsidR="00712AC1" w:rsidRPr="00E7101E">
        <w:rPr>
          <w:rFonts w:ascii="David" w:hAnsi="David" w:cs="David" w:hint="cs"/>
          <w:sz w:val="24"/>
          <w:szCs w:val="24"/>
          <w:rtl/>
        </w:rPr>
        <w:t>.</w:t>
      </w:r>
    </w:p>
    <w:p w:rsidR="00CF43D9" w:rsidRPr="00263D26" w:rsidRDefault="00CF43D9" w:rsidP="00BD708F">
      <w:pPr>
        <w:keepLines/>
        <w:numPr>
          <w:ilvl w:val="0"/>
          <w:numId w:val="21"/>
        </w:numPr>
        <w:tabs>
          <w:tab w:val="num" w:pos="29"/>
        </w:tabs>
        <w:spacing w:before="120" w:line="360" w:lineRule="auto"/>
        <w:ind w:left="714" w:hanging="357"/>
        <w:jc w:val="both"/>
        <w:rPr>
          <w:rFonts w:ascii="David" w:hAnsi="David" w:cs="David"/>
          <w:sz w:val="24"/>
          <w:szCs w:val="24"/>
        </w:rPr>
      </w:pPr>
      <w:r w:rsidRPr="00263D26">
        <w:rPr>
          <w:rFonts w:ascii="David" w:hAnsi="David" w:cs="David" w:hint="cs"/>
          <w:sz w:val="24"/>
          <w:szCs w:val="24"/>
          <w:rtl/>
        </w:rPr>
        <w:t>מוכחש האמור והנטען בסעיפים 69-71 לכתב התביעה, על כל פרטיהם לרבות הנספחים</w:t>
      </w:r>
      <w:r w:rsidR="00263D26" w:rsidRPr="00263D26">
        <w:rPr>
          <w:rFonts w:ascii="David" w:hAnsi="David" w:cs="David" w:hint="cs"/>
          <w:sz w:val="24"/>
          <w:szCs w:val="24"/>
          <w:rtl/>
        </w:rPr>
        <w:t xml:space="preserve"> המאוזכרים בו</w:t>
      </w:r>
      <w:r w:rsidRPr="00263D26">
        <w:rPr>
          <w:rFonts w:ascii="David" w:hAnsi="David" w:cs="David" w:hint="cs"/>
          <w:sz w:val="24"/>
          <w:szCs w:val="24"/>
          <w:rtl/>
        </w:rPr>
        <w:t xml:space="preserve">. </w:t>
      </w:r>
      <w:r w:rsidRPr="00263D26">
        <w:rPr>
          <w:rFonts w:ascii="David" w:hAnsi="David" w:cs="David"/>
          <w:sz w:val="24"/>
          <w:szCs w:val="24"/>
          <w:rtl/>
        </w:rPr>
        <w:t xml:space="preserve">מוכחשים הנזקים הנטענים וכן מוכחש קשר סיבתי עובדתי ו/או משפטי בין </w:t>
      </w:r>
      <w:r w:rsidRPr="00263D26">
        <w:rPr>
          <w:rFonts w:ascii="David" w:hAnsi="David" w:cs="David" w:hint="cs"/>
          <w:sz w:val="24"/>
          <w:szCs w:val="24"/>
          <w:rtl/>
        </w:rPr>
        <w:t>ה</w:t>
      </w:r>
      <w:r w:rsidRPr="00263D26">
        <w:rPr>
          <w:rFonts w:ascii="David" w:hAnsi="David" w:cs="David"/>
          <w:sz w:val="24"/>
          <w:szCs w:val="24"/>
          <w:rtl/>
        </w:rPr>
        <w:t>מעשי</w:t>
      </w:r>
      <w:r w:rsidRPr="00263D26">
        <w:rPr>
          <w:rFonts w:ascii="David" w:hAnsi="David" w:cs="David" w:hint="cs"/>
          <w:sz w:val="24"/>
          <w:szCs w:val="24"/>
          <w:rtl/>
        </w:rPr>
        <w:t xml:space="preserve">ם ו/או המחדלים הנטענים והמוכחשים המיוחסים לנתבעת </w:t>
      </w:r>
      <w:r w:rsidRPr="00263D26">
        <w:rPr>
          <w:rFonts w:ascii="David" w:hAnsi="David" w:cs="David"/>
          <w:sz w:val="24"/>
          <w:szCs w:val="24"/>
          <w:rtl/>
        </w:rPr>
        <w:t>לבין הנזקים הנ"ל.</w:t>
      </w:r>
    </w:p>
    <w:p w:rsidR="00CF43D9" w:rsidRPr="00E7101E" w:rsidRDefault="00CF43D9" w:rsidP="00BD708F">
      <w:pPr>
        <w:keepLines/>
        <w:spacing w:before="120" w:line="360" w:lineRule="auto"/>
        <w:ind w:left="714"/>
        <w:jc w:val="both"/>
        <w:rPr>
          <w:rFonts w:ascii="David" w:hAnsi="David" w:cs="David"/>
          <w:sz w:val="24"/>
          <w:szCs w:val="24"/>
        </w:rPr>
      </w:pPr>
      <w:r w:rsidRPr="00263D26">
        <w:rPr>
          <w:rFonts w:ascii="David" w:hAnsi="David" w:cs="David"/>
          <w:sz w:val="24"/>
          <w:szCs w:val="24"/>
          <w:rtl/>
        </w:rPr>
        <w:t>הנזקים הנטענים, אם היו, נגרמו ו/או החמירו עקב סיבות שאינן נעוצות בנתבעת ו/או שהנתבעת אינה אחראית להן</w:t>
      </w:r>
      <w:r w:rsidR="00263D26" w:rsidRPr="00263D26">
        <w:rPr>
          <w:rFonts w:ascii="David" w:hAnsi="David" w:cs="David" w:hint="cs"/>
          <w:sz w:val="24"/>
          <w:szCs w:val="24"/>
          <w:rtl/>
        </w:rPr>
        <w:t xml:space="preserve"> ו/או מקורן במעשי ו/או מחדלי התובע עצמו</w:t>
      </w:r>
      <w:r w:rsidRPr="00263D26">
        <w:rPr>
          <w:rFonts w:ascii="David" w:hAnsi="David" w:cs="David"/>
          <w:sz w:val="24"/>
          <w:szCs w:val="24"/>
          <w:rtl/>
        </w:rPr>
        <w:t>.</w:t>
      </w:r>
    </w:p>
    <w:p w:rsidR="00CF43D9" w:rsidRPr="00E7101E" w:rsidRDefault="00CF43D9" w:rsidP="00712AC1">
      <w:pPr>
        <w:keepLines/>
        <w:numPr>
          <w:ilvl w:val="0"/>
          <w:numId w:val="21"/>
        </w:numPr>
        <w:tabs>
          <w:tab w:val="num" w:pos="29"/>
        </w:tabs>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בסעיף 72 לכתב התביעה, על כל פרטיו. </w:t>
      </w:r>
      <w:r w:rsidRPr="00E7101E">
        <w:rPr>
          <w:rFonts w:ascii="David" w:hAnsi="David" w:cs="David"/>
          <w:sz w:val="24"/>
          <w:szCs w:val="24"/>
          <w:rtl/>
        </w:rPr>
        <w:t>מבלי לפגוע בכלליות ההכחשה ולמעלה מן הנדרש מוסיפה הנתבעת וטוענת כי כל פרסום, ככל שיוכח, נעשה בהתאם להוראות הדין, גם בהתחשב בכללי פומביות הדיון ופרסומים שנעשו במסגרת הליך משפטי, אם וככל שיוכחו.</w:t>
      </w:r>
    </w:p>
    <w:p w:rsidR="00D93D32" w:rsidRPr="00E7101E" w:rsidRDefault="00D93D32" w:rsidP="00D93D32">
      <w:pPr>
        <w:keepLines/>
        <w:numPr>
          <w:ilvl w:val="0"/>
          <w:numId w:val="21"/>
        </w:numPr>
        <w:tabs>
          <w:tab w:val="num" w:pos="29"/>
        </w:tabs>
        <w:spacing w:before="120" w:line="360" w:lineRule="auto"/>
        <w:ind w:left="714" w:hanging="357"/>
        <w:jc w:val="both"/>
        <w:rPr>
          <w:rFonts w:ascii="David" w:hAnsi="David" w:cs="David"/>
          <w:sz w:val="24"/>
          <w:szCs w:val="24"/>
        </w:rPr>
      </w:pPr>
      <w:r w:rsidRPr="00E7101E">
        <w:rPr>
          <w:rFonts w:ascii="David" w:hAnsi="David" w:cs="David"/>
          <w:sz w:val="24"/>
          <w:szCs w:val="24"/>
          <w:rtl/>
        </w:rPr>
        <w:t xml:space="preserve">מוכחש האמור והנטען בסעיפים </w:t>
      </w:r>
      <w:r w:rsidRPr="00E7101E">
        <w:rPr>
          <w:rFonts w:ascii="David" w:hAnsi="David" w:cs="David" w:hint="cs"/>
          <w:sz w:val="24"/>
          <w:szCs w:val="24"/>
          <w:rtl/>
        </w:rPr>
        <w:t>73-74</w:t>
      </w:r>
      <w:r w:rsidRPr="00E7101E">
        <w:rPr>
          <w:rFonts w:ascii="David" w:hAnsi="David" w:cs="David"/>
          <w:sz w:val="24"/>
          <w:szCs w:val="24"/>
          <w:rtl/>
        </w:rPr>
        <w:t xml:space="preserve"> לכתב </w:t>
      </w:r>
      <w:r w:rsidRPr="00E7101E">
        <w:rPr>
          <w:rFonts w:ascii="David" w:hAnsi="David" w:cs="David" w:hint="cs"/>
          <w:sz w:val="24"/>
          <w:szCs w:val="24"/>
          <w:rtl/>
        </w:rPr>
        <w:t>התביעה</w:t>
      </w:r>
      <w:r w:rsidRPr="00E7101E">
        <w:rPr>
          <w:rFonts w:ascii="David" w:hAnsi="David" w:cs="David"/>
          <w:sz w:val="24"/>
          <w:szCs w:val="24"/>
          <w:rtl/>
        </w:rPr>
        <w:t>. מוכחשים שיעור הנזקים, הטיפולים, ההפסדים, ההוצאות, שיעור הנכויות הרפואיות ולבטח התפקודיות, ומוכחש כל קשר סיבתי בינם לבין הנתבעת. מוכחשת קבילות הנספחים בסעיפים אלו ולחילופין מוכחש משקלם. התובע י</w:t>
      </w:r>
      <w:r w:rsidRPr="00E7101E">
        <w:rPr>
          <w:rFonts w:ascii="David" w:hAnsi="David" w:cs="David" w:hint="cs"/>
          <w:sz w:val="24"/>
          <w:szCs w:val="24"/>
          <w:rtl/>
        </w:rPr>
        <w:t>י</w:t>
      </w:r>
      <w:r w:rsidRPr="00E7101E">
        <w:rPr>
          <w:rFonts w:ascii="David" w:hAnsi="David" w:cs="David"/>
          <w:sz w:val="24"/>
          <w:szCs w:val="24"/>
          <w:rtl/>
        </w:rPr>
        <w:t>דרש להגיש כל מסמך בהתאם לדיני הראיות ולכלל הראיה הטובה ביותר.</w:t>
      </w:r>
    </w:p>
    <w:p w:rsidR="00D93D32" w:rsidRPr="00E7101E" w:rsidRDefault="00D93D32" w:rsidP="00D93D32">
      <w:pPr>
        <w:spacing w:before="120"/>
        <w:ind w:left="360" w:firstLine="354"/>
        <w:rPr>
          <w:rFonts w:ascii="David" w:hAnsi="David" w:cs="David"/>
          <w:sz w:val="24"/>
          <w:szCs w:val="24"/>
          <w:rtl/>
        </w:rPr>
      </w:pPr>
      <w:r w:rsidRPr="00E7101E">
        <w:rPr>
          <w:rFonts w:ascii="David" w:hAnsi="David" w:cs="David"/>
          <w:sz w:val="24"/>
          <w:szCs w:val="24"/>
          <w:rtl/>
        </w:rPr>
        <w:t>המדינה מוסיפה וטוענת, כדלהלן:</w:t>
      </w:r>
    </w:p>
    <w:p w:rsidR="00D93D32" w:rsidRPr="00E7101E" w:rsidRDefault="00D93D32" w:rsidP="00D93D32">
      <w:pPr>
        <w:numPr>
          <w:ilvl w:val="1"/>
          <w:numId w:val="21"/>
        </w:numPr>
        <w:tabs>
          <w:tab w:val="num" w:pos="938"/>
        </w:tabs>
        <w:spacing w:before="120" w:line="360" w:lineRule="auto"/>
        <w:jc w:val="both"/>
        <w:rPr>
          <w:rFonts w:ascii="David" w:hAnsi="David" w:cs="David"/>
          <w:sz w:val="24"/>
          <w:szCs w:val="24"/>
        </w:rPr>
      </w:pPr>
      <w:r w:rsidRPr="00E7101E">
        <w:rPr>
          <w:rFonts w:ascii="David" w:hAnsi="David" w:cs="David"/>
          <w:sz w:val="24"/>
          <w:szCs w:val="24"/>
          <w:rtl/>
        </w:rPr>
        <w:t>מוכחש תוכנן, קבילותן וממצאיהן של חוות הדעת שצורפו לכתב התביעה ולחילופין מוכחש משקלן.</w:t>
      </w:r>
    </w:p>
    <w:p w:rsidR="00D93D32" w:rsidRPr="00E7101E" w:rsidRDefault="00D93D32" w:rsidP="00D93D32">
      <w:pPr>
        <w:numPr>
          <w:ilvl w:val="1"/>
          <w:numId w:val="21"/>
        </w:numPr>
        <w:tabs>
          <w:tab w:val="num" w:pos="938"/>
        </w:tabs>
        <w:spacing w:before="120" w:line="360" w:lineRule="auto"/>
        <w:jc w:val="both"/>
        <w:rPr>
          <w:rFonts w:ascii="David" w:hAnsi="David" w:cs="David"/>
          <w:sz w:val="24"/>
          <w:szCs w:val="24"/>
        </w:rPr>
      </w:pPr>
      <w:r w:rsidRPr="00E7101E">
        <w:rPr>
          <w:rFonts w:ascii="David" w:hAnsi="David" w:cs="David"/>
          <w:sz w:val="24"/>
          <w:szCs w:val="24"/>
          <w:rtl/>
        </w:rPr>
        <w:t>היה ויבקש התובע להסתמך על חוות הדעת שצורפו לכתב התביעה ונערכו כדין יידרשו עורכי חוות הדעת להתייצב בבית המשפט לחקירה.</w:t>
      </w:r>
    </w:p>
    <w:p w:rsidR="00D93D32" w:rsidRPr="00E7101E" w:rsidRDefault="00D93D32" w:rsidP="00D93D32">
      <w:pPr>
        <w:numPr>
          <w:ilvl w:val="1"/>
          <w:numId w:val="21"/>
        </w:numPr>
        <w:tabs>
          <w:tab w:val="num" w:pos="938"/>
        </w:tabs>
        <w:spacing w:before="120" w:line="360" w:lineRule="auto"/>
        <w:jc w:val="both"/>
        <w:rPr>
          <w:rFonts w:ascii="David" w:hAnsi="David" w:cs="David"/>
          <w:sz w:val="24"/>
          <w:szCs w:val="24"/>
        </w:rPr>
      </w:pPr>
      <w:r w:rsidRPr="00E7101E">
        <w:rPr>
          <w:rFonts w:ascii="David" w:hAnsi="David" w:cs="David"/>
          <w:sz w:val="24"/>
          <w:szCs w:val="24"/>
          <w:rtl/>
        </w:rPr>
        <w:t>הנתבעת עומדת על זכותה להעמיד את התובע לבדיקה של מומחה רפואי מטעמה והתובע מתבקש לשתף פעולה באורח מלא</w:t>
      </w:r>
      <w:r w:rsidRPr="00E7101E">
        <w:rPr>
          <w:rFonts w:ascii="David" w:hAnsi="David" w:cs="David" w:hint="cs"/>
          <w:sz w:val="24"/>
          <w:szCs w:val="24"/>
          <w:rtl/>
        </w:rPr>
        <w:t>.</w:t>
      </w:r>
    </w:p>
    <w:p w:rsidR="00D93D32" w:rsidRPr="00E7101E" w:rsidRDefault="00D93D32" w:rsidP="00D93D32">
      <w:pPr>
        <w:numPr>
          <w:ilvl w:val="1"/>
          <w:numId w:val="21"/>
        </w:numPr>
        <w:tabs>
          <w:tab w:val="num" w:pos="938"/>
        </w:tabs>
        <w:spacing w:before="120" w:line="360" w:lineRule="auto"/>
        <w:jc w:val="both"/>
        <w:rPr>
          <w:rFonts w:ascii="David" w:hAnsi="David" w:cs="David"/>
          <w:sz w:val="24"/>
          <w:szCs w:val="24"/>
        </w:rPr>
      </w:pPr>
      <w:r w:rsidRPr="00E7101E">
        <w:rPr>
          <w:rFonts w:ascii="David" w:hAnsi="David" w:cs="David"/>
          <w:sz w:val="24"/>
          <w:szCs w:val="24"/>
          <w:rtl/>
        </w:rPr>
        <w:t>מוכחש כי המדינה חבה בנזקי התובע כמפורט לעיל ומוכחש כי קיים קשר סיבתי בין הנזקים הנטענים ובין מעשי או מחדלי מי מטעם המדינה (המוכחשים כשלעצמם).</w:t>
      </w:r>
    </w:p>
    <w:p w:rsidR="00D93D32" w:rsidRPr="00E7101E" w:rsidRDefault="00D93D32" w:rsidP="00D93D32">
      <w:pPr>
        <w:numPr>
          <w:ilvl w:val="1"/>
          <w:numId w:val="21"/>
        </w:numPr>
        <w:tabs>
          <w:tab w:val="num" w:pos="938"/>
        </w:tabs>
        <w:spacing w:before="120" w:line="360" w:lineRule="auto"/>
        <w:jc w:val="both"/>
        <w:rPr>
          <w:rFonts w:ascii="David" w:hAnsi="David" w:cs="David"/>
          <w:sz w:val="24"/>
          <w:szCs w:val="24"/>
        </w:rPr>
      </w:pPr>
      <w:r w:rsidRPr="00E7101E">
        <w:rPr>
          <w:rFonts w:ascii="David" w:hAnsi="David" w:cs="David"/>
          <w:sz w:val="24"/>
          <w:szCs w:val="24"/>
          <w:rtl/>
        </w:rPr>
        <w:t>מוכחש כי לתובע נג</w:t>
      </w:r>
      <w:r w:rsidRPr="00E7101E">
        <w:rPr>
          <w:rFonts w:ascii="David" w:hAnsi="David" w:cs="David" w:hint="cs"/>
          <w:sz w:val="24"/>
          <w:szCs w:val="24"/>
          <w:rtl/>
        </w:rPr>
        <w:t>רמו</w:t>
      </w:r>
      <w:r w:rsidRPr="00E7101E">
        <w:rPr>
          <w:rFonts w:ascii="David" w:hAnsi="David" w:cs="David"/>
          <w:sz w:val="24"/>
          <w:szCs w:val="24"/>
          <w:rtl/>
        </w:rPr>
        <w:t xml:space="preserve"> הנזקים ו/או ההוצאות ו/או ההפסדים המפורטים בשיעורים המפורטים, ומוכחש כל קשר בין הנטען ובין המדינה בנסיבות המקרה.</w:t>
      </w:r>
    </w:p>
    <w:p w:rsidR="00D93D32" w:rsidRPr="00E7101E" w:rsidRDefault="00D93D32" w:rsidP="00D93D32">
      <w:pPr>
        <w:numPr>
          <w:ilvl w:val="1"/>
          <w:numId w:val="21"/>
        </w:numPr>
        <w:tabs>
          <w:tab w:val="num" w:pos="938"/>
        </w:tabs>
        <w:spacing w:before="120" w:line="360" w:lineRule="auto"/>
        <w:jc w:val="both"/>
        <w:rPr>
          <w:rFonts w:ascii="David" w:hAnsi="David" w:cs="David"/>
          <w:sz w:val="24"/>
          <w:szCs w:val="24"/>
        </w:rPr>
      </w:pPr>
      <w:r w:rsidRPr="00E7101E">
        <w:rPr>
          <w:rFonts w:ascii="David" w:hAnsi="David" w:cs="David"/>
          <w:sz w:val="24"/>
          <w:szCs w:val="24"/>
          <w:rtl/>
        </w:rPr>
        <w:t>אין כל קשר סיבתי בין האירוע לבין נזקי התובע כולם או מקצתם לבין מעשי ו/או מחדלי מי מטעם הנתבעת</w:t>
      </w:r>
      <w:r w:rsidRPr="00E7101E">
        <w:rPr>
          <w:rFonts w:ascii="David" w:hAnsi="David" w:cs="David" w:hint="cs"/>
          <w:sz w:val="24"/>
          <w:szCs w:val="24"/>
          <w:rtl/>
        </w:rPr>
        <w:t xml:space="preserve"> </w:t>
      </w:r>
      <w:r w:rsidRPr="00E7101E">
        <w:rPr>
          <w:rFonts w:ascii="David" w:hAnsi="David" w:cs="David"/>
          <w:sz w:val="24"/>
          <w:szCs w:val="24"/>
          <w:rtl/>
        </w:rPr>
        <w:t>(המוכחשים ל</w:t>
      </w:r>
      <w:r w:rsidRPr="00E7101E">
        <w:rPr>
          <w:rFonts w:ascii="David" w:hAnsi="David" w:cs="David" w:hint="cs"/>
          <w:sz w:val="24"/>
          <w:szCs w:val="24"/>
          <w:rtl/>
        </w:rPr>
        <w:t>כ</w:t>
      </w:r>
      <w:r w:rsidRPr="00E7101E">
        <w:rPr>
          <w:rFonts w:ascii="David" w:hAnsi="David" w:cs="David"/>
          <w:sz w:val="24"/>
          <w:szCs w:val="24"/>
          <w:rtl/>
        </w:rPr>
        <w:t>שעצמם), ולחילופין הקשר הסיבתי רחוק מכדי להקים עילת תביעה בגינו.</w:t>
      </w:r>
    </w:p>
    <w:p w:rsidR="00D93D32" w:rsidRPr="00E7101E" w:rsidRDefault="00D93D32" w:rsidP="00D93D32">
      <w:pPr>
        <w:numPr>
          <w:ilvl w:val="1"/>
          <w:numId w:val="21"/>
        </w:numPr>
        <w:tabs>
          <w:tab w:val="num" w:pos="938"/>
        </w:tabs>
        <w:spacing w:before="120" w:line="360" w:lineRule="auto"/>
        <w:jc w:val="both"/>
        <w:rPr>
          <w:rFonts w:ascii="David" w:hAnsi="David" w:cs="David"/>
          <w:sz w:val="24"/>
          <w:szCs w:val="24"/>
        </w:rPr>
      </w:pPr>
      <w:r w:rsidRPr="00E7101E">
        <w:rPr>
          <w:rFonts w:ascii="David" w:hAnsi="David" w:cs="David"/>
          <w:sz w:val="24"/>
          <w:szCs w:val="24"/>
          <w:rtl/>
        </w:rPr>
        <w:t>מוכחשת הפגיעה הנטענת בתפקוד ו/או בכושר ההשתכרות ו/או פגיעה במהלך ההתפתחות הכלכלית המסתברת ו/או כל פגיעה אחרת. מוכחשות הבעיות ו/או הליקויים ו/או הנכויות  ו/או הקשיים. מוכחשות הפגיעות ומוכחשים ההפסדים וההוצאות. כן מוכ</w:t>
      </w:r>
      <w:r w:rsidRPr="00E7101E">
        <w:rPr>
          <w:rFonts w:ascii="David" w:hAnsi="David" w:cs="David" w:hint="cs"/>
          <w:sz w:val="24"/>
          <w:szCs w:val="24"/>
          <w:rtl/>
        </w:rPr>
        <w:t>ח</w:t>
      </w:r>
      <w:r w:rsidRPr="00E7101E">
        <w:rPr>
          <w:rFonts w:ascii="David" w:hAnsi="David" w:cs="David"/>
          <w:sz w:val="24"/>
          <w:szCs w:val="24"/>
          <w:rtl/>
        </w:rPr>
        <w:t>ש הקשר הסיבתי בין הנטען ובין המדינה.</w:t>
      </w:r>
    </w:p>
    <w:p w:rsidR="00AB3FDD" w:rsidRPr="00E7101E" w:rsidRDefault="00CF43D9" w:rsidP="002360EA">
      <w:pPr>
        <w:keepLines/>
        <w:numPr>
          <w:ilvl w:val="0"/>
          <w:numId w:val="21"/>
        </w:numPr>
        <w:tabs>
          <w:tab w:val="num" w:pos="29"/>
        </w:tabs>
        <w:spacing w:before="120" w:line="360" w:lineRule="auto"/>
        <w:ind w:left="957" w:hanging="600"/>
        <w:jc w:val="both"/>
        <w:rPr>
          <w:rFonts w:ascii="David" w:hAnsi="David" w:cs="David"/>
          <w:sz w:val="24"/>
          <w:szCs w:val="24"/>
          <w:rtl/>
        </w:rPr>
      </w:pPr>
      <w:r w:rsidRPr="00E7101E">
        <w:rPr>
          <w:rFonts w:ascii="David" w:hAnsi="David" w:cs="David" w:hint="cs"/>
          <w:sz w:val="24"/>
          <w:szCs w:val="24"/>
          <w:rtl/>
        </w:rPr>
        <w:lastRenderedPageBreak/>
        <w:t xml:space="preserve">מוכחש האמור והנטען </w:t>
      </w:r>
      <w:commentRangeStart w:id="37"/>
      <w:r w:rsidRPr="00E7101E">
        <w:rPr>
          <w:rFonts w:ascii="David" w:hAnsi="David" w:cs="David" w:hint="cs"/>
          <w:sz w:val="24"/>
          <w:szCs w:val="24"/>
          <w:rtl/>
        </w:rPr>
        <w:t>בסעיפים 75-</w:t>
      </w:r>
      <w:r w:rsidR="00AB3FDD" w:rsidRPr="00E7101E">
        <w:rPr>
          <w:rFonts w:ascii="David" w:hAnsi="David" w:cs="David" w:hint="cs"/>
          <w:sz w:val="24"/>
          <w:szCs w:val="24"/>
          <w:rtl/>
        </w:rPr>
        <w:t>79</w:t>
      </w:r>
      <w:commentRangeEnd w:id="37"/>
      <w:r w:rsidR="004403F4">
        <w:rPr>
          <w:rStyle w:val="a8"/>
          <w:rFonts w:cs="David"/>
          <w:rtl/>
        </w:rPr>
        <w:commentReference w:id="37"/>
      </w:r>
      <w:r w:rsidRPr="00E7101E">
        <w:rPr>
          <w:rFonts w:ascii="David" w:hAnsi="David" w:cs="David" w:hint="cs"/>
          <w:sz w:val="24"/>
          <w:szCs w:val="24"/>
          <w:rtl/>
        </w:rPr>
        <w:t xml:space="preserve"> לכתב התביעה, על כל </w:t>
      </w:r>
      <w:r w:rsidR="00AB3FDD" w:rsidRPr="00E7101E">
        <w:rPr>
          <w:rFonts w:ascii="David" w:hAnsi="David" w:cs="David" w:hint="cs"/>
          <w:sz w:val="24"/>
          <w:szCs w:val="24"/>
          <w:rtl/>
        </w:rPr>
        <w:t xml:space="preserve">ראשי הנזק המפורטים בהם ועל כל נספחיהם. </w:t>
      </w:r>
      <w:r w:rsidR="00AB3FDD" w:rsidRPr="00E7101E">
        <w:rPr>
          <w:rFonts w:ascii="David" w:hAnsi="David" w:cs="David"/>
          <w:sz w:val="24"/>
          <w:szCs w:val="24"/>
          <w:rtl/>
        </w:rPr>
        <w:t>הנתבעת טוענת כי אינה חייבת מאומה לתובע ומוסיפה כדלקמן:</w:t>
      </w:r>
    </w:p>
    <w:p w:rsidR="00AB3FDD" w:rsidRPr="00E7101E" w:rsidRDefault="00AB3FDD" w:rsidP="00424BFC">
      <w:pPr>
        <w:widowControl w:val="0"/>
        <w:tabs>
          <w:tab w:val="left" w:pos="957"/>
          <w:tab w:val="left" w:pos="1440"/>
          <w:tab w:val="left" w:pos="2160"/>
        </w:tabs>
        <w:autoSpaceDE w:val="0"/>
        <w:autoSpaceDN w:val="0"/>
        <w:adjustRightInd w:val="0"/>
        <w:spacing w:line="360" w:lineRule="auto"/>
        <w:ind w:left="1440" w:hanging="1440"/>
        <w:jc w:val="both"/>
        <w:rPr>
          <w:rFonts w:ascii="David" w:hAnsi="David" w:cs="David"/>
          <w:sz w:val="24"/>
          <w:szCs w:val="24"/>
          <w:rtl/>
        </w:rPr>
      </w:pPr>
      <w:r w:rsidRPr="00E7101E">
        <w:rPr>
          <w:rFonts w:ascii="David" w:hAnsi="David" w:cs="David"/>
          <w:sz w:val="24"/>
          <w:szCs w:val="24"/>
          <w:rtl/>
        </w:rPr>
        <w:tab/>
        <w:t>א.</w:t>
      </w:r>
      <w:r w:rsidRPr="00E7101E">
        <w:rPr>
          <w:rFonts w:ascii="David" w:hAnsi="David" w:cs="David"/>
          <w:sz w:val="24"/>
          <w:szCs w:val="24"/>
          <w:rtl/>
        </w:rPr>
        <w:tab/>
        <w:t>מוכחשים כל הסכומים והנזקים המפורטים בכתב התביעה, ומוכחשת דרך חישובם. הנזק הנטען הינו מוגזם ומופרך ומעבר לכל הוצאה סבירה.</w:t>
      </w:r>
    </w:p>
    <w:p w:rsidR="00AB3FDD" w:rsidRPr="00E7101E" w:rsidRDefault="00AB3FDD" w:rsidP="00424BFC">
      <w:pPr>
        <w:widowControl w:val="0"/>
        <w:tabs>
          <w:tab w:val="left" w:pos="957"/>
          <w:tab w:val="left" w:pos="1440"/>
          <w:tab w:val="left" w:pos="2160"/>
        </w:tabs>
        <w:autoSpaceDE w:val="0"/>
        <w:autoSpaceDN w:val="0"/>
        <w:adjustRightInd w:val="0"/>
        <w:spacing w:line="360" w:lineRule="auto"/>
        <w:ind w:left="1440" w:hanging="1440"/>
        <w:jc w:val="both"/>
        <w:rPr>
          <w:rFonts w:ascii="David" w:hAnsi="David" w:cs="David"/>
          <w:sz w:val="24"/>
          <w:szCs w:val="24"/>
          <w:rtl/>
        </w:rPr>
      </w:pPr>
      <w:r w:rsidRPr="00E7101E">
        <w:rPr>
          <w:rFonts w:ascii="David" w:hAnsi="David" w:cs="David"/>
          <w:sz w:val="24"/>
          <w:szCs w:val="24"/>
          <w:rtl/>
        </w:rPr>
        <w:tab/>
        <w:t>ב.</w:t>
      </w:r>
      <w:r w:rsidRPr="00E7101E">
        <w:rPr>
          <w:rFonts w:ascii="David" w:hAnsi="David" w:cs="David"/>
          <w:sz w:val="24"/>
          <w:szCs w:val="24"/>
          <w:rtl/>
        </w:rPr>
        <w:tab/>
        <w:t>לחלופין מוכחש קשר סיבתי, עובדתי ו/או משפטי, ישיר ו/או עקיף, בין הנזקים הנטענים לבין מעשי ו/או מחדלי הנתבעת ו/או מי שהנתבעת חבה בגינו.</w:t>
      </w:r>
      <w:r w:rsidRPr="00E7101E">
        <w:rPr>
          <w:rFonts w:ascii="David" w:hAnsi="David" w:cs="David"/>
          <w:sz w:val="24"/>
          <w:szCs w:val="24"/>
          <w:rtl/>
        </w:rPr>
        <w:tab/>
      </w:r>
    </w:p>
    <w:p w:rsidR="00AB3FDD" w:rsidRPr="00E7101E" w:rsidRDefault="00AB3FDD" w:rsidP="00424BFC">
      <w:pPr>
        <w:widowControl w:val="0"/>
        <w:tabs>
          <w:tab w:val="left" w:pos="957"/>
          <w:tab w:val="left" w:pos="1440"/>
          <w:tab w:val="left" w:pos="2160"/>
        </w:tabs>
        <w:autoSpaceDE w:val="0"/>
        <w:autoSpaceDN w:val="0"/>
        <w:adjustRightInd w:val="0"/>
        <w:spacing w:line="360" w:lineRule="auto"/>
        <w:ind w:left="720" w:hanging="720"/>
        <w:jc w:val="both"/>
        <w:rPr>
          <w:rFonts w:ascii="David" w:hAnsi="David" w:cs="David"/>
          <w:sz w:val="24"/>
          <w:szCs w:val="24"/>
          <w:rtl/>
        </w:rPr>
      </w:pPr>
      <w:r w:rsidRPr="00E7101E">
        <w:rPr>
          <w:rFonts w:ascii="David" w:hAnsi="David" w:cs="David"/>
          <w:sz w:val="24"/>
          <w:szCs w:val="24"/>
          <w:rtl/>
        </w:rPr>
        <w:tab/>
      </w:r>
      <w:r w:rsidR="00424BFC">
        <w:rPr>
          <w:rFonts w:ascii="David" w:hAnsi="David" w:cs="David" w:hint="cs"/>
          <w:sz w:val="24"/>
          <w:szCs w:val="24"/>
          <w:rtl/>
        </w:rPr>
        <w:tab/>
      </w:r>
      <w:r w:rsidRPr="00E7101E">
        <w:rPr>
          <w:rFonts w:ascii="David" w:hAnsi="David" w:cs="David"/>
          <w:sz w:val="24"/>
          <w:szCs w:val="24"/>
          <w:rtl/>
        </w:rPr>
        <w:t>ג.</w:t>
      </w:r>
      <w:r w:rsidRPr="00E7101E">
        <w:rPr>
          <w:rFonts w:ascii="David" w:hAnsi="David" w:cs="David"/>
          <w:sz w:val="24"/>
          <w:szCs w:val="24"/>
          <w:rtl/>
        </w:rPr>
        <w:tab/>
        <w:t>מוכחשות ההוצאות הנטענות של התובע ו/או של מי מ</w:t>
      </w:r>
      <w:r w:rsidRPr="00E7101E">
        <w:rPr>
          <w:rFonts w:ascii="David" w:hAnsi="David" w:cs="David" w:hint="cs"/>
          <w:sz w:val="24"/>
          <w:szCs w:val="24"/>
          <w:rtl/>
        </w:rPr>
        <w:t xml:space="preserve">טעמו </w:t>
      </w:r>
      <w:r w:rsidRPr="00E7101E">
        <w:rPr>
          <w:rFonts w:ascii="David" w:hAnsi="David" w:cs="David"/>
          <w:sz w:val="24"/>
          <w:szCs w:val="24"/>
          <w:rtl/>
        </w:rPr>
        <w:t>ומוכחש שיעורם.</w:t>
      </w:r>
    </w:p>
    <w:p w:rsidR="00AB3FDD" w:rsidRPr="00E7101E" w:rsidRDefault="00AB3FDD" w:rsidP="00424BFC">
      <w:pPr>
        <w:widowControl w:val="0"/>
        <w:tabs>
          <w:tab w:val="left" w:pos="957"/>
          <w:tab w:val="left" w:pos="1440"/>
          <w:tab w:val="left" w:pos="2160"/>
        </w:tabs>
        <w:autoSpaceDE w:val="0"/>
        <w:autoSpaceDN w:val="0"/>
        <w:adjustRightInd w:val="0"/>
        <w:spacing w:line="360" w:lineRule="auto"/>
        <w:ind w:left="1440" w:hanging="1440"/>
        <w:jc w:val="both"/>
        <w:rPr>
          <w:rFonts w:ascii="David" w:hAnsi="David" w:cs="David"/>
          <w:sz w:val="24"/>
          <w:szCs w:val="24"/>
          <w:rtl/>
        </w:rPr>
      </w:pPr>
      <w:r w:rsidRPr="00E7101E">
        <w:rPr>
          <w:rFonts w:ascii="David" w:hAnsi="David" w:cs="David"/>
          <w:sz w:val="24"/>
          <w:szCs w:val="24"/>
          <w:rtl/>
        </w:rPr>
        <w:tab/>
        <w:t>ד.</w:t>
      </w:r>
      <w:r w:rsidRPr="00E7101E">
        <w:rPr>
          <w:rFonts w:ascii="David" w:hAnsi="David" w:cs="David"/>
          <w:sz w:val="24"/>
          <w:szCs w:val="24"/>
          <w:rtl/>
        </w:rPr>
        <w:tab/>
        <w:t>לחילופין, מוכחש הקשר הסיבתי העובדתי ו/או המשפטי ישיר ו/או עקיף בין הנזקים הנטענים, אם וככל שישנם כאלה, ובין הארוע המוכחש נשוא התביעה.</w:t>
      </w:r>
    </w:p>
    <w:p w:rsidR="00AB3FDD" w:rsidRPr="00E7101E" w:rsidRDefault="00AB3FDD" w:rsidP="00424BFC">
      <w:pPr>
        <w:widowControl w:val="0"/>
        <w:tabs>
          <w:tab w:val="left" w:pos="957"/>
          <w:tab w:val="left" w:pos="1440"/>
          <w:tab w:val="left" w:pos="2160"/>
        </w:tabs>
        <w:autoSpaceDE w:val="0"/>
        <w:autoSpaceDN w:val="0"/>
        <w:adjustRightInd w:val="0"/>
        <w:spacing w:line="360" w:lineRule="auto"/>
        <w:ind w:left="1440" w:hanging="1440"/>
        <w:jc w:val="both"/>
        <w:rPr>
          <w:rFonts w:ascii="David" w:hAnsi="David" w:cs="David"/>
          <w:sz w:val="24"/>
          <w:szCs w:val="24"/>
          <w:rtl/>
        </w:rPr>
      </w:pPr>
      <w:r w:rsidRPr="00E7101E">
        <w:rPr>
          <w:rFonts w:ascii="David" w:hAnsi="David" w:cs="David"/>
          <w:sz w:val="24"/>
          <w:szCs w:val="24"/>
          <w:rtl/>
        </w:rPr>
        <w:tab/>
        <w:t>ה.</w:t>
      </w:r>
      <w:r w:rsidRPr="00E7101E">
        <w:rPr>
          <w:rFonts w:ascii="David" w:hAnsi="David" w:cs="David"/>
          <w:sz w:val="24"/>
          <w:szCs w:val="24"/>
          <w:rtl/>
        </w:rPr>
        <w:tab/>
        <w:t xml:space="preserve">מוכחשים כל נזקיהם הנטענים של התובע ומוכחש הקשר הסיבתי העובדתי ו/או המשפטי ישיר ו/או עקיף בין נזקים כאמור, אם וככל שישנם, לבין האירוע </w:t>
      </w:r>
      <w:r w:rsidRPr="00E7101E">
        <w:rPr>
          <w:rFonts w:ascii="David" w:hAnsi="David" w:cs="David" w:hint="cs"/>
          <w:sz w:val="24"/>
          <w:szCs w:val="24"/>
          <w:rtl/>
        </w:rPr>
        <w:t>מושא</w:t>
      </w:r>
      <w:r w:rsidRPr="00E7101E">
        <w:rPr>
          <w:rFonts w:ascii="David" w:hAnsi="David" w:cs="David"/>
          <w:sz w:val="24"/>
          <w:szCs w:val="24"/>
          <w:rtl/>
        </w:rPr>
        <w:t xml:space="preserve"> התביעה.</w:t>
      </w:r>
    </w:p>
    <w:p w:rsidR="00AB3FDD" w:rsidRPr="00E7101E" w:rsidRDefault="00AB3FDD" w:rsidP="00424BFC">
      <w:pPr>
        <w:widowControl w:val="0"/>
        <w:tabs>
          <w:tab w:val="left" w:pos="957"/>
          <w:tab w:val="left" w:pos="1440"/>
          <w:tab w:val="left" w:pos="2160"/>
        </w:tabs>
        <w:autoSpaceDE w:val="0"/>
        <w:autoSpaceDN w:val="0"/>
        <w:adjustRightInd w:val="0"/>
        <w:spacing w:line="360" w:lineRule="auto"/>
        <w:ind w:left="1440" w:hanging="1440"/>
        <w:jc w:val="both"/>
        <w:rPr>
          <w:rFonts w:ascii="David" w:hAnsi="David" w:cs="David"/>
          <w:sz w:val="24"/>
          <w:szCs w:val="24"/>
          <w:rtl/>
        </w:rPr>
      </w:pPr>
      <w:r w:rsidRPr="00E7101E">
        <w:rPr>
          <w:rFonts w:ascii="David" w:hAnsi="David" w:cs="David"/>
          <w:sz w:val="24"/>
          <w:szCs w:val="24"/>
          <w:rtl/>
        </w:rPr>
        <w:tab/>
        <w:t>ו.</w:t>
      </w:r>
      <w:r w:rsidRPr="00E7101E">
        <w:rPr>
          <w:rFonts w:ascii="David" w:hAnsi="David" w:cs="David"/>
          <w:sz w:val="24"/>
          <w:szCs w:val="24"/>
          <w:rtl/>
        </w:rPr>
        <w:tab/>
        <w:t>הנזקים הנטענים והמוכחשים הינם מוגזמים ומופרכים ואין להם כל אחיזה במציאות ו/או בדין.</w:t>
      </w:r>
    </w:p>
    <w:p w:rsidR="00307C21" w:rsidRPr="00E7101E" w:rsidRDefault="00AB3FDD" w:rsidP="00424BFC">
      <w:pPr>
        <w:widowControl w:val="0"/>
        <w:tabs>
          <w:tab w:val="left" w:pos="957"/>
          <w:tab w:val="left" w:pos="1440"/>
          <w:tab w:val="left" w:pos="2160"/>
        </w:tabs>
        <w:autoSpaceDE w:val="0"/>
        <w:autoSpaceDN w:val="0"/>
        <w:adjustRightInd w:val="0"/>
        <w:spacing w:line="360" w:lineRule="auto"/>
        <w:ind w:left="1440" w:hanging="1440"/>
        <w:jc w:val="both"/>
        <w:rPr>
          <w:rFonts w:ascii="David" w:hAnsi="David" w:cs="David"/>
          <w:sz w:val="24"/>
          <w:szCs w:val="24"/>
          <w:rtl/>
        </w:rPr>
      </w:pPr>
      <w:r w:rsidRPr="00E7101E">
        <w:rPr>
          <w:rFonts w:ascii="David" w:hAnsi="David" w:cs="David"/>
          <w:sz w:val="24"/>
          <w:szCs w:val="24"/>
          <w:rtl/>
        </w:rPr>
        <w:tab/>
        <w:t>ז.</w:t>
      </w:r>
      <w:r w:rsidRPr="00E7101E">
        <w:rPr>
          <w:rFonts w:ascii="David" w:hAnsi="David" w:cs="David"/>
          <w:sz w:val="24"/>
          <w:szCs w:val="24"/>
          <w:rtl/>
        </w:rPr>
        <w:tab/>
      </w:r>
      <w:r w:rsidR="00307C21" w:rsidRPr="00E7101E">
        <w:rPr>
          <w:rFonts w:ascii="David" w:hAnsi="David" w:cs="David" w:hint="cs"/>
          <w:sz w:val="24"/>
          <w:szCs w:val="24"/>
          <w:rtl/>
        </w:rPr>
        <w:t>הנתבעת מוסיפה וטוענת כי נזקי התובע הנטענים והמוכחשים, אם וככל שיוכחו,  הינם תולדה של מעשיו הפליליים בגינם הורשע וריצה עונש מאסר כדין.</w:t>
      </w:r>
    </w:p>
    <w:p w:rsidR="00AB3FDD" w:rsidRPr="00E7101E" w:rsidRDefault="00307C21" w:rsidP="00424BFC">
      <w:pPr>
        <w:widowControl w:val="0"/>
        <w:tabs>
          <w:tab w:val="left" w:pos="957"/>
          <w:tab w:val="left" w:pos="1440"/>
          <w:tab w:val="left" w:pos="2160"/>
        </w:tabs>
        <w:autoSpaceDE w:val="0"/>
        <w:autoSpaceDN w:val="0"/>
        <w:adjustRightInd w:val="0"/>
        <w:spacing w:line="360" w:lineRule="auto"/>
        <w:ind w:left="1440" w:hanging="1440"/>
        <w:jc w:val="both"/>
        <w:rPr>
          <w:rFonts w:ascii="David" w:hAnsi="David" w:cs="David"/>
          <w:sz w:val="24"/>
          <w:szCs w:val="24"/>
          <w:rtl/>
        </w:rPr>
      </w:pPr>
      <w:r w:rsidRPr="00E7101E">
        <w:rPr>
          <w:rFonts w:ascii="David" w:hAnsi="David" w:cs="David" w:hint="cs"/>
          <w:sz w:val="24"/>
          <w:szCs w:val="24"/>
          <w:rtl/>
        </w:rPr>
        <w:tab/>
        <w:t>ח.</w:t>
      </w:r>
      <w:r w:rsidRPr="00E7101E">
        <w:rPr>
          <w:rFonts w:ascii="David" w:hAnsi="David" w:cs="David" w:hint="cs"/>
          <w:sz w:val="24"/>
          <w:szCs w:val="24"/>
          <w:rtl/>
        </w:rPr>
        <w:tab/>
      </w:r>
      <w:r w:rsidR="00AB3FDD" w:rsidRPr="00E7101E">
        <w:rPr>
          <w:rFonts w:ascii="David" w:hAnsi="David" w:cs="David"/>
          <w:sz w:val="24"/>
          <w:szCs w:val="24"/>
          <w:rtl/>
        </w:rPr>
        <w:t>מוכחש כי התובע קיי</w:t>
      </w:r>
      <w:r w:rsidR="00AB3FDD" w:rsidRPr="00E7101E">
        <w:rPr>
          <w:rFonts w:ascii="David" w:hAnsi="David" w:cs="David" w:hint="cs"/>
          <w:sz w:val="24"/>
          <w:szCs w:val="24"/>
          <w:rtl/>
        </w:rPr>
        <w:t>ם</w:t>
      </w:r>
      <w:r w:rsidR="00AB3FDD" w:rsidRPr="00E7101E">
        <w:rPr>
          <w:rFonts w:ascii="David" w:hAnsi="David" w:cs="David"/>
          <w:sz w:val="24"/>
          <w:szCs w:val="24"/>
          <w:rtl/>
        </w:rPr>
        <w:t xml:space="preserve"> חובת</w:t>
      </w:r>
      <w:r w:rsidR="00AB3FDD" w:rsidRPr="00E7101E">
        <w:rPr>
          <w:rFonts w:ascii="David" w:hAnsi="David" w:cs="David" w:hint="cs"/>
          <w:sz w:val="24"/>
          <w:szCs w:val="24"/>
          <w:rtl/>
        </w:rPr>
        <w:t>ו</w:t>
      </w:r>
      <w:r w:rsidR="00AB3FDD" w:rsidRPr="00E7101E">
        <w:rPr>
          <w:rFonts w:ascii="David" w:hAnsi="David" w:cs="David"/>
          <w:sz w:val="24"/>
          <w:szCs w:val="24"/>
          <w:rtl/>
        </w:rPr>
        <w:t xml:space="preserve"> להקטין את נזקי</w:t>
      </w:r>
      <w:r w:rsidR="00AB3FDD" w:rsidRPr="00E7101E">
        <w:rPr>
          <w:rFonts w:ascii="David" w:hAnsi="David" w:cs="David" w:hint="cs"/>
          <w:sz w:val="24"/>
          <w:szCs w:val="24"/>
          <w:rtl/>
        </w:rPr>
        <w:t>ו</w:t>
      </w:r>
      <w:r w:rsidR="00AB3FDD" w:rsidRPr="00E7101E">
        <w:rPr>
          <w:rFonts w:ascii="David" w:hAnsi="David" w:cs="David"/>
          <w:sz w:val="24"/>
          <w:szCs w:val="24"/>
          <w:rtl/>
        </w:rPr>
        <w:t xml:space="preserve"> הנטענים. הנתבעת טוענת כי אם אכן יתברר כי התובע לא מילא אחר חובת</w:t>
      </w:r>
      <w:r w:rsidR="00AB3FDD" w:rsidRPr="00E7101E">
        <w:rPr>
          <w:rFonts w:ascii="David" w:hAnsi="David" w:cs="David" w:hint="cs"/>
          <w:sz w:val="24"/>
          <w:szCs w:val="24"/>
          <w:rtl/>
        </w:rPr>
        <w:t>ו</w:t>
      </w:r>
      <w:r w:rsidR="00AB3FDD" w:rsidRPr="00E7101E">
        <w:rPr>
          <w:rFonts w:ascii="David" w:hAnsi="David" w:cs="David"/>
          <w:sz w:val="24"/>
          <w:szCs w:val="24"/>
          <w:rtl/>
        </w:rPr>
        <w:t xml:space="preserve"> להקטין נזקי</w:t>
      </w:r>
      <w:r w:rsidR="00AB3FDD" w:rsidRPr="00E7101E">
        <w:rPr>
          <w:rFonts w:ascii="David" w:hAnsi="David" w:cs="David" w:hint="cs"/>
          <w:sz w:val="24"/>
          <w:szCs w:val="24"/>
          <w:rtl/>
        </w:rPr>
        <w:t>ו</w:t>
      </w:r>
      <w:r w:rsidR="00AB3FDD" w:rsidRPr="00E7101E">
        <w:rPr>
          <w:rFonts w:ascii="David" w:hAnsi="David" w:cs="David"/>
          <w:sz w:val="24"/>
          <w:szCs w:val="24"/>
          <w:rtl/>
        </w:rPr>
        <w:t xml:space="preserve"> - יהיה על בית המשפט הנכבד להתחשב בכך בעת שומת הנזק המוכחש, אם וככל שיוכח.</w:t>
      </w:r>
    </w:p>
    <w:p w:rsidR="00AB3FDD" w:rsidRPr="00E7101E" w:rsidRDefault="00424BFC" w:rsidP="00424BFC">
      <w:pPr>
        <w:widowControl w:val="0"/>
        <w:tabs>
          <w:tab w:val="left" w:pos="957"/>
          <w:tab w:val="left" w:pos="1440"/>
          <w:tab w:val="left" w:pos="2160"/>
          <w:tab w:val="left" w:pos="2880"/>
        </w:tabs>
        <w:autoSpaceDE w:val="0"/>
        <w:autoSpaceDN w:val="0"/>
        <w:adjustRightInd w:val="0"/>
        <w:spacing w:line="360" w:lineRule="auto"/>
        <w:ind w:left="1440" w:hanging="720"/>
        <w:jc w:val="both"/>
        <w:rPr>
          <w:rFonts w:ascii="David" w:hAnsi="David" w:cs="David"/>
          <w:sz w:val="24"/>
          <w:szCs w:val="24"/>
          <w:rtl/>
        </w:rPr>
      </w:pPr>
      <w:r>
        <w:rPr>
          <w:rFonts w:ascii="David" w:hAnsi="David" w:cs="David" w:hint="cs"/>
          <w:sz w:val="24"/>
          <w:szCs w:val="24"/>
          <w:rtl/>
        </w:rPr>
        <w:tab/>
      </w:r>
      <w:r w:rsidR="00307C21" w:rsidRPr="00E7101E">
        <w:rPr>
          <w:rFonts w:ascii="David" w:hAnsi="David" w:cs="David" w:hint="cs"/>
          <w:sz w:val="24"/>
          <w:szCs w:val="24"/>
          <w:rtl/>
        </w:rPr>
        <w:t>ט</w:t>
      </w:r>
      <w:r w:rsidR="00AB3FDD" w:rsidRPr="00E7101E">
        <w:rPr>
          <w:rFonts w:ascii="David" w:hAnsi="David" w:cs="David"/>
          <w:sz w:val="24"/>
          <w:szCs w:val="24"/>
          <w:rtl/>
        </w:rPr>
        <w:t>.</w:t>
      </w:r>
      <w:r w:rsidR="00AB3FDD" w:rsidRPr="00E7101E">
        <w:rPr>
          <w:rFonts w:ascii="David" w:hAnsi="David" w:cs="David"/>
          <w:sz w:val="24"/>
          <w:szCs w:val="24"/>
          <w:rtl/>
        </w:rPr>
        <w:tab/>
        <w:t>הנתבעת טוענת כי אם יתברר שהתובע קיבל ו/או יקבל ו/או זכאי לקבל ו/או הי</w:t>
      </w:r>
      <w:r w:rsidR="00AB3FDD" w:rsidRPr="00E7101E">
        <w:rPr>
          <w:rFonts w:ascii="David" w:hAnsi="David" w:cs="David" w:hint="cs"/>
          <w:sz w:val="24"/>
          <w:szCs w:val="24"/>
          <w:rtl/>
        </w:rPr>
        <w:t xml:space="preserve">ה </w:t>
      </w:r>
      <w:r w:rsidR="00AB3FDD" w:rsidRPr="00E7101E">
        <w:rPr>
          <w:rFonts w:ascii="David" w:hAnsi="David" w:cs="David"/>
          <w:sz w:val="24"/>
          <w:szCs w:val="24"/>
          <w:rtl/>
        </w:rPr>
        <w:t>זכאי לקבל סכומים כלשהם ו/או טובות הנאה אחרות מכל גוף ו/או מקור כלשהו כתוצאה מהאירוע, יהיה על בית המשפט הנכבד לקחת זאת בחשבון בעת שומת הנזק המוכחש, אם יוכח.</w:t>
      </w:r>
    </w:p>
    <w:p w:rsidR="00AB3FDD" w:rsidRPr="00E7101E" w:rsidRDefault="00424BFC" w:rsidP="00424BFC">
      <w:pPr>
        <w:widowControl w:val="0"/>
        <w:tabs>
          <w:tab w:val="left" w:pos="957"/>
          <w:tab w:val="left" w:pos="1440"/>
          <w:tab w:val="left" w:pos="2160"/>
          <w:tab w:val="left" w:pos="2880"/>
        </w:tabs>
        <w:autoSpaceDE w:val="0"/>
        <w:autoSpaceDN w:val="0"/>
        <w:adjustRightInd w:val="0"/>
        <w:spacing w:line="360" w:lineRule="auto"/>
        <w:ind w:left="1440" w:hanging="720"/>
        <w:jc w:val="both"/>
        <w:rPr>
          <w:rFonts w:ascii="David" w:hAnsi="David" w:cs="David"/>
          <w:sz w:val="24"/>
          <w:szCs w:val="24"/>
          <w:rtl/>
        </w:rPr>
      </w:pPr>
      <w:r>
        <w:rPr>
          <w:rFonts w:ascii="David" w:hAnsi="David" w:cs="David" w:hint="cs"/>
          <w:sz w:val="24"/>
          <w:szCs w:val="24"/>
          <w:rtl/>
        </w:rPr>
        <w:tab/>
      </w:r>
      <w:r w:rsidR="00307C21" w:rsidRPr="00E7101E">
        <w:rPr>
          <w:rFonts w:ascii="David" w:hAnsi="David" w:cs="David" w:hint="cs"/>
          <w:sz w:val="24"/>
          <w:szCs w:val="24"/>
          <w:rtl/>
        </w:rPr>
        <w:t>י</w:t>
      </w:r>
      <w:r w:rsidR="00AB3FDD" w:rsidRPr="00E7101E">
        <w:rPr>
          <w:rFonts w:ascii="David" w:hAnsi="David" w:cs="David"/>
          <w:sz w:val="24"/>
          <w:szCs w:val="24"/>
          <w:rtl/>
        </w:rPr>
        <w:t>.</w:t>
      </w:r>
      <w:r w:rsidR="00AB3FDD" w:rsidRPr="00E7101E">
        <w:rPr>
          <w:rFonts w:ascii="David" w:hAnsi="David" w:cs="David"/>
          <w:sz w:val="24"/>
          <w:szCs w:val="24"/>
          <w:rtl/>
        </w:rPr>
        <w:tab/>
      </w:r>
      <w:r w:rsidR="00AB3FDD" w:rsidRPr="00E7101E">
        <w:rPr>
          <w:rFonts w:ascii="David" w:hAnsi="David" w:cs="David" w:hint="cs"/>
          <w:sz w:val="24"/>
          <w:szCs w:val="24"/>
          <w:rtl/>
        </w:rPr>
        <w:t xml:space="preserve">הנתבעת טוענת כי אם יתברר שהוצאותיו של התובע, כולם או חלקן, מומנו על ידי </w:t>
      </w:r>
      <w:r w:rsidR="000A434B" w:rsidRPr="00E7101E">
        <w:rPr>
          <w:rFonts w:ascii="David" w:hAnsi="David" w:cs="David" w:hint="cs"/>
          <w:sz w:val="24"/>
          <w:szCs w:val="24"/>
          <w:rtl/>
        </w:rPr>
        <w:t>מיטיבים/</w:t>
      </w:r>
      <w:r w:rsidR="00AB3FDD" w:rsidRPr="00E7101E">
        <w:rPr>
          <w:rFonts w:ascii="David" w:hAnsi="David" w:cs="David" w:hint="cs"/>
          <w:sz w:val="24"/>
          <w:szCs w:val="24"/>
          <w:rtl/>
        </w:rPr>
        <w:t>גורמים אחרים כלשהם, יהיה על בית המשפט הנכבד לקחת זאת בחשבון בעת שומת הנזק המוכחש, אם יוכח</w:t>
      </w:r>
      <w:r w:rsidR="00307C21" w:rsidRPr="00E7101E">
        <w:rPr>
          <w:rFonts w:ascii="David" w:hAnsi="David" w:cs="David" w:hint="cs"/>
          <w:sz w:val="24"/>
          <w:szCs w:val="24"/>
          <w:rtl/>
        </w:rPr>
        <w:t>.</w:t>
      </w:r>
    </w:p>
    <w:p w:rsidR="00AB3FDD" w:rsidRPr="00E7101E" w:rsidRDefault="00424BFC" w:rsidP="00424BFC">
      <w:pPr>
        <w:widowControl w:val="0"/>
        <w:tabs>
          <w:tab w:val="left" w:pos="957"/>
          <w:tab w:val="left" w:pos="1440"/>
          <w:tab w:val="left" w:pos="2160"/>
          <w:tab w:val="left" w:pos="2880"/>
        </w:tabs>
        <w:autoSpaceDE w:val="0"/>
        <w:autoSpaceDN w:val="0"/>
        <w:adjustRightInd w:val="0"/>
        <w:spacing w:line="360" w:lineRule="auto"/>
        <w:ind w:left="1440" w:hanging="720"/>
        <w:jc w:val="both"/>
        <w:rPr>
          <w:rFonts w:ascii="David" w:hAnsi="David" w:cs="David"/>
          <w:sz w:val="24"/>
          <w:szCs w:val="24"/>
          <w:rtl/>
        </w:rPr>
      </w:pPr>
      <w:r>
        <w:rPr>
          <w:rFonts w:ascii="David" w:hAnsi="David" w:cs="David" w:hint="cs"/>
          <w:sz w:val="24"/>
          <w:szCs w:val="24"/>
          <w:rtl/>
        </w:rPr>
        <w:tab/>
      </w:r>
      <w:r w:rsidR="00AB3FDD" w:rsidRPr="00E7101E">
        <w:rPr>
          <w:rFonts w:ascii="David" w:hAnsi="David" w:cs="David" w:hint="cs"/>
          <w:sz w:val="24"/>
          <w:szCs w:val="24"/>
          <w:rtl/>
        </w:rPr>
        <w:t>י</w:t>
      </w:r>
      <w:r w:rsidR="00307C21" w:rsidRPr="00E7101E">
        <w:rPr>
          <w:rFonts w:ascii="David" w:hAnsi="David" w:cs="David" w:hint="cs"/>
          <w:sz w:val="24"/>
          <w:szCs w:val="24"/>
          <w:rtl/>
        </w:rPr>
        <w:t>א</w:t>
      </w:r>
      <w:r w:rsidR="00AB3FDD" w:rsidRPr="00E7101E">
        <w:rPr>
          <w:rFonts w:ascii="David" w:hAnsi="David" w:cs="David" w:hint="cs"/>
          <w:sz w:val="24"/>
          <w:szCs w:val="24"/>
          <w:rtl/>
        </w:rPr>
        <w:t>.</w:t>
      </w:r>
      <w:r w:rsidR="00AB3FDD" w:rsidRPr="00E7101E">
        <w:rPr>
          <w:rFonts w:ascii="David" w:hAnsi="David" w:cs="David" w:hint="cs"/>
          <w:sz w:val="24"/>
          <w:szCs w:val="24"/>
          <w:rtl/>
        </w:rPr>
        <w:tab/>
      </w:r>
      <w:r w:rsidR="00AB3FDD" w:rsidRPr="00E7101E">
        <w:rPr>
          <w:rFonts w:ascii="David" w:hAnsi="David" w:cs="David"/>
          <w:sz w:val="24"/>
          <w:szCs w:val="24"/>
          <w:rtl/>
        </w:rPr>
        <w:t>מוכחש כי לתובעים נגרם ו/או יגרם הפסד השתכרות ו/או אובדן כושר השתכרות ו/או אובדן הכנסות.</w:t>
      </w:r>
    </w:p>
    <w:p w:rsidR="00AB3FDD" w:rsidRPr="00E7101E" w:rsidRDefault="00424BFC" w:rsidP="00424BFC">
      <w:pPr>
        <w:widowControl w:val="0"/>
        <w:tabs>
          <w:tab w:val="left" w:pos="957"/>
          <w:tab w:val="left" w:pos="1440"/>
          <w:tab w:val="left" w:pos="2160"/>
          <w:tab w:val="left" w:pos="2880"/>
        </w:tabs>
        <w:autoSpaceDE w:val="0"/>
        <w:autoSpaceDN w:val="0"/>
        <w:adjustRightInd w:val="0"/>
        <w:spacing w:line="360" w:lineRule="auto"/>
        <w:ind w:left="1440" w:hanging="720"/>
        <w:jc w:val="both"/>
        <w:rPr>
          <w:rFonts w:ascii="David" w:hAnsi="David" w:cs="David"/>
          <w:sz w:val="24"/>
          <w:szCs w:val="24"/>
          <w:rtl/>
        </w:rPr>
      </w:pPr>
      <w:r>
        <w:rPr>
          <w:rFonts w:ascii="David" w:hAnsi="David" w:cs="David" w:hint="cs"/>
          <w:sz w:val="24"/>
          <w:szCs w:val="24"/>
          <w:rtl/>
        </w:rPr>
        <w:tab/>
      </w:r>
      <w:r w:rsidR="00307C21" w:rsidRPr="00E7101E">
        <w:rPr>
          <w:rFonts w:ascii="David" w:hAnsi="David" w:cs="David"/>
          <w:sz w:val="24"/>
          <w:szCs w:val="24"/>
          <w:rtl/>
        </w:rPr>
        <w:t>י</w:t>
      </w:r>
      <w:r w:rsidR="00307C21" w:rsidRPr="00E7101E">
        <w:rPr>
          <w:rFonts w:ascii="David" w:hAnsi="David" w:cs="David" w:hint="cs"/>
          <w:sz w:val="24"/>
          <w:szCs w:val="24"/>
          <w:rtl/>
        </w:rPr>
        <w:t>ב</w:t>
      </w:r>
      <w:r w:rsidR="00307C21" w:rsidRPr="00E7101E">
        <w:rPr>
          <w:rFonts w:ascii="David" w:hAnsi="David" w:cs="David"/>
          <w:sz w:val="24"/>
          <w:szCs w:val="24"/>
          <w:rtl/>
        </w:rPr>
        <w:t>.</w:t>
      </w:r>
      <w:r w:rsidR="00307C21" w:rsidRPr="00E7101E">
        <w:rPr>
          <w:rFonts w:ascii="David" w:hAnsi="David" w:cs="David"/>
          <w:sz w:val="24"/>
          <w:szCs w:val="24"/>
          <w:rtl/>
        </w:rPr>
        <w:tab/>
        <w:t>מוכחשת זכות</w:t>
      </w:r>
      <w:r w:rsidR="00307C21" w:rsidRPr="00E7101E">
        <w:rPr>
          <w:rFonts w:ascii="David" w:hAnsi="David" w:cs="David" w:hint="cs"/>
          <w:sz w:val="24"/>
          <w:szCs w:val="24"/>
          <w:rtl/>
        </w:rPr>
        <w:t>ו</w:t>
      </w:r>
      <w:r w:rsidR="00307C21" w:rsidRPr="00E7101E">
        <w:rPr>
          <w:rFonts w:ascii="David" w:hAnsi="David" w:cs="David"/>
          <w:sz w:val="24"/>
          <w:szCs w:val="24"/>
          <w:rtl/>
        </w:rPr>
        <w:t xml:space="preserve"> של התובע</w:t>
      </w:r>
      <w:r w:rsidR="00AB3FDD" w:rsidRPr="00E7101E">
        <w:rPr>
          <w:rFonts w:ascii="David" w:hAnsi="David" w:cs="David"/>
          <w:sz w:val="24"/>
          <w:szCs w:val="24"/>
          <w:rtl/>
        </w:rPr>
        <w:t xml:space="preserve"> לפיצוי בגין כאב וסבל.</w:t>
      </w:r>
    </w:p>
    <w:p w:rsidR="00AB3FDD" w:rsidRPr="00E7101E" w:rsidRDefault="00424BFC" w:rsidP="00424BFC">
      <w:pPr>
        <w:widowControl w:val="0"/>
        <w:tabs>
          <w:tab w:val="left" w:pos="957"/>
          <w:tab w:val="left" w:pos="1440"/>
          <w:tab w:val="left" w:pos="2160"/>
          <w:tab w:val="left" w:pos="2880"/>
        </w:tabs>
        <w:autoSpaceDE w:val="0"/>
        <w:autoSpaceDN w:val="0"/>
        <w:adjustRightInd w:val="0"/>
        <w:spacing w:line="360" w:lineRule="auto"/>
        <w:ind w:left="1440" w:hanging="720"/>
        <w:jc w:val="both"/>
        <w:rPr>
          <w:rFonts w:ascii="David" w:hAnsi="David" w:cs="David"/>
          <w:sz w:val="24"/>
          <w:szCs w:val="24"/>
          <w:rtl/>
        </w:rPr>
      </w:pPr>
      <w:r>
        <w:rPr>
          <w:rFonts w:ascii="David" w:hAnsi="David" w:cs="David" w:hint="cs"/>
          <w:sz w:val="24"/>
          <w:szCs w:val="24"/>
          <w:rtl/>
        </w:rPr>
        <w:tab/>
      </w:r>
      <w:r w:rsidR="00307C21" w:rsidRPr="00E7101E">
        <w:rPr>
          <w:rFonts w:ascii="David" w:hAnsi="David" w:cs="David"/>
          <w:sz w:val="24"/>
          <w:szCs w:val="24"/>
          <w:rtl/>
        </w:rPr>
        <w:t>י</w:t>
      </w:r>
      <w:r w:rsidR="00307C21" w:rsidRPr="00E7101E">
        <w:rPr>
          <w:rFonts w:ascii="David" w:hAnsi="David" w:cs="David" w:hint="cs"/>
          <w:sz w:val="24"/>
          <w:szCs w:val="24"/>
          <w:rtl/>
        </w:rPr>
        <w:t>ג</w:t>
      </w:r>
      <w:r w:rsidR="00AB3FDD" w:rsidRPr="00E7101E">
        <w:rPr>
          <w:rFonts w:ascii="David" w:hAnsi="David" w:cs="David"/>
          <w:sz w:val="24"/>
          <w:szCs w:val="24"/>
          <w:rtl/>
        </w:rPr>
        <w:t>.</w:t>
      </w:r>
      <w:r w:rsidR="00AB3FDD" w:rsidRPr="00E7101E">
        <w:rPr>
          <w:rFonts w:ascii="David" w:hAnsi="David" w:cs="David"/>
          <w:sz w:val="24"/>
          <w:szCs w:val="24"/>
          <w:rtl/>
        </w:rPr>
        <w:tab/>
        <w:t>מוכח</w:t>
      </w:r>
      <w:r w:rsidR="00307C21" w:rsidRPr="00E7101E">
        <w:rPr>
          <w:rFonts w:ascii="David" w:hAnsi="David" w:cs="David"/>
          <w:sz w:val="24"/>
          <w:szCs w:val="24"/>
          <w:rtl/>
        </w:rPr>
        <w:t>ש בסיס השכר הנטען על ידי התובע כמו גם ההפסד</w:t>
      </w:r>
      <w:r w:rsidR="00307C21" w:rsidRPr="00E7101E">
        <w:rPr>
          <w:rFonts w:ascii="David" w:hAnsi="David" w:cs="David" w:hint="cs"/>
          <w:sz w:val="24"/>
          <w:szCs w:val="24"/>
          <w:rtl/>
        </w:rPr>
        <w:t>ים</w:t>
      </w:r>
      <w:r w:rsidR="00AB3FDD" w:rsidRPr="00E7101E">
        <w:rPr>
          <w:rFonts w:ascii="David" w:hAnsi="David" w:cs="David"/>
          <w:sz w:val="24"/>
          <w:szCs w:val="24"/>
          <w:rtl/>
        </w:rPr>
        <w:t xml:space="preserve"> הנטענים של </w:t>
      </w:r>
      <w:r w:rsidR="00307C21" w:rsidRPr="00E7101E">
        <w:rPr>
          <w:rFonts w:ascii="David" w:hAnsi="David" w:cs="David" w:hint="cs"/>
          <w:sz w:val="24"/>
          <w:szCs w:val="24"/>
          <w:rtl/>
        </w:rPr>
        <w:t>התובע.</w:t>
      </w:r>
    </w:p>
    <w:p w:rsidR="00CF43D9" w:rsidRPr="00E7101E" w:rsidRDefault="006A3EC3" w:rsidP="006A3EC3">
      <w:pPr>
        <w:keepLines/>
        <w:numPr>
          <w:ilvl w:val="0"/>
          <w:numId w:val="21"/>
        </w:numPr>
        <w:tabs>
          <w:tab w:val="num" w:pos="29"/>
        </w:tabs>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בסעיף 80 לכתב התביעה לרבות זכותו של התובע להעלות טענות עובדתיות חלופיות. מקום בו נטענו טענות עובדתיות חלופיות בית המשפט הנכבד מתבקש להורות על מחיקתן מכתב התביעה. </w:t>
      </w:r>
    </w:p>
    <w:p w:rsidR="006A3EC3" w:rsidRPr="00E7101E" w:rsidRDefault="006A3EC3" w:rsidP="006A3EC3">
      <w:pPr>
        <w:keepLines/>
        <w:numPr>
          <w:ilvl w:val="0"/>
          <w:numId w:val="21"/>
        </w:numPr>
        <w:tabs>
          <w:tab w:val="num" w:pos="29"/>
        </w:tabs>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הנתבעת מודה בסמכות בית המשפט הנכבד לדון בתובענה, </w:t>
      </w:r>
      <w:r w:rsidRPr="00424BFC">
        <w:rPr>
          <w:rFonts w:ascii="David" w:hAnsi="David" w:cs="David" w:hint="cs"/>
          <w:b/>
          <w:bCs/>
          <w:sz w:val="24"/>
          <w:szCs w:val="24"/>
          <w:rtl/>
        </w:rPr>
        <w:t>ולדחותה</w:t>
      </w:r>
      <w:r w:rsidRPr="00E7101E">
        <w:rPr>
          <w:rFonts w:ascii="David" w:hAnsi="David" w:cs="David" w:hint="cs"/>
          <w:sz w:val="24"/>
          <w:szCs w:val="24"/>
          <w:rtl/>
        </w:rPr>
        <w:t>.</w:t>
      </w:r>
    </w:p>
    <w:p w:rsidR="006A3EC3" w:rsidRPr="00E7101E" w:rsidRDefault="006A3EC3" w:rsidP="00A06635">
      <w:pPr>
        <w:keepLines/>
        <w:numPr>
          <w:ilvl w:val="0"/>
          <w:numId w:val="21"/>
        </w:numPr>
        <w:tabs>
          <w:tab w:val="num" w:pos="29"/>
        </w:tabs>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בסעיף 82 לכתב התביעה על כל סעיפי המשנה שבו. הנתבעת מפנה בהקשר זה גם למפורט </w:t>
      </w:r>
      <w:r w:rsidRPr="00424BFC">
        <w:rPr>
          <w:rFonts w:ascii="David" w:hAnsi="David" w:cs="David" w:hint="cs"/>
          <w:sz w:val="24"/>
          <w:szCs w:val="24"/>
          <w:highlight w:val="yellow"/>
          <w:rtl/>
        </w:rPr>
        <w:t>בסעיף</w:t>
      </w:r>
      <w:r w:rsidR="00424BFC" w:rsidRPr="00A06635">
        <w:rPr>
          <w:rFonts w:ascii="David" w:hAnsi="David" w:cs="David" w:hint="cs"/>
          <w:sz w:val="24"/>
          <w:szCs w:val="24"/>
          <w:highlight w:val="yellow"/>
          <w:rtl/>
        </w:rPr>
        <w:t xml:space="preserve"> </w:t>
      </w:r>
      <w:r w:rsidR="00A06635" w:rsidRPr="00A06635">
        <w:rPr>
          <w:rFonts w:ascii="David" w:hAnsi="David" w:cs="David" w:hint="cs"/>
          <w:sz w:val="24"/>
          <w:szCs w:val="24"/>
          <w:highlight w:val="yellow"/>
          <w:rtl/>
        </w:rPr>
        <w:t>91</w:t>
      </w:r>
      <w:r w:rsidRPr="00E7101E">
        <w:rPr>
          <w:rFonts w:ascii="David" w:hAnsi="David" w:cs="David" w:hint="cs"/>
          <w:sz w:val="24"/>
          <w:szCs w:val="24"/>
          <w:rtl/>
        </w:rPr>
        <w:t xml:space="preserve"> לכתב ההגנה דנא (</w:t>
      </w:r>
      <w:r w:rsidRPr="00E7101E">
        <w:rPr>
          <w:rFonts w:ascii="David" w:hAnsi="David" w:cs="David" w:hint="cs"/>
          <w:sz w:val="24"/>
          <w:szCs w:val="24"/>
          <w:highlight w:val="yellow"/>
          <w:rtl/>
        </w:rPr>
        <w:t>בהתייחס לסעיפים 75-79 לכתב התביעה</w:t>
      </w:r>
      <w:r w:rsidRPr="00E7101E">
        <w:rPr>
          <w:rFonts w:ascii="David" w:hAnsi="David" w:cs="David" w:hint="cs"/>
          <w:sz w:val="24"/>
          <w:szCs w:val="24"/>
          <w:rtl/>
        </w:rPr>
        <w:t>).</w:t>
      </w:r>
    </w:p>
    <w:p w:rsidR="006A3EC3" w:rsidRPr="00E7101E" w:rsidRDefault="006A3EC3" w:rsidP="000A434B">
      <w:pPr>
        <w:keepLines/>
        <w:numPr>
          <w:ilvl w:val="0"/>
          <w:numId w:val="21"/>
        </w:numPr>
        <w:tabs>
          <w:tab w:val="clear" w:pos="927"/>
          <w:tab w:val="num" w:pos="674"/>
          <w:tab w:val="num" w:pos="815"/>
        </w:tabs>
        <w:spacing w:before="120" w:line="360" w:lineRule="auto"/>
        <w:ind w:left="714" w:hanging="357"/>
        <w:jc w:val="both"/>
        <w:rPr>
          <w:rFonts w:ascii="David" w:hAnsi="David" w:cs="David"/>
          <w:sz w:val="24"/>
          <w:szCs w:val="24"/>
        </w:rPr>
      </w:pPr>
      <w:r w:rsidRPr="00E7101E">
        <w:rPr>
          <w:rFonts w:ascii="David" w:hAnsi="David" w:cs="David" w:hint="cs"/>
          <w:sz w:val="24"/>
          <w:szCs w:val="24"/>
          <w:rtl/>
        </w:rPr>
        <w:t xml:space="preserve">מוכחש האמור והנטען בסעיף 83 </w:t>
      </w:r>
      <w:r w:rsidRPr="00E7101E">
        <w:rPr>
          <w:rFonts w:ascii="David" w:hAnsi="David" w:cs="David"/>
          <w:sz w:val="24"/>
          <w:szCs w:val="24"/>
          <w:rtl/>
        </w:rPr>
        <w:t>לכתב התביעה לרבות הכחשת זכות</w:t>
      </w:r>
      <w:r w:rsidRPr="00E7101E">
        <w:rPr>
          <w:rFonts w:ascii="David" w:hAnsi="David" w:cs="David" w:hint="cs"/>
          <w:sz w:val="24"/>
          <w:szCs w:val="24"/>
          <w:rtl/>
        </w:rPr>
        <w:t>ו</w:t>
      </w:r>
      <w:r w:rsidRPr="00E7101E">
        <w:rPr>
          <w:rFonts w:ascii="David" w:hAnsi="David" w:cs="David"/>
          <w:sz w:val="24"/>
          <w:szCs w:val="24"/>
          <w:rtl/>
        </w:rPr>
        <w:t xml:space="preserve"> הקנויה כביכול של התובע לטענת</w:t>
      </w:r>
      <w:r w:rsidRPr="00E7101E">
        <w:rPr>
          <w:rFonts w:ascii="David" w:hAnsi="David" w:cs="David" w:hint="cs"/>
          <w:sz w:val="24"/>
          <w:szCs w:val="24"/>
          <w:rtl/>
        </w:rPr>
        <w:t>ו</w:t>
      </w:r>
      <w:r w:rsidRPr="00E7101E">
        <w:rPr>
          <w:rFonts w:ascii="David" w:hAnsi="David" w:cs="David"/>
          <w:sz w:val="24"/>
          <w:szCs w:val="24"/>
          <w:rtl/>
        </w:rPr>
        <w:t xml:space="preserve"> לתקן את כתב טענותי</w:t>
      </w:r>
      <w:r w:rsidRPr="00E7101E">
        <w:rPr>
          <w:rFonts w:ascii="David" w:hAnsi="David" w:cs="David" w:hint="cs"/>
          <w:sz w:val="24"/>
          <w:szCs w:val="24"/>
          <w:rtl/>
        </w:rPr>
        <w:t>ו</w:t>
      </w:r>
      <w:r w:rsidRPr="00E7101E">
        <w:rPr>
          <w:rFonts w:ascii="David" w:hAnsi="David" w:cs="David"/>
          <w:sz w:val="24"/>
          <w:szCs w:val="24"/>
          <w:rtl/>
        </w:rPr>
        <w:t xml:space="preserve"> </w:t>
      </w:r>
      <w:r w:rsidRPr="00E7101E">
        <w:rPr>
          <w:rFonts w:ascii="David" w:hAnsi="David" w:cs="David" w:hint="cs"/>
          <w:sz w:val="24"/>
          <w:szCs w:val="24"/>
          <w:rtl/>
        </w:rPr>
        <w:t>ו</w:t>
      </w:r>
      <w:r w:rsidRPr="00E7101E">
        <w:rPr>
          <w:rFonts w:ascii="David" w:hAnsi="David" w:cs="David"/>
          <w:sz w:val="24"/>
          <w:szCs w:val="24"/>
          <w:rtl/>
        </w:rPr>
        <w:t>להגדיל את סכום התביעה.</w:t>
      </w:r>
    </w:p>
    <w:p w:rsidR="006A3EC3" w:rsidRPr="00E7101E" w:rsidRDefault="006A3EC3" w:rsidP="00CE2343">
      <w:pPr>
        <w:tabs>
          <w:tab w:val="left" w:pos="-55"/>
          <w:tab w:val="left" w:pos="720"/>
          <w:tab w:val="left" w:pos="2160"/>
          <w:tab w:val="left" w:pos="2880"/>
        </w:tabs>
        <w:autoSpaceDE w:val="0"/>
        <w:autoSpaceDN w:val="0"/>
        <w:adjustRightInd w:val="0"/>
        <w:spacing w:before="120" w:line="360" w:lineRule="auto"/>
        <w:ind w:left="720"/>
        <w:jc w:val="both"/>
        <w:rPr>
          <w:rFonts w:ascii="David" w:hAnsi="David" w:cs="David"/>
          <w:sz w:val="24"/>
          <w:szCs w:val="24"/>
        </w:rPr>
      </w:pPr>
      <w:r w:rsidRPr="00E7101E">
        <w:rPr>
          <w:rFonts w:ascii="David" w:hAnsi="David" w:cs="David"/>
          <w:sz w:val="24"/>
          <w:szCs w:val="24"/>
          <w:rtl/>
        </w:rPr>
        <w:t>הנתבעת תתנגד לכל פעולה שכזאת מטעם התובע ללא נטילת רשות מבית המשפט הנכבד ומבלי שתינתן לנתבעת הזדמנות להשמיע טענותיה בעניין, לאחר שהתובע יפעל להגיש בקשות מסודרות ומגובות בתצהירים ערוכים ומאומתים כדין.</w:t>
      </w:r>
    </w:p>
    <w:p w:rsidR="00CE2343" w:rsidRPr="00E7101E" w:rsidRDefault="00CE2343" w:rsidP="000A434B">
      <w:pPr>
        <w:keepLines/>
        <w:numPr>
          <w:ilvl w:val="0"/>
          <w:numId w:val="21"/>
        </w:numPr>
        <w:tabs>
          <w:tab w:val="clear" w:pos="927"/>
          <w:tab w:val="num" w:pos="674"/>
          <w:tab w:val="num" w:pos="815"/>
        </w:tabs>
        <w:spacing w:before="120" w:line="360" w:lineRule="auto"/>
        <w:ind w:left="714" w:hanging="357"/>
        <w:jc w:val="both"/>
        <w:rPr>
          <w:rFonts w:ascii="David" w:hAnsi="David" w:cs="David"/>
          <w:sz w:val="24"/>
          <w:szCs w:val="24"/>
        </w:rPr>
      </w:pPr>
      <w:r w:rsidRPr="00E7101E">
        <w:rPr>
          <w:rFonts w:ascii="David" w:hAnsi="David" w:cs="David"/>
          <w:sz w:val="24"/>
          <w:szCs w:val="24"/>
          <w:rtl/>
        </w:rPr>
        <w:lastRenderedPageBreak/>
        <w:t xml:space="preserve">מוכחש האמור והנטען בסעיף </w:t>
      </w:r>
      <w:r w:rsidRPr="00E7101E">
        <w:rPr>
          <w:rFonts w:ascii="David" w:hAnsi="David" w:cs="David" w:hint="cs"/>
          <w:sz w:val="24"/>
          <w:szCs w:val="24"/>
          <w:rtl/>
        </w:rPr>
        <w:t>84</w:t>
      </w:r>
      <w:r w:rsidRPr="00E7101E">
        <w:rPr>
          <w:rFonts w:ascii="David" w:hAnsi="David" w:cs="David"/>
          <w:sz w:val="24"/>
          <w:szCs w:val="24"/>
          <w:rtl/>
        </w:rPr>
        <w:t xml:space="preserve"> לכתב התביעה, על כל פרטיו. </w:t>
      </w:r>
    </w:p>
    <w:p w:rsidR="00CE2343" w:rsidRPr="00E7101E" w:rsidRDefault="00CE2343" w:rsidP="00CE2343">
      <w:pPr>
        <w:tabs>
          <w:tab w:val="num" w:pos="927"/>
        </w:tabs>
        <w:spacing w:before="120" w:line="360" w:lineRule="auto"/>
        <w:ind w:left="720"/>
        <w:jc w:val="both"/>
        <w:rPr>
          <w:rFonts w:ascii="David" w:hAnsi="David" w:cs="David"/>
          <w:sz w:val="24"/>
          <w:szCs w:val="24"/>
        </w:rPr>
      </w:pPr>
      <w:r w:rsidRPr="00E7101E">
        <w:rPr>
          <w:rFonts w:ascii="David" w:hAnsi="David" w:cs="David"/>
          <w:sz w:val="24"/>
          <w:szCs w:val="24"/>
          <w:rtl/>
        </w:rPr>
        <w:t>מבלי לגרוע מכלליות ההכחשה, מוסיפה הנתבעת וטוענת כי אינה חבה לתובע מאומה, ודין התובענה כנגדה להידחות תוך חיוב</w:t>
      </w:r>
      <w:r w:rsidRPr="00E7101E">
        <w:rPr>
          <w:rFonts w:ascii="David" w:hAnsi="David" w:cs="David" w:hint="cs"/>
          <w:sz w:val="24"/>
          <w:szCs w:val="24"/>
          <w:rtl/>
        </w:rPr>
        <w:t>ו</w:t>
      </w:r>
      <w:r w:rsidRPr="00E7101E">
        <w:rPr>
          <w:rFonts w:ascii="David" w:hAnsi="David" w:cs="David"/>
          <w:sz w:val="24"/>
          <w:szCs w:val="24"/>
          <w:rtl/>
        </w:rPr>
        <w:t xml:space="preserve"> בהוצאות משפט ושכ"ט עו"ד.</w:t>
      </w:r>
    </w:p>
    <w:p w:rsidR="00CE2343" w:rsidRPr="00E7101E" w:rsidRDefault="00CE2343" w:rsidP="000A434B">
      <w:pPr>
        <w:keepLines/>
        <w:numPr>
          <w:ilvl w:val="0"/>
          <w:numId w:val="21"/>
        </w:numPr>
        <w:tabs>
          <w:tab w:val="clear" w:pos="927"/>
          <w:tab w:val="num" w:pos="674"/>
          <w:tab w:val="num" w:pos="815"/>
        </w:tabs>
        <w:spacing w:before="120" w:line="360" w:lineRule="auto"/>
        <w:ind w:left="714" w:hanging="357"/>
        <w:jc w:val="both"/>
        <w:rPr>
          <w:rFonts w:ascii="David" w:hAnsi="David" w:cs="David"/>
          <w:sz w:val="24"/>
          <w:szCs w:val="24"/>
        </w:rPr>
      </w:pPr>
      <w:r w:rsidRPr="00E7101E">
        <w:rPr>
          <w:rFonts w:ascii="David" w:hAnsi="David" w:cs="David"/>
          <w:sz w:val="24"/>
          <w:szCs w:val="24"/>
          <w:rtl/>
        </w:rPr>
        <w:t>שום דבר מן האמור בכתב ההגנה דנא אין בו משום ויתור על כל טענה אחרת אשר עומדת לנתבעת על פי דין.</w:t>
      </w:r>
    </w:p>
    <w:p w:rsidR="00CE2343" w:rsidRDefault="00CE2343" w:rsidP="00CE2343">
      <w:pPr>
        <w:spacing w:before="240" w:line="360" w:lineRule="auto"/>
        <w:ind w:left="360"/>
        <w:jc w:val="both"/>
        <w:rPr>
          <w:rFonts w:ascii="David" w:hAnsi="David" w:cs="David"/>
          <w:sz w:val="24"/>
          <w:szCs w:val="24"/>
          <w:rtl/>
        </w:rPr>
      </w:pPr>
      <w:r w:rsidRPr="00E7101E">
        <w:rPr>
          <w:rFonts w:ascii="David" w:hAnsi="David" w:cs="David"/>
          <w:sz w:val="24"/>
          <w:szCs w:val="24"/>
          <w:rtl/>
        </w:rPr>
        <w:t>אשר על כן מתבקש בית המשפט הנכבד לדחות את התביעה כנגד הנתבעת על הסף, ולחילופין בלבד - לגופו של ענין, ולחייב את התובע בהוצאות משפט ושכר טרחת עו"ד כדין בצירוף הפרשי ריבית והצמדה מיום מתן פסק הדין ועד ליום התשלום בפועל.</w:t>
      </w:r>
    </w:p>
    <w:p w:rsidR="00A06635" w:rsidRPr="00E7101E" w:rsidRDefault="00A06635" w:rsidP="00CE2343">
      <w:pPr>
        <w:spacing w:before="240" w:line="360" w:lineRule="auto"/>
        <w:ind w:left="360"/>
        <w:jc w:val="both"/>
        <w:rPr>
          <w:rFonts w:ascii="David" w:hAnsi="David" w:cs="David"/>
          <w:sz w:val="24"/>
          <w:szCs w:val="24"/>
          <w:rtl/>
        </w:rPr>
      </w:pPr>
    </w:p>
    <w:p w:rsidR="002431BA" w:rsidRPr="00E7101E" w:rsidRDefault="002431BA" w:rsidP="008C6769">
      <w:pPr>
        <w:tabs>
          <w:tab w:val="center" w:pos="6521"/>
        </w:tabs>
        <w:ind w:left="3769"/>
        <w:jc w:val="center"/>
        <w:rPr>
          <w:rtl/>
        </w:rPr>
      </w:pPr>
    </w:p>
    <w:p w:rsidR="00A704EE" w:rsidRPr="00424BFC" w:rsidRDefault="00424BFC" w:rsidP="00424BFC">
      <w:pPr>
        <w:tabs>
          <w:tab w:val="center" w:pos="6521"/>
        </w:tabs>
        <w:rPr>
          <w:rFonts w:ascii="David" w:hAnsi="David" w:cs="David"/>
          <w:b/>
          <w:bCs/>
          <w:sz w:val="24"/>
          <w:szCs w:val="24"/>
          <w:rtl/>
        </w:rPr>
      </w:pPr>
      <w:r>
        <w:rPr>
          <w:rFonts w:ascii="David" w:hAnsi="David" w:cs="David"/>
          <w:b/>
          <w:bCs/>
          <w:sz w:val="24"/>
          <w:szCs w:val="24"/>
          <w:rtl/>
        </w:rPr>
        <w:t>____________________________</w:t>
      </w:r>
      <w:r w:rsidRPr="00424BFC">
        <w:rPr>
          <w:rFonts w:ascii="David" w:hAnsi="David" w:cs="David"/>
          <w:b/>
          <w:bCs/>
          <w:sz w:val="24"/>
          <w:szCs w:val="24"/>
          <w:rtl/>
        </w:rPr>
        <w:t xml:space="preserve">                                                   __________________________</w:t>
      </w:r>
      <w:r>
        <w:rPr>
          <w:rFonts w:ascii="David" w:hAnsi="David" w:cs="David" w:hint="cs"/>
          <w:b/>
          <w:bCs/>
          <w:sz w:val="24"/>
          <w:szCs w:val="24"/>
          <w:rtl/>
        </w:rPr>
        <w:t>__</w:t>
      </w:r>
    </w:p>
    <w:p w:rsidR="00424BFC" w:rsidRPr="00424BFC" w:rsidRDefault="00424BFC" w:rsidP="00424BFC">
      <w:pPr>
        <w:tabs>
          <w:tab w:val="center" w:pos="9298"/>
        </w:tabs>
        <w:rPr>
          <w:rFonts w:ascii="David" w:hAnsi="David" w:cs="David"/>
          <w:b/>
          <w:bCs/>
          <w:sz w:val="24"/>
          <w:szCs w:val="24"/>
          <w:rtl/>
        </w:rPr>
      </w:pPr>
      <w:r w:rsidRPr="00424BFC">
        <w:rPr>
          <w:rFonts w:ascii="David" w:hAnsi="David" w:cs="David"/>
          <w:b/>
          <w:bCs/>
          <w:sz w:val="24"/>
          <w:szCs w:val="24"/>
          <w:rtl/>
        </w:rPr>
        <w:t xml:space="preserve">               </w:t>
      </w:r>
      <w:r w:rsidR="006D3927" w:rsidRPr="00424BFC">
        <w:rPr>
          <w:rFonts w:ascii="David" w:hAnsi="David" w:cs="David"/>
          <w:b/>
          <w:bCs/>
          <w:sz w:val="24"/>
          <w:szCs w:val="24"/>
          <w:rtl/>
        </w:rPr>
        <w:fldChar w:fldCharType="begin"/>
      </w:r>
      <w:r w:rsidR="006D3927" w:rsidRPr="00424BFC">
        <w:rPr>
          <w:rFonts w:ascii="David" w:hAnsi="David" w:cs="David"/>
          <w:b/>
          <w:bCs/>
          <w:sz w:val="24"/>
          <w:szCs w:val="24"/>
          <w:rtl/>
        </w:rPr>
        <w:instrText xml:space="preserve"> </w:instrText>
      </w:r>
      <w:r w:rsidR="006D3927" w:rsidRPr="00424BFC">
        <w:rPr>
          <w:rFonts w:ascii="David" w:hAnsi="David" w:cs="David"/>
          <w:b/>
          <w:bCs/>
          <w:sz w:val="24"/>
          <w:szCs w:val="24"/>
        </w:rPr>
        <w:instrText>DOCPROPERTY systemuser.fullname \* MERGEFORMAT</w:instrText>
      </w:r>
      <w:r w:rsidR="006D3927" w:rsidRPr="00424BFC">
        <w:rPr>
          <w:rFonts w:ascii="David" w:hAnsi="David" w:cs="David"/>
          <w:b/>
          <w:bCs/>
          <w:sz w:val="24"/>
          <w:szCs w:val="24"/>
          <w:rtl/>
        </w:rPr>
        <w:instrText xml:space="preserve"> </w:instrText>
      </w:r>
      <w:r w:rsidR="006D3927" w:rsidRPr="00424BFC">
        <w:rPr>
          <w:rFonts w:ascii="David" w:hAnsi="David" w:cs="David"/>
          <w:b/>
          <w:bCs/>
          <w:sz w:val="24"/>
          <w:szCs w:val="24"/>
          <w:rtl/>
        </w:rPr>
        <w:fldChar w:fldCharType="separate"/>
      </w:r>
      <w:r w:rsidR="006D3927" w:rsidRPr="00424BFC">
        <w:rPr>
          <w:rFonts w:ascii="David" w:hAnsi="David" w:cs="David"/>
          <w:b/>
          <w:bCs/>
          <w:sz w:val="24"/>
          <w:szCs w:val="24"/>
          <w:rtl/>
        </w:rPr>
        <w:t>סימה אזולאי</w:t>
      </w:r>
      <w:r w:rsidR="006D3927" w:rsidRPr="00424BFC">
        <w:rPr>
          <w:rFonts w:ascii="David" w:hAnsi="David" w:cs="David"/>
          <w:b/>
          <w:bCs/>
          <w:sz w:val="24"/>
          <w:szCs w:val="24"/>
          <w:rtl/>
        </w:rPr>
        <w:fldChar w:fldCharType="end"/>
      </w:r>
      <w:r w:rsidR="006D3927" w:rsidRPr="00424BFC">
        <w:rPr>
          <w:rFonts w:ascii="David" w:hAnsi="David" w:cs="David"/>
          <w:b/>
          <w:bCs/>
          <w:sz w:val="24"/>
          <w:szCs w:val="24"/>
          <w:rtl/>
        </w:rPr>
        <w:t xml:space="preserve">, </w:t>
      </w:r>
      <w:r w:rsidR="002431BA" w:rsidRPr="00424BFC">
        <w:rPr>
          <w:rFonts w:ascii="David" w:hAnsi="David" w:cs="David"/>
          <w:b/>
          <w:bCs/>
          <w:sz w:val="24"/>
          <w:szCs w:val="24"/>
          <w:rtl/>
        </w:rPr>
        <w:t>עו"ד</w:t>
      </w:r>
      <w:r w:rsidRPr="00424BFC">
        <w:rPr>
          <w:rFonts w:ascii="David" w:hAnsi="David" w:cs="David"/>
          <w:b/>
          <w:bCs/>
          <w:sz w:val="24"/>
          <w:szCs w:val="24"/>
          <w:rtl/>
        </w:rPr>
        <w:t xml:space="preserve">                                                                                        עודי מנסור, עו"ד</w:t>
      </w:r>
      <w:r w:rsidRPr="00424BFC">
        <w:rPr>
          <w:rFonts w:ascii="David" w:hAnsi="David" w:cs="David"/>
          <w:b/>
          <w:bCs/>
          <w:sz w:val="24"/>
          <w:szCs w:val="24"/>
          <w:rtl/>
        </w:rPr>
        <w:fldChar w:fldCharType="begin"/>
      </w:r>
      <w:r w:rsidRPr="00424BFC">
        <w:rPr>
          <w:rFonts w:ascii="David" w:hAnsi="David" w:cs="David"/>
          <w:b/>
          <w:bCs/>
          <w:sz w:val="24"/>
          <w:szCs w:val="24"/>
          <w:rtl/>
        </w:rPr>
        <w:instrText xml:space="preserve"> </w:instrText>
      </w:r>
      <w:r w:rsidRPr="00424BFC">
        <w:rPr>
          <w:rFonts w:ascii="David" w:hAnsi="David" w:cs="David"/>
          <w:b/>
          <w:bCs/>
          <w:sz w:val="24"/>
          <w:szCs w:val="24"/>
        </w:rPr>
        <w:instrText>DOCPROPERTY systemuser.tnufa_title \* MERGEFORMAT</w:instrText>
      </w:r>
      <w:r w:rsidRPr="00424BFC">
        <w:rPr>
          <w:rFonts w:ascii="David" w:hAnsi="David" w:cs="David"/>
          <w:b/>
          <w:bCs/>
          <w:sz w:val="24"/>
          <w:szCs w:val="24"/>
          <w:rtl/>
        </w:rPr>
        <w:instrText xml:space="preserve"> </w:instrText>
      </w:r>
      <w:r w:rsidRPr="00424BFC">
        <w:rPr>
          <w:rFonts w:ascii="David" w:hAnsi="David" w:cs="David"/>
          <w:b/>
          <w:bCs/>
          <w:sz w:val="24"/>
          <w:szCs w:val="24"/>
          <w:rtl/>
        </w:rPr>
        <w:fldChar w:fldCharType="end"/>
      </w:r>
    </w:p>
    <w:p w:rsidR="00424BFC" w:rsidRPr="00424BFC" w:rsidRDefault="00424BFC" w:rsidP="00424BFC">
      <w:pPr>
        <w:tabs>
          <w:tab w:val="center" w:pos="6746"/>
        </w:tabs>
        <w:rPr>
          <w:rFonts w:ascii="David" w:hAnsi="David" w:cs="David"/>
          <w:b/>
          <w:bCs/>
          <w:sz w:val="24"/>
          <w:szCs w:val="24"/>
          <w:rtl/>
        </w:rPr>
      </w:pPr>
      <w:r w:rsidRPr="00424BFC">
        <w:rPr>
          <w:rFonts w:ascii="David" w:hAnsi="David" w:cs="David"/>
          <w:b/>
          <w:bCs/>
          <w:sz w:val="24"/>
          <w:szCs w:val="24"/>
          <w:rtl/>
        </w:rPr>
        <w:t xml:space="preserve">     </w:t>
      </w:r>
      <w:r w:rsidRPr="00424BFC">
        <w:rPr>
          <w:rFonts w:ascii="David" w:hAnsi="David" w:cs="David"/>
          <w:b/>
          <w:bCs/>
          <w:sz w:val="24"/>
          <w:szCs w:val="24"/>
          <w:rtl/>
        </w:rPr>
        <w:fldChar w:fldCharType="begin"/>
      </w:r>
      <w:r w:rsidRPr="00424BFC">
        <w:rPr>
          <w:rFonts w:ascii="David" w:hAnsi="David" w:cs="David"/>
          <w:b/>
          <w:bCs/>
          <w:sz w:val="24"/>
          <w:szCs w:val="24"/>
          <w:rtl/>
        </w:rPr>
        <w:instrText xml:space="preserve"> </w:instrText>
      </w:r>
      <w:r w:rsidRPr="00424BFC">
        <w:rPr>
          <w:rFonts w:ascii="David" w:hAnsi="David" w:cs="David"/>
          <w:b/>
          <w:bCs/>
          <w:sz w:val="24"/>
          <w:szCs w:val="24"/>
        </w:rPr>
        <w:instrText>DOCPROPERTY systemuser.tnufa_role \* MERGEFORMAT</w:instrText>
      </w:r>
      <w:r w:rsidRPr="00424BFC">
        <w:rPr>
          <w:rFonts w:ascii="David" w:hAnsi="David" w:cs="David"/>
          <w:b/>
          <w:bCs/>
          <w:sz w:val="24"/>
          <w:szCs w:val="24"/>
          <w:rtl/>
        </w:rPr>
        <w:instrText xml:space="preserve"> </w:instrText>
      </w:r>
      <w:r w:rsidRPr="00424BFC">
        <w:rPr>
          <w:rFonts w:ascii="David" w:hAnsi="David" w:cs="David"/>
          <w:b/>
          <w:bCs/>
          <w:sz w:val="24"/>
          <w:szCs w:val="24"/>
          <w:rtl/>
        </w:rPr>
        <w:fldChar w:fldCharType="separate"/>
      </w:r>
      <w:r w:rsidRPr="00424BFC">
        <w:rPr>
          <w:rFonts w:ascii="David" w:hAnsi="David" w:cs="David"/>
          <w:b/>
          <w:bCs/>
          <w:sz w:val="24"/>
          <w:szCs w:val="24"/>
          <w:rtl/>
        </w:rPr>
        <w:t>פרקליטות מחוז</w:t>
      </w:r>
      <w:r w:rsidRPr="00424BFC">
        <w:rPr>
          <w:rFonts w:ascii="David" w:hAnsi="David" w:cs="David"/>
          <w:b/>
          <w:bCs/>
          <w:sz w:val="24"/>
          <w:szCs w:val="24"/>
          <w:rtl/>
        </w:rPr>
        <w:fldChar w:fldCharType="end"/>
      </w:r>
      <w:r w:rsidRPr="00424BFC">
        <w:rPr>
          <w:rFonts w:ascii="David" w:hAnsi="David" w:cs="David"/>
          <w:b/>
          <w:bCs/>
          <w:sz w:val="24"/>
          <w:szCs w:val="24"/>
          <w:rtl/>
        </w:rPr>
        <w:t xml:space="preserve"> </w:t>
      </w:r>
      <w:r w:rsidRPr="00424BFC">
        <w:rPr>
          <w:rFonts w:ascii="David" w:hAnsi="David" w:cs="David"/>
          <w:b/>
          <w:bCs/>
          <w:sz w:val="24"/>
          <w:szCs w:val="24"/>
          <w:rtl/>
        </w:rPr>
        <w:fldChar w:fldCharType="begin"/>
      </w:r>
      <w:r w:rsidRPr="00424BFC">
        <w:rPr>
          <w:rFonts w:ascii="David" w:hAnsi="David" w:cs="David"/>
          <w:b/>
          <w:bCs/>
          <w:sz w:val="24"/>
          <w:szCs w:val="24"/>
          <w:rtl/>
        </w:rPr>
        <w:instrText xml:space="preserve"> </w:instrText>
      </w:r>
      <w:r w:rsidRPr="00424BFC">
        <w:rPr>
          <w:rFonts w:ascii="David" w:hAnsi="David" w:cs="David"/>
          <w:b/>
          <w:bCs/>
          <w:sz w:val="24"/>
          <w:szCs w:val="24"/>
        </w:rPr>
        <w:instrText>DOCPROPERTY businessunit.tnufa_nameforsigning \* MERGEFORMAT</w:instrText>
      </w:r>
      <w:r w:rsidRPr="00424BFC">
        <w:rPr>
          <w:rFonts w:ascii="David" w:hAnsi="David" w:cs="David"/>
          <w:b/>
          <w:bCs/>
          <w:sz w:val="24"/>
          <w:szCs w:val="24"/>
          <w:rtl/>
        </w:rPr>
        <w:instrText xml:space="preserve"> </w:instrText>
      </w:r>
      <w:r w:rsidRPr="00424BFC">
        <w:rPr>
          <w:rFonts w:ascii="David" w:hAnsi="David" w:cs="David"/>
          <w:b/>
          <w:bCs/>
          <w:sz w:val="24"/>
          <w:szCs w:val="24"/>
          <w:rtl/>
        </w:rPr>
        <w:fldChar w:fldCharType="separate"/>
      </w:r>
      <w:r w:rsidRPr="00424BFC">
        <w:rPr>
          <w:rFonts w:ascii="David" w:hAnsi="David" w:cs="David"/>
          <w:b/>
          <w:bCs/>
          <w:sz w:val="24"/>
          <w:szCs w:val="24"/>
          <w:rtl/>
        </w:rPr>
        <w:t>מרכז - אזרחי</w:t>
      </w:r>
      <w:r w:rsidRPr="00424BFC">
        <w:rPr>
          <w:rFonts w:ascii="David" w:hAnsi="David" w:cs="David"/>
          <w:b/>
          <w:bCs/>
          <w:sz w:val="24"/>
          <w:szCs w:val="24"/>
          <w:rtl/>
        </w:rPr>
        <w:fldChar w:fldCharType="end"/>
      </w:r>
      <w:r w:rsidRPr="00424BFC">
        <w:rPr>
          <w:rFonts w:ascii="David" w:hAnsi="David" w:cs="David"/>
          <w:b/>
          <w:bCs/>
          <w:sz w:val="24"/>
          <w:szCs w:val="24"/>
          <w:rtl/>
        </w:rPr>
        <w:tab/>
        <w:t xml:space="preserve">                                      פרקליטות מחוז מרכז - אזרחי</w:t>
      </w:r>
    </w:p>
    <w:p w:rsidR="00A704EE" w:rsidRPr="00424BFC" w:rsidRDefault="00424BFC" w:rsidP="00424BFC">
      <w:pPr>
        <w:tabs>
          <w:tab w:val="center" w:pos="9298"/>
        </w:tabs>
        <w:rPr>
          <w:rFonts w:ascii="David" w:hAnsi="David" w:cs="David"/>
          <w:b/>
          <w:bCs/>
          <w:sz w:val="24"/>
          <w:szCs w:val="24"/>
          <w:rtl/>
        </w:rPr>
      </w:pPr>
      <w:r w:rsidRPr="00424BFC">
        <w:rPr>
          <w:rFonts w:ascii="David" w:hAnsi="David" w:cs="David"/>
          <w:b/>
          <w:bCs/>
          <w:sz w:val="24"/>
          <w:szCs w:val="24"/>
          <w:rtl/>
        </w:rPr>
        <w:t xml:space="preserve">                  ב"כ המדינה                                                                                                     ב"כ המדינה</w:t>
      </w:r>
    </w:p>
    <w:p w:rsidR="002431BA" w:rsidRPr="00E7101E" w:rsidRDefault="006D3927" w:rsidP="002431BA">
      <w:pPr>
        <w:spacing w:line="360" w:lineRule="auto"/>
        <w:rPr>
          <w:rFonts w:cs="David"/>
          <w:sz w:val="24"/>
          <w:szCs w:val="24"/>
          <w:rtl/>
        </w:rPr>
      </w:pPr>
      <w:r w:rsidRPr="00E7101E">
        <w:rPr>
          <w:rFonts w:cs="David"/>
          <w:rtl/>
        </w:rPr>
        <w:fldChar w:fldCharType="begin"/>
      </w:r>
      <w:r w:rsidRPr="00E7101E">
        <w:rPr>
          <w:rFonts w:cs="David"/>
          <w:rtl/>
        </w:rPr>
        <w:instrText xml:space="preserve"> </w:instrText>
      </w:r>
      <w:r w:rsidRPr="00E7101E">
        <w:rPr>
          <w:rFonts w:cs="David" w:hint="cs"/>
        </w:rPr>
        <w:instrText>DOCPROPERTY businessunit.name \* MERGEFORMAT</w:instrText>
      </w:r>
      <w:r w:rsidRPr="00E7101E">
        <w:rPr>
          <w:rFonts w:cs="David"/>
          <w:rtl/>
        </w:rPr>
        <w:instrText xml:space="preserve"> </w:instrText>
      </w:r>
      <w:r w:rsidRPr="00E7101E">
        <w:rPr>
          <w:rFonts w:cs="David"/>
          <w:rtl/>
        </w:rPr>
        <w:fldChar w:fldCharType="separate"/>
      </w:r>
      <w:r w:rsidRPr="00E7101E">
        <w:rPr>
          <w:rFonts w:cs="David"/>
          <w:rtl/>
        </w:rPr>
        <w:t>פמ"מ</w:t>
      </w:r>
      <w:r w:rsidRPr="00E7101E">
        <w:rPr>
          <w:rFonts w:cs="David"/>
          <w:rtl/>
        </w:rPr>
        <w:fldChar w:fldCharType="end"/>
      </w:r>
      <w:r w:rsidRPr="00E7101E">
        <w:rPr>
          <w:rFonts w:cs="David" w:hint="cs"/>
          <w:rtl/>
        </w:rPr>
        <w:t xml:space="preserve">  </w:t>
      </w:r>
      <w:r w:rsidRPr="00E7101E">
        <w:rPr>
          <w:rFonts w:cs="David"/>
          <w:rtl/>
        </w:rPr>
        <w:fldChar w:fldCharType="begin"/>
      </w:r>
      <w:r w:rsidRPr="00E7101E">
        <w:rPr>
          <w:rFonts w:cs="David"/>
          <w:rtl/>
        </w:rPr>
        <w:instrText xml:space="preserve"> </w:instrText>
      </w:r>
      <w:r w:rsidRPr="00E7101E">
        <w:rPr>
          <w:rFonts w:cs="David" w:hint="cs"/>
        </w:rPr>
        <w:instrText>DOCPROPERTY account.accountnumber \* MERGEFORMAT</w:instrText>
      </w:r>
      <w:r w:rsidRPr="00E7101E">
        <w:rPr>
          <w:rFonts w:cs="David"/>
          <w:rtl/>
        </w:rPr>
        <w:instrText xml:space="preserve"> </w:instrText>
      </w:r>
      <w:r w:rsidRPr="00E7101E">
        <w:rPr>
          <w:rFonts w:cs="David"/>
          <w:rtl/>
        </w:rPr>
        <w:fldChar w:fldCharType="separate"/>
      </w:r>
      <w:r w:rsidRPr="00E7101E">
        <w:rPr>
          <w:rFonts w:cs="David"/>
          <w:rtl/>
        </w:rPr>
        <w:t>53/00000614/18</w:t>
      </w:r>
      <w:r w:rsidRPr="00E7101E">
        <w:rPr>
          <w:rFonts w:cs="David"/>
          <w:rtl/>
        </w:rPr>
        <w:fldChar w:fldCharType="end"/>
      </w:r>
      <w:r w:rsidR="002431BA" w:rsidRPr="00E7101E">
        <w:rPr>
          <w:rFonts w:cs="David" w:hint="cs"/>
          <w:rtl/>
        </w:rPr>
        <w:t xml:space="preserve">; </w:t>
      </w:r>
      <w:r w:rsidR="002431BA" w:rsidRPr="00E7101E">
        <w:rPr>
          <w:rFonts w:cs="David"/>
          <w:rtl/>
        </w:rPr>
        <w:fldChar w:fldCharType="begin"/>
      </w:r>
      <w:r w:rsidR="002431BA" w:rsidRPr="00E7101E">
        <w:rPr>
          <w:rFonts w:cs="David"/>
          <w:rtl/>
        </w:rPr>
        <w:instrText xml:space="preserve"> </w:instrText>
      </w:r>
      <w:r w:rsidR="002431BA" w:rsidRPr="00E7101E">
        <w:rPr>
          <w:rFonts w:cs="David" w:hint="cs"/>
        </w:rPr>
        <w:instrText>DOCPROPERTY tnufa_reference \* MERGEFORMAT</w:instrText>
      </w:r>
      <w:r w:rsidR="002431BA" w:rsidRPr="00E7101E">
        <w:rPr>
          <w:rFonts w:cs="David"/>
          <w:rtl/>
        </w:rPr>
        <w:instrText xml:space="preserve"> </w:instrText>
      </w:r>
      <w:r w:rsidR="002431BA" w:rsidRPr="00E7101E">
        <w:rPr>
          <w:rFonts w:cs="David"/>
          <w:rtl/>
        </w:rPr>
        <w:fldChar w:fldCharType="separate"/>
      </w:r>
      <w:r w:rsidR="002431BA" w:rsidRPr="00E7101E">
        <w:rPr>
          <w:rFonts w:cs="David"/>
          <w:rtl/>
        </w:rPr>
        <w:t>303476/2018</w:t>
      </w:r>
      <w:r w:rsidR="002431BA" w:rsidRPr="00E7101E">
        <w:rPr>
          <w:rFonts w:cs="David"/>
          <w:rtl/>
        </w:rPr>
        <w:fldChar w:fldCharType="end"/>
      </w:r>
      <w:r w:rsidR="002431BA" w:rsidRPr="00E7101E">
        <w:rPr>
          <w:rFonts w:cs="David"/>
          <w:sz w:val="24"/>
          <w:szCs w:val="24"/>
          <w:rtl/>
        </w:rPr>
        <w:t xml:space="preserve"> </w:t>
      </w:r>
    </w:p>
    <w:p w:rsidR="00A704EE" w:rsidRPr="00E7101E" w:rsidRDefault="00A704EE" w:rsidP="006D3927">
      <w:pPr>
        <w:spacing w:line="360" w:lineRule="auto"/>
        <w:rPr>
          <w:rFonts w:cs="David"/>
          <w:rtl/>
        </w:rPr>
      </w:pPr>
    </w:p>
    <w:p w:rsidR="00C27E6E" w:rsidRPr="00E7101E" w:rsidRDefault="00C27E6E" w:rsidP="006D3927">
      <w:pPr>
        <w:spacing w:line="360" w:lineRule="auto"/>
        <w:rPr>
          <w:rFonts w:cs="David"/>
          <w:rtl/>
        </w:rPr>
      </w:pPr>
    </w:p>
    <w:p w:rsidR="00C27E6E" w:rsidRPr="00E7101E" w:rsidRDefault="00C27E6E" w:rsidP="006D3927">
      <w:pPr>
        <w:spacing w:line="360" w:lineRule="auto"/>
        <w:rPr>
          <w:rFonts w:cs="David"/>
          <w:rtl/>
        </w:rPr>
      </w:pPr>
    </w:p>
    <w:p w:rsidR="00726E2D" w:rsidRPr="00726E2D" w:rsidRDefault="00726E2D" w:rsidP="00BB1BE8">
      <w:pPr>
        <w:spacing w:line="360" w:lineRule="auto"/>
        <w:jc w:val="both"/>
        <w:rPr>
          <w:rFonts w:cs="David"/>
          <w:sz w:val="24"/>
          <w:szCs w:val="24"/>
          <w:rtl/>
        </w:rPr>
      </w:pPr>
    </w:p>
    <w:sectPr w:rsidR="00726E2D" w:rsidRPr="00726E2D" w:rsidSect="00BC715A">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20" w:gutter="0"/>
      <w:cols w:space="720"/>
      <w:titlePg/>
      <w:bidi/>
      <w:rtlGutter/>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mmie Wolf" w:date="2018-09-14T19:21:00Z" w:initials="AW">
    <w:p w:rsidR="000B0CC5" w:rsidRPr="009116B7" w:rsidRDefault="000B0CC5" w:rsidP="00AE6B13">
      <w:pPr>
        <w:pStyle w:val="a9"/>
      </w:pPr>
      <w:r>
        <w:rPr>
          <w:rStyle w:val="a8"/>
        </w:rPr>
        <w:annotationRef/>
      </w:r>
      <w:r>
        <w:rPr>
          <w:rStyle w:val="a8"/>
        </w:rPr>
        <w:annotationRef/>
      </w:r>
      <w:r w:rsidR="00ED61E8">
        <w:rPr>
          <w:rFonts w:hint="cs"/>
          <w:rtl/>
        </w:rPr>
        <w:t xml:space="preserve">ניתן </w:t>
      </w:r>
      <w:r w:rsidR="00D5799B">
        <w:rPr>
          <w:rFonts w:hint="cs"/>
          <w:rtl/>
        </w:rPr>
        <w:t>לעדן</w:t>
      </w:r>
      <w:r w:rsidR="00AE6B13">
        <w:rPr>
          <w:rFonts w:hint="cs"/>
          <w:rtl/>
        </w:rPr>
        <w:t xml:space="preserve"> את הפגיעה במהימנות עו"ד גור פינקלשטיין (להלן: העד)</w:t>
      </w:r>
      <w:r w:rsidR="00ED61E8">
        <w:rPr>
          <w:rFonts w:hint="cs"/>
          <w:rtl/>
        </w:rPr>
        <w:t xml:space="preserve"> על </w:t>
      </w:r>
      <w:r>
        <w:rPr>
          <w:rFonts w:hint="cs"/>
          <w:rtl/>
        </w:rPr>
        <w:t>ידי השמטת מילים אלה, והותרת יתר המשפט</w:t>
      </w:r>
      <w:r w:rsidR="00AE6B13">
        <w:rPr>
          <w:rFonts w:hint="cs"/>
          <w:rtl/>
        </w:rPr>
        <w:t>. זאת</w:t>
      </w:r>
      <w:r>
        <w:rPr>
          <w:rFonts w:hint="cs"/>
          <w:rtl/>
        </w:rPr>
        <w:t xml:space="preserve"> בשים לב לכך שלא נראה כי יש בהשמטת מילים אלה כדי להחליש את </w:t>
      </w:r>
      <w:r w:rsidR="00733790">
        <w:rPr>
          <w:rFonts w:hint="cs"/>
          <w:rtl/>
        </w:rPr>
        <w:t>חוזק</w:t>
      </w:r>
      <w:r>
        <w:rPr>
          <w:rFonts w:hint="cs"/>
          <w:rtl/>
        </w:rPr>
        <w:t xml:space="preserve"> ההגנה. עם זאת, הדבר לא הכרחי.</w:t>
      </w:r>
    </w:p>
  </w:comment>
  <w:comment w:id="3" w:author="Ammie Wolf" w:date="2018-09-14T19:17:00Z" w:initials="AW">
    <w:p w:rsidR="000B0CC5" w:rsidRDefault="000B0CC5" w:rsidP="006F5EAB">
      <w:pPr>
        <w:pStyle w:val="a9"/>
        <w:rPr>
          <w:rtl/>
        </w:rPr>
      </w:pPr>
      <w:r>
        <w:rPr>
          <w:rStyle w:val="a8"/>
        </w:rPr>
        <w:annotationRef/>
      </w:r>
      <w:r>
        <w:rPr>
          <w:rFonts w:hint="cs"/>
          <w:rtl/>
        </w:rPr>
        <w:t xml:space="preserve">ראו בהקשר זה ההערה הבאה </w:t>
      </w:r>
      <w:r>
        <w:rPr>
          <w:rtl/>
        </w:rPr>
        <w:t>–</w:t>
      </w:r>
      <w:r>
        <w:rPr>
          <w:rFonts w:hint="cs"/>
          <w:rtl/>
        </w:rPr>
        <w:t xml:space="preserve"> </w:t>
      </w:r>
      <w:r w:rsidR="006F5EAB">
        <w:rPr>
          <w:rFonts w:hint="cs"/>
          <w:rtl/>
        </w:rPr>
        <w:t>הערה 3 להלן</w:t>
      </w:r>
      <w:r>
        <w:rPr>
          <w:rFonts w:hint="cs"/>
          <w:rtl/>
        </w:rPr>
        <w:t xml:space="preserve"> (פסקה זו חוזרת בס' ד46).</w:t>
      </w:r>
    </w:p>
  </w:comment>
  <w:comment w:id="4" w:author="Ammie Wolf" w:date="2018-09-14T19:23:00Z" w:initials="AW">
    <w:p w:rsidR="000B0CC5" w:rsidRPr="008F3E3B" w:rsidRDefault="000B0CC5" w:rsidP="00AE6B13">
      <w:pPr>
        <w:pStyle w:val="a9"/>
        <w:rPr>
          <w:rtl/>
        </w:rPr>
      </w:pPr>
      <w:r>
        <w:rPr>
          <w:rStyle w:val="a8"/>
        </w:rPr>
        <w:annotationRef/>
      </w:r>
      <w:r w:rsidRPr="008F3E3B">
        <w:annotationRef/>
      </w:r>
      <w:r w:rsidRPr="008F3E3B">
        <w:rPr>
          <w:rFonts w:hint="cs"/>
          <w:rtl/>
        </w:rPr>
        <w:t>מפנה את תשומת ליבכן לכך שטענת הגנה זו עלולה לפגוע במהימנות העד, אך מאחר שמדובר בטענת הגנה מרכזית, לא נכון בעיני להשמיטה.</w:t>
      </w:r>
    </w:p>
    <w:p w:rsidR="000B0CC5" w:rsidRDefault="000B0CC5" w:rsidP="008F3E3B">
      <w:pPr>
        <w:pStyle w:val="a9"/>
        <w:rPr>
          <w:rtl/>
        </w:rPr>
      </w:pPr>
      <w:r w:rsidRPr="008F3E3B">
        <w:rPr>
          <w:rFonts w:hint="cs"/>
          <w:rtl/>
        </w:rPr>
        <w:t xml:space="preserve">באופן דומה, גם הפסקה הבאה, המדגישה את חומרת העבירות בהן הורשע העד, כמו גם את חומרת נסיבות ביצוען, עלולה </w:t>
      </w:r>
      <w:r w:rsidR="00D5799B">
        <w:rPr>
          <w:rFonts w:hint="cs"/>
          <w:rtl/>
        </w:rPr>
        <w:t>לפגום במהימנותו. אומנם ניתן לעדן</w:t>
      </w:r>
      <w:r w:rsidRPr="008F3E3B">
        <w:rPr>
          <w:rFonts w:hint="cs"/>
          <w:rtl/>
        </w:rPr>
        <w:t xml:space="preserve"> מעט את הפסקה, אך משחומרת העבירות שיוחסו לעד נשקלה ערב חתימת הסכם עד המדינה, אני לא חושבת שהדבר הכרחי. </w:t>
      </w:r>
      <w:r w:rsidR="006F5EAB">
        <w:rPr>
          <w:rFonts w:hint="cs"/>
          <w:rtl/>
        </w:rPr>
        <w:t xml:space="preserve">עוד </w:t>
      </w:r>
      <w:r w:rsidRPr="008F3E3B">
        <w:rPr>
          <w:rFonts w:hint="cs"/>
          <w:rtl/>
        </w:rPr>
        <w:t>יצוין כי חומרת מעשיו של העד מודגשת לאורך כל כתב ההגנה (ראו, למשל, סעיף 15 וכן סעיף ג1).</w:t>
      </w:r>
    </w:p>
    <w:p w:rsidR="000B0CC5" w:rsidRPr="008F3E3B" w:rsidRDefault="000B0CC5" w:rsidP="00AE6B13">
      <w:pPr>
        <w:pStyle w:val="a9"/>
        <w:rPr>
          <w:rtl/>
        </w:rPr>
      </w:pPr>
      <w:r w:rsidRPr="008F3E3B">
        <w:rPr>
          <w:rFonts w:hint="cs"/>
          <w:rtl/>
        </w:rPr>
        <w:t>הדברים נכונים גם לגבי הטענ</w:t>
      </w:r>
      <w:r>
        <w:rPr>
          <w:rFonts w:hint="cs"/>
          <w:rtl/>
        </w:rPr>
        <w:t>ות שחוזרות בכתב ההגנה, לפיהן:</w:t>
      </w:r>
      <w:r w:rsidRPr="008F3E3B">
        <w:rPr>
          <w:rFonts w:hint="cs"/>
          <w:rtl/>
        </w:rPr>
        <w:t xml:space="preserve"> העד זוכה מחמת הספק</w:t>
      </w:r>
      <w:r>
        <w:rPr>
          <w:rFonts w:hint="cs"/>
          <w:rtl/>
        </w:rPr>
        <w:t xml:space="preserve"> בלבד, כאשר החשדות שהופנו נגדו היו כבדים (ראו, למשל, הדברים המודגשים בהערה הקודמת </w:t>
      </w:r>
      <w:r>
        <w:rPr>
          <w:rtl/>
        </w:rPr>
        <w:t>–</w:t>
      </w:r>
      <w:r>
        <w:rPr>
          <w:rFonts w:hint="cs"/>
          <w:rtl/>
        </w:rPr>
        <w:t xml:space="preserve"> </w:t>
      </w:r>
      <w:r w:rsidR="00AE6B13">
        <w:rPr>
          <w:rFonts w:hint="cs"/>
          <w:rtl/>
        </w:rPr>
        <w:t>הערה 2 לעיל)</w:t>
      </w:r>
      <w:r>
        <w:rPr>
          <w:rFonts w:hint="cs"/>
          <w:rtl/>
        </w:rPr>
        <w:t xml:space="preserve">; העד הורשע בבית המשפט המחוזי (ראו, למשל, ס' ד45); </w:t>
      </w:r>
      <w:r w:rsidR="00AE6B13">
        <w:rPr>
          <w:rFonts w:hint="cs"/>
          <w:rtl/>
        </w:rPr>
        <w:t>עוצמת הראיות נגד העד הייתה גבוהה, כפי שמשתקף ב</w:t>
      </w:r>
      <w:r>
        <w:rPr>
          <w:rFonts w:hint="cs"/>
          <w:rtl/>
        </w:rPr>
        <w:t>החלטות בית המשפט בהליכי המעצר (ראו, למשל, ס' ד60).</w:t>
      </w:r>
    </w:p>
  </w:comment>
  <w:comment w:id="5" w:author="Ammie Wolf" w:date="2018-09-14T19:24:00Z" w:initials="AW">
    <w:p w:rsidR="000B0CC5" w:rsidRPr="008F3E3B" w:rsidRDefault="000B0CC5" w:rsidP="00AE6B13">
      <w:pPr>
        <w:pStyle w:val="a9"/>
      </w:pPr>
      <w:r>
        <w:rPr>
          <w:rStyle w:val="a8"/>
        </w:rPr>
        <w:annotationRef/>
      </w:r>
      <w:r>
        <w:rPr>
          <w:rStyle w:val="a8"/>
        </w:rPr>
        <w:annotationRef/>
      </w:r>
      <w:r>
        <w:rPr>
          <w:rFonts w:hint="cs"/>
          <w:rtl/>
        </w:rPr>
        <w:t xml:space="preserve">אני מניחה שמדובר בטענה כללית שנכתבת בכל כתב הגנה. עם זאת, ארצה לציין באופן כללי כי סביר שבמסגרת ניהול ההליך תיתקף מהימנות חוות הדעת שצורפו לכתב התביעה (מקריאת חוות הדעת עולה כי הן מגמתיות לטובת העד באופן מובהק). בתיק שלנו אנו מסתמכים על מסמכים שסיפק העד, ולכן תקיפת מהימנות המסמכים שצירף העד </w:t>
      </w:r>
      <w:r w:rsidR="00AE6B13">
        <w:rPr>
          <w:rFonts w:hint="cs"/>
          <w:rtl/>
        </w:rPr>
        <w:t>לכתב התביעה</w:t>
      </w:r>
      <w:r>
        <w:rPr>
          <w:rFonts w:hint="cs"/>
          <w:rtl/>
        </w:rPr>
        <w:t xml:space="preserve"> במסגרת ניהול ההליך הנ"ל, עלולה להשליך גם על ענייננו ועל מהימנות המסמכים שסיפק במסגרתו.</w:t>
      </w:r>
    </w:p>
  </w:comment>
  <w:comment w:id="6" w:author="Ammie Wolf" w:date="2018-09-14T19:25:00Z" w:initials="AW">
    <w:p w:rsidR="000B0CC5" w:rsidRPr="00231198" w:rsidRDefault="000B0CC5" w:rsidP="00231198">
      <w:pPr>
        <w:pStyle w:val="a9"/>
      </w:pPr>
      <w:r>
        <w:rPr>
          <w:rStyle w:val="a8"/>
        </w:rPr>
        <w:annotationRef/>
      </w:r>
      <w:r>
        <w:rPr>
          <w:rStyle w:val="a8"/>
        </w:rPr>
        <w:annotationRef/>
      </w:r>
      <w:r>
        <w:rPr>
          <w:rFonts w:hint="cs"/>
          <w:rtl/>
        </w:rPr>
        <w:t>יצוין שלפי כתב התביעה, האירוע אירע בחיפה</w:t>
      </w:r>
      <w:r w:rsidR="00AE6B13">
        <w:rPr>
          <w:rFonts w:hint="cs"/>
          <w:rtl/>
        </w:rPr>
        <w:t xml:space="preserve"> (ס' ג12)</w:t>
      </w:r>
      <w:r>
        <w:rPr>
          <w:rFonts w:hint="cs"/>
          <w:rtl/>
        </w:rPr>
        <w:t>.</w:t>
      </w:r>
    </w:p>
  </w:comment>
  <w:comment w:id="7" w:author="Ammie Wolf" w:date="2018-09-15T12:24:00Z" w:initials="AW">
    <w:p w:rsidR="000B0CC5" w:rsidRDefault="000B0CC5" w:rsidP="002F53C4">
      <w:pPr>
        <w:pStyle w:val="a9"/>
        <w:rPr>
          <w:rtl/>
        </w:rPr>
      </w:pPr>
      <w:r>
        <w:rPr>
          <w:rStyle w:val="a8"/>
        </w:rPr>
        <w:annotationRef/>
      </w:r>
      <w:r>
        <w:rPr>
          <w:rStyle w:val="a8"/>
        </w:rPr>
        <w:annotationRef/>
      </w:r>
      <w:r>
        <w:rPr>
          <w:rFonts w:hint="cs"/>
          <w:rtl/>
        </w:rPr>
        <w:t>ללא קשר לכתב ההגנה, אבקש להסב את תשומת ליבכן לחוסר דיוק/העלמת פרטים שניכרים בכתב התביעה מטעם העד (דבר שיכול לפגום במהימנותו)</w:t>
      </w:r>
      <w:r w:rsidR="002F53C4">
        <w:rPr>
          <w:rFonts w:hint="cs"/>
          <w:rtl/>
        </w:rPr>
        <w:t>:</w:t>
      </w:r>
      <w:r>
        <w:rPr>
          <w:rFonts w:hint="cs"/>
          <w:rtl/>
        </w:rPr>
        <w:t xml:space="preserve"> תחת הכותרת "הליכי מעצר" (ס' ד29), כתב העד כי היה עצור במתקן מעצר השרון מיום 18.3.14 עד יום 2.10.16, ורק בהערה ציין כי ב-14.</w:t>
      </w:r>
      <w:r w:rsidR="002F53C4">
        <w:rPr>
          <w:rFonts w:hint="cs"/>
          <w:rtl/>
        </w:rPr>
        <w:t>9</w:t>
      </w:r>
      <w:r>
        <w:rPr>
          <w:rFonts w:hint="cs"/>
          <w:rtl/>
        </w:rPr>
        <w:t>.14 היה במאסר לאחר שדינו נגזר</w:t>
      </w:r>
      <w:r>
        <w:t xml:space="preserve"> </w:t>
      </w:r>
      <w:r>
        <w:rPr>
          <w:rFonts w:hint="cs"/>
          <w:rtl/>
        </w:rPr>
        <w:t>(בעוד שמן הראוי היה להבחין בין תקופת המעצר למאסר). באופן דומה, באשר לפסקה 17 להלן, העד לא ציין בכתב התביעה כי הסכים לבקשת המעצר עד תום ההליכים בפרשת זר הסגליות (הטענה כי הסכים לתשתית ראייתית לכאורה</w:t>
      </w:r>
      <w:r w:rsidR="0039119B">
        <w:rPr>
          <w:rFonts w:hint="cs"/>
          <w:rtl/>
        </w:rPr>
        <w:t xml:space="preserve"> מופיעה גם בהמשך כתב ההגנה בס' ה</w:t>
      </w:r>
      <w:r>
        <w:rPr>
          <w:rFonts w:hint="cs"/>
          <w:rtl/>
        </w:rPr>
        <w:t>60, לרבות הס"ק). כמו כן, בנוגע לפסקה 18 להלן, העד לא הזכיר בכתב התביעה את ההחלטה לעצרו בפרשת הייעוץ הזוגי, אם כי בפרשה זו הורשע, ולכן היא פחות רלוונטית לכתב התביעה (הנושא הופיע גם כן בס' ד60 להלן).</w:t>
      </w:r>
    </w:p>
    <w:p w:rsidR="002F53C4" w:rsidRPr="00231198" w:rsidRDefault="002F53C4" w:rsidP="002F53C4">
      <w:pPr>
        <w:pStyle w:val="a9"/>
      </w:pPr>
      <w:r>
        <w:rPr>
          <w:rFonts w:hint="cs"/>
          <w:rtl/>
        </w:rPr>
        <w:t>מובן כי העלמת פרטים מכתב התביעה יש בה כ</w:t>
      </w:r>
      <w:r w:rsidR="00E81E67">
        <w:rPr>
          <w:rFonts w:hint="cs"/>
          <w:rtl/>
        </w:rPr>
        <w:t>די לפגוע במהימנותו של העד, אך</w:t>
      </w:r>
      <w:r>
        <w:rPr>
          <w:rFonts w:hint="cs"/>
          <w:rtl/>
        </w:rPr>
        <w:t xml:space="preserve"> יש לזכור כי הצגה מגמתית של הדברים אופיינית בכל הליך אזרחי.</w:t>
      </w:r>
    </w:p>
  </w:comment>
  <w:comment w:id="8" w:author="Ammie Wolf" w:date="2018-09-14T19:29:00Z" w:initials="AW">
    <w:p w:rsidR="000B0CC5" w:rsidRPr="00231198" w:rsidRDefault="000B0CC5" w:rsidP="002F53C4">
      <w:pPr>
        <w:pStyle w:val="a9"/>
      </w:pPr>
      <w:r>
        <w:rPr>
          <w:rStyle w:val="a8"/>
        </w:rPr>
        <w:annotationRef/>
      </w:r>
      <w:r>
        <w:rPr>
          <w:rStyle w:val="a8"/>
        </w:rPr>
        <w:annotationRef/>
      </w:r>
      <w:r>
        <w:rPr>
          <w:rFonts w:hint="cs"/>
          <w:rtl/>
        </w:rPr>
        <w:t xml:space="preserve">מובן כי חלק זה חושף פרטים נוספים ומציג הסתכלות אחרת על התשתית העובדתית, מהתשתית המצומצמת והמגמתית שנפרשה על-ידי העד בכתב התביעה. בהקשר זה, ראו גם סעיף 34 להלן, לפיו "התמונה העולה מן המפורט לעיל כמו גם מחומר החקירה בתיק המשטרה אינם עולים בקנה אחד עם טענות התובע. ההפך הוא הנכון. לאור המפורט לעיל, ניתן להתרשם כבר עתה כי דין התובענה להידחות תוך חיוב התובע בהוצאות". עם זאת, הדבר נובע באופן טבעי מהליך אזרחי, ואין בכך כדי לפגוע במהימנות העד </w:t>
      </w:r>
      <w:r w:rsidR="002F53C4">
        <w:rPr>
          <w:rFonts w:hint="cs"/>
          <w:rtl/>
        </w:rPr>
        <w:t>מעבר לנדרש</w:t>
      </w:r>
      <w:r>
        <w:rPr>
          <w:rFonts w:hint="cs"/>
          <w:rtl/>
        </w:rPr>
        <w:t>.</w:t>
      </w:r>
    </w:p>
  </w:comment>
  <w:comment w:id="9" w:author="Ammie Wolf" w:date="2018-09-14T19:35:00Z" w:initials="AW">
    <w:p w:rsidR="000B0CC5" w:rsidRDefault="000B0CC5" w:rsidP="002F53C4">
      <w:pPr>
        <w:pStyle w:val="a9"/>
        <w:rPr>
          <w:rtl/>
        </w:rPr>
      </w:pPr>
      <w:r>
        <w:rPr>
          <w:rStyle w:val="a8"/>
        </w:rPr>
        <w:annotationRef/>
      </w:r>
      <w:r>
        <w:rPr>
          <w:rFonts w:hint="cs"/>
          <w:rtl/>
        </w:rPr>
        <w:t xml:space="preserve"> טענה זו, לפיה </w:t>
      </w:r>
      <w:r>
        <w:rPr>
          <w:rtl/>
        </w:rPr>
        <w:t xml:space="preserve">אין קשר סיבתי בין הנזקים להם טוען </w:t>
      </w:r>
      <w:r>
        <w:rPr>
          <w:rFonts w:hint="cs"/>
          <w:rtl/>
        </w:rPr>
        <w:t>העד</w:t>
      </w:r>
      <w:r>
        <w:rPr>
          <w:rtl/>
        </w:rPr>
        <w:t xml:space="preserve"> לבין פעולות המדינה, אומנם סותר</w:t>
      </w:r>
      <w:r>
        <w:rPr>
          <w:rFonts w:hint="cs"/>
          <w:rtl/>
        </w:rPr>
        <w:t>ת</w:t>
      </w:r>
      <w:r>
        <w:rPr>
          <w:rtl/>
        </w:rPr>
        <w:t xml:space="preserve"> את טענתו של </w:t>
      </w:r>
      <w:r>
        <w:rPr>
          <w:rFonts w:hint="cs"/>
          <w:rtl/>
        </w:rPr>
        <w:t xml:space="preserve">העד </w:t>
      </w:r>
      <w:r>
        <w:rPr>
          <w:rtl/>
        </w:rPr>
        <w:t>בכתב התביעה וכן את חוות הדעת שהביא</w:t>
      </w:r>
      <w:r>
        <w:rPr>
          <w:rFonts w:hint="cs"/>
          <w:rtl/>
        </w:rPr>
        <w:t>. עם זאת, אין בה כדי לתקוף באופן ישיר את מהימנותו, ובנוסף מדובר בטענת הגנה מרכזית והכרחית לצורך הצלחת ההגנה (</w:t>
      </w:r>
      <w:r w:rsidR="002F53C4">
        <w:rPr>
          <w:rFonts w:hint="cs"/>
          <w:rtl/>
        </w:rPr>
        <w:t>טענת היעדר הקשר הסיבתי חוזרת לאורך כתב ההגנה, למשל ב</w:t>
      </w:r>
      <w:r>
        <w:rPr>
          <w:rFonts w:hint="cs"/>
          <w:rtl/>
        </w:rPr>
        <w:t>סעיף 44 להלן).</w:t>
      </w:r>
    </w:p>
    <w:p w:rsidR="002F53C4" w:rsidRDefault="002F53C4" w:rsidP="00541043">
      <w:pPr>
        <w:pStyle w:val="a9"/>
      </w:pPr>
      <w:r>
        <w:rPr>
          <w:rtl/>
        </w:rPr>
        <w:t>הדברים נכונים גם לגבי טענת ההגנה</w:t>
      </w:r>
      <w:r w:rsidR="00541043">
        <w:rPr>
          <w:rFonts w:hint="cs"/>
          <w:rtl/>
        </w:rPr>
        <w:t xml:space="preserve"> בסעיפים 39ז ו-ה85 להלן</w:t>
      </w:r>
      <w:r>
        <w:rPr>
          <w:rtl/>
        </w:rPr>
        <w:t>, לפיה הנזקים של העד, ככל שנגרמו, נגרמו ממעשיו הפליליים והתנהגותו</w:t>
      </w:r>
      <w:r>
        <w:rPr>
          <w:rFonts w:hint="cs"/>
          <w:rtl/>
        </w:rPr>
        <w:t xml:space="preserve"> של</w:t>
      </w:r>
      <w:r w:rsidR="00541043">
        <w:rPr>
          <w:rFonts w:hint="cs"/>
          <w:rtl/>
        </w:rPr>
        <w:t>ו</w:t>
      </w:r>
      <w:r>
        <w:rPr>
          <w:rtl/>
        </w:rPr>
        <w:t>.</w:t>
      </w:r>
    </w:p>
  </w:comment>
  <w:comment w:id="10" w:author="Ammie Wolf" w:date="2018-09-14T19:39:00Z" w:initials="AW">
    <w:p w:rsidR="000B0CC5" w:rsidRDefault="000B0CC5" w:rsidP="00303F62">
      <w:pPr>
        <w:pStyle w:val="a9"/>
        <w:rPr>
          <w:rtl/>
        </w:rPr>
      </w:pPr>
      <w:r>
        <w:rPr>
          <w:rStyle w:val="a8"/>
        </w:rPr>
        <w:annotationRef/>
      </w:r>
      <w:r>
        <w:rPr>
          <w:rFonts w:hint="cs"/>
          <w:rtl/>
        </w:rPr>
        <w:t xml:space="preserve">הטענה </w:t>
      </w:r>
      <w:r w:rsidR="00541043">
        <w:rPr>
          <w:rFonts w:hint="cs"/>
          <w:rtl/>
        </w:rPr>
        <w:t xml:space="preserve">כאן </w:t>
      </w:r>
      <w:r>
        <w:rPr>
          <w:rFonts w:hint="cs"/>
          <w:rtl/>
        </w:rPr>
        <w:t xml:space="preserve">לא מפרטת לאלו מעשים ומחדלים של העד מתייחסת. </w:t>
      </w:r>
      <w:r w:rsidR="00541043">
        <w:rPr>
          <w:rFonts w:hint="cs"/>
          <w:rtl/>
        </w:rPr>
        <w:t>לפי סעיף ה85, המפרט טענה דומה, נראה כי הכוונה למעשיו הפליליים של העד</w:t>
      </w:r>
      <w:r w:rsidR="00303F62">
        <w:rPr>
          <w:rFonts w:hint="cs"/>
          <w:rtl/>
        </w:rPr>
        <w:t xml:space="preserve"> ולטענה כללית בדבר חוסר זהירותו</w:t>
      </w:r>
      <w:r w:rsidR="00541043">
        <w:rPr>
          <w:rFonts w:hint="cs"/>
          <w:rtl/>
        </w:rPr>
        <w:t>.</w:t>
      </w:r>
    </w:p>
    <w:p w:rsidR="00541043" w:rsidRDefault="00541043" w:rsidP="00541043">
      <w:pPr>
        <w:pStyle w:val="a9"/>
      </w:pPr>
      <w:r>
        <w:rPr>
          <w:rFonts w:hint="cs"/>
          <w:rtl/>
        </w:rPr>
        <w:t>ראו הערה 8 לעיל.</w:t>
      </w:r>
    </w:p>
  </w:comment>
  <w:comment w:id="11" w:author="Ammie Wolf" w:date="2018-09-13T19:06:00Z" w:initials="AW">
    <w:p w:rsidR="000B0CC5" w:rsidRDefault="000B0CC5">
      <w:pPr>
        <w:pStyle w:val="a9"/>
      </w:pPr>
      <w:r>
        <w:rPr>
          <w:rStyle w:val="a8"/>
        </w:rPr>
        <w:annotationRef/>
      </w:r>
      <w:r>
        <w:rPr>
          <w:rFonts w:hint="cs"/>
          <w:rtl/>
        </w:rPr>
        <w:t>מדובר בטענתו הכללית של העד בדבר אחריות התביעה, במסגרתה תוקף את גורמי החקירה והתביעה ואת התנהלותם. לפיכך, לא נראה כי יש בהכחשה כדי לפגוע במהימנותו.</w:t>
      </w:r>
    </w:p>
  </w:comment>
  <w:comment w:id="12" w:author="Ammie Wolf" w:date="2018-09-13T19:09:00Z" w:initials="AW">
    <w:p w:rsidR="000B0CC5" w:rsidRDefault="000B0CC5" w:rsidP="00AB580B">
      <w:pPr>
        <w:pStyle w:val="a9"/>
      </w:pPr>
      <w:r>
        <w:rPr>
          <w:rStyle w:val="a8"/>
        </w:rPr>
        <w:annotationRef/>
      </w:r>
      <w:r>
        <w:rPr>
          <w:rFonts w:hint="cs"/>
          <w:rtl/>
        </w:rPr>
        <w:t>מדובר בטענתו של העד לפיה ביום 20.10.10 התחיל הנתק התקשורתי בין התובע לרמזי. ללא קשר לכתב ההגנה - ככל שהעד אכן הכניס עובדות שגויות לכתב התביעה, ופמ"מ יכולים להוכיח זאת, יש בכך כדי לפגוע במהימנותו (מובן כי לא נכון להשמיט זאת מכתב ההגנה, שכן סתירת טענותיו של העד היא חלק מרכזי בניהול ההגנה בהליך)</w:t>
      </w:r>
    </w:p>
  </w:comment>
  <w:comment w:id="13" w:author="Ammie Wolf" w:date="2018-09-14T19:47:00Z" w:initials="AW">
    <w:p w:rsidR="000B0CC5" w:rsidRDefault="000B0CC5" w:rsidP="00C03C3C">
      <w:pPr>
        <w:pStyle w:val="a9"/>
        <w:rPr>
          <w:rtl/>
        </w:rPr>
      </w:pPr>
      <w:r>
        <w:rPr>
          <w:rStyle w:val="a8"/>
        </w:rPr>
        <w:annotationRef/>
      </w:r>
      <w:r>
        <w:rPr>
          <w:rFonts w:hint="cs"/>
          <w:rtl/>
        </w:rPr>
        <w:t xml:space="preserve">מדובר בטענתו של העד, לפיה ביום 29.10.10 החלו האירועים סביב תקיפת דניאל כהן. ראו הערה </w:t>
      </w:r>
      <w:r w:rsidR="00C03C3C">
        <w:t>11</w:t>
      </w:r>
      <w:r w:rsidR="00C03C3C">
        <w:rPr>
          <w:rFonts w:hint="cs"/>
          <w:rtl/>
        </w:rPr>
        <w:t xml:space="preserve"> לעיל</w:t>
      </w:r>
      <w:r>
        <w:rPr>
          <w:rFonts w:hint="cs"/>
          <w:rtl/>
        </w:rPr>
        <w:t>, הנכונה גם לגבי סעיף זה.</w:t>
      </w:r>
    </w:p>
  </w:comment>
  <w:comment w:id="14" w:author="Ammie Wolf" w:date="2018-09-14T19:48:00Z" w:initials="AW">
    <w:p w:rsidR="000B0CC5" w:rsidRDefault="000B0CC5" w:rsidP="0081655E">
      <w:pPr>
        <w:pStyle w:val="a9"/>
      </w:pPr>
      <w:r>
        <w:rPr>
          <w:rStyle w:val="a8"/>
        </w:rPr>
        <w:annotationRef/>
      </w:r>
      <w:r>
        <w:rPr>
          <w:rFonts w:hint="cs"/>
          <w:rtl/>
        </w:rPr>
        <w:t xml:space="preserve">מדובר בטענתו של העד, לפיה ביום 10.11.10 נציגת הסיינטולוגיה דרשה את פיטורי </w:t>
      </w:r>
      <w:r w:rsidR="00C03C3C">
        <w:rPr>
          <w:rFonts w:hint="cs"/>
          <w:rtl/>
        </w:rPr>
        <w:t>רמזי, והוא פוטר בסמוך לכך. ראו הערה 11 לעיל, הנכונה גם לגבי סעיף זה.</w:t>
      </w:r>
    </w:p>
  </w:comment>
  <w:comment w:id="15" w:author="Ammie Wolf" w:date="2018-09-14T19:51:00Z" w:initials="AW">
    <w:p w:rsidR="000B0CC5" w:rsidRDefault="000B0CC5" w:rsidP="00C03C3C">
      <w:pPr>
        <w:pStyle w:val="a9"/>
      </w:pPr>
      <w:r>
        <w:rPr>
          <w:rStyle w:val="a8"/>
        </w:rPr>
        <w:annotationRef/>
      </w:r>
      <w:r>
        <w:rPr>
          <w:rFonts w:hint="cs"/>
          <w:rtl/>
        </w:rPr>
        <w:t>אומנם היה ראוי שהעד לא ישמיט פרטים אלה מכתב התביעה, אך לא נראה שיש בכך כדי להשליך באופן משמעותי על מהימנותו, ומובן כי אין להשמיט זאת מכתב ההגנה</w:t>
      </w:r>
      <w:r w:rsidR="00C03C3C">
        <w:rPr>
          <w:rFonts w:hint="cs"/>
          <w:rtl/>
        </w:rPr>
        <w:t xml:space="preserve"> (ראו בהקשר זה הערה 6 לעיל, הנוגעת לחוסר דיוק/העלמת פרטים מכתב התביעה, שיכולים להשליך על מהימנות העד).</w:t>
      </w:r>
      <w:r w:rsidR="00C03C3C">
        <w:rPr>
          <w:rStyle w:val="a8"/>
        </w:rPr>
        <w:annotationRef/>
      </w:r>
    </w:p>
  </w:comment>
  <w:comment w:id="16" w:author="Ammie Wolf" w:date="2018-09-14T19:49:00Z" w:initials="AW">
    <w:p w:rsidR="000B0CC5" w:rsidRDefault="000B0CC5">
      <w:pPr>
        <w:pStyle w:val="a9"/>
        <w:rPr>
          <w:rtl/>
        </w:rPr>
      </w:pPr>
      <w:r>
        <w:rPr>
          <w:rStyle w:val="a8"/>
        </w:rPr>
        <w:annotationRef/>
      </w:r>
      <w:r>
        <w:rPr>
          <w:rFonts w:hint="cs"/>
          <w:rtl/>
        </w:rPr>
        <w:t>מדובר בטענתו של העד, לפיה ביום 21.11.10 הונח מטען ברכב של דניאל כהן ונעשתה קשירת קשר לרצוח את ע.ש.</w:t>
      </w:r>
    </w:p>
    <w:p w:rsidR="000B0CC5" w:rsidRPr="0081655E" w:rsidRDefault="000B0CC5" w:rsidP="00C03C3C">
      <w:pPr>
        <w:pStyle w:val="a9"/>
        <w:rPr>
          <w:rtl/>
        </w:rPr>
      </w:pPr>
      <w:r>
        <w:rPr>
          <w:rFonts w:hint="cs"/>
          <w:rtl/>
        </w:rPr>
        <w:t xml:space="preserve">אומנם, </w:t>
      </w:r>
      <w:r w:rsidR="00C03C3C">
        <w:rPr>
          <w:rFonts w:hint="cs"/>
          <w:rtl/>
        </w:rPr>
        <w:t>לפי סעיף זה, כתב התביעה לוקה בחוסר דיוק</w:t>
      </w:r>
      <w:r>
        <w:rPr>
          <w:rFonts w:hint="cs"/>
          <w:rtl/>
        </w:rPr>
        <w:t xml:space="preserve">, אך הדברים בהערה הקודמת </w:t>
      </w:r>
      <w:r w:rsidR="00C03C3C">
        <w:rPr>
          <w:rFonts w:hint="cs"/>
          <w:rtl/>
        </w:rPr>
        <w:t>(הערה 14 לעיל)</w:t>
      </w:r>
      <w:r>
        <w:rPr>
          <w:rFonts w:hint="cs"/>
          <w:rtl/>
        </w:rPr>
        <w:t xml:space="preserve"> נכונים גם בהקשר זה.</w:t>
      </w:r>
    </w:p>
  </w:comment>
  <w:comment w:id="17" w:author="Ammie Wolf" w:date="2018-09-13T19:15:00Z" w:initials="AW">
    <w:p w:rsidR="000B0CC5" w:rsidRDefault="000B0CC5">
      <w:pPr>
        <w:pStyle w:val="a9"/>
      </w:pPr>
      <w:r>
        <w:rPr>
          <w:rStyle w:val="a8"/>
        </w:rPr>
        <w:annotationRef/>
      </w:r>
      <w:r>
        <w:rPr>
          <w:rFonts w:hint="cs"/>
          <w:rtl/>
        </w:rPr>
        <w:t>באישומים אלה הורשע העד, ולכן הם פחות רלוונטיים לכתב התביעה, ואין משמעות רבה להשמטת הפרטים לגביהם בנוגע למהימנות העד.</w:t>
      </w:r>
    </w:p>
  </w:comment>
  <w:comment w:id="18" w:author="Ammie Wolf" w:date="2018-09-14T19:51:00Z" w:initials="AW">
    <w:p w:rsidR="000B0CC5" w:rsidRDefault="000B0CC5" w:rsidP="00C03C3C">
      <w:pPr>
        <w:pStyle w:val="a9"/>
        <w:rPr>
          <w:rtl/>
        </w:rPr>
      </w:pPr>
      <w:r>
        <w:rPr>
          <w:rStyle w:val="a8"/>
        </w:rPr>
        <w:annotationRef/>
      </w:r>
      <w:r>
        <w:rPr>
          <w:rFonts w:hint="cs"/>
          <w:rtl/>
        </w:rPr>
        <w:t xml:space="preserve">יצוין כי טענת העד לפיה זוכה מכתב האישום מופיעה גם בפתיח כתב התביעה (ס' א). ראו בהקשר זה הערת </w:t>
      </w:r>
      <w:r w:rsidR="00C03C3C">
        <w:t>6</w:t>
      </w:r>
      <w:r w:rsidR="00C03C3C">
        <w:rPr>
          <w:rFonts w:hint="cs"/>
          <w:rtl/>
        </w:rPr>
        <w:t xml:space="preserve"> לעיל</w:t>
      </w:r>
      <w:r>
        <w:rPr>
          <w:rFonts w:hint="cs"/>
          <w:rtl/>
        </w:rPr>
        <w:t>, הנוגעת לחוסר דיוק/העלמת פרטים מכתב התביעה, שיכולים להשליך על מהימנות העד</w:t>
      </w:r>
      <w:r>
        <w:t xml:space="preserve"> </w:t>
      </w:r>
      <w:r>
        <w:rPr>
          <w:rFonts w:hint="cs"/>
          <w:rtl/>
        </w:rPr>
        <w:t>(ללא קשר לכתב ההגנה).</w:t>
      </w:r>
    </w:p>
  </w:comment>
  <w:comment w:id="19" w:author="Ammie Wolf" w:date="2018-09-14T20:04:00Z" w:initials="AW">
    <w:p w:rsidR="0039119B" w:rsidRDefault="000B0CC5" w:rsidP="00453095">
      <w:pPr>
        <w:pStyle w:val="a9"/>
      </w:pPr>
      <w:r>
        <w:rPr>
          <w:rStyle w:val="a8"/>
        </w:rPr>
        <w:annotationRef/>
      </w:r>
      <w:r w:rsidR="00C03C3C">
        <w:rPr>
          <w:rFonts w:hint="cs"/>
          <w:rtl/>
        </w:rPr>
        <w:t xml:space="preserve">התובע לא פירט את האמור בסעיפים הבאים בכתב התביעה, שבאופן טבעי מנוסח באופן מגמתי יותר, ומשכך הפגיעה במהימנותו של העד אינה עולה על הנדרש (ראו בהקשר זה </w:t>
      </w:r>
      <w:r w:rsidR="00453095">
        <w:rPr>
          <w:rFonts w:hint="cs"/>
          <w:rtl/>
        </w:rPr>
        <w:t>הערות 7-6 בדבר השלכת השמטת הפרטים מכתב התביעה על מהימנות העד).</w:t>
      </w:r>
    </w:p>
  </w:comment>
  <w:comment w:id="20" w:author="Ammie Wolf" w:date="2018-09-14T20:21:00Z" w:initials="AW">
    <w:p w:rsidR="000B0CC5" w:rsidRDefault="000B0CC5" w:rsidP="00555724">
      <w:pPr>
        <w:pStyle w:val="a9"/>
        <w:rPr>
          <w:rtl/>
        </w:rPr>
      </w:pPr>
      <w:r>
        <w:rPr>
          <w:rStyle w:val="a8"/>
        </w:rPr>
        <w:annotationRef/>
      </w:r>
      <w:r>
        <w:rPr>
          <w:rFonts w:hint="cs"/>
          <w:rtl/>
        </w:rPr>
        <w:t>בס' 40 לכתב התביעה הביא העד ציטוטים מתוך הכרעת הדין של בית המשפט המחוזי, שלשיטתו, מוכיחים את מחדלי התביעה. אין בהכחשת טענה זו</w:t>
      </w:r>
      <w:r w:rsidR="00555724">
        <w:rPr>
          <w:rFonts w:hint="cs"/>
          <w:rtl/>
        </w:rPr>
        <w:t xml:space="preserve"> כדי לפגוע במהימנות העד. אולם, ה</w:t>
      </w:r>
      <w:r>
        <w:rPr>
          <w:rFonts w:hint="cs"/>
          <w:rtl/>
        </w:rPr>
        <w:t>משפט המודגש בהערה הנוכחית, לפיו הוציא</w:t>
      </w:r>
      <w:r w:rsidR="00555724">
        <w:rPr>
          <w:rFonts w:hint="cs"/>
          <w:rtl/>
        </w:rPr>
        <w:t xml:space="preserve"> העד</w:t>
      </w:r>
      <w:r>
        <w:rPr>
          <w:rFonts w:hint="cs"/>
          <w:rtl/>
        </w:rPr>
        <w:t xml:space="preserve"> דברים מהקשרם, עלול לפגוע במהימנותו. ייתכן שנכון להסתפק </w:t>
      </w:r>
      <w:r w:rsidR="00555724">
        <w:rPr>
          <w:rFonts w:hint="cs"/>
          <w:rtl/>
        </w:rPr>
        <w:t xml:space="preserve">בכתב ההגנה </w:t>
      </w:r>
      <w:r>
        <w:rPr>
          <w:rFonts w:hint="cs"/>
          <w:rtl/>
        </w:rPr>
        <w:t>בדברים הבאים, לפיהם ב</w:t>
      </w:r>
      <w:r w:rsidR="00555724">
        <w:rPr>
          <w:rFonts w:hint="cs"/>
          <w:rtl/>
        </w:rPr>
        <w:t>תי</w:t>
      </w:r>
      <w:r>
        <w:rPr>
          <w:rFonts w:hint="cs"/>
          <w:rtl/>
        </w:rPr>
        <w:t xml:space="preserve"> המשפט המחוזי והעליון דחו את טענות העד במסגרת ההליך הפלילי</w:t>
      </w:r>
      <w:r w:rsidR="00555724">
        <w:rPr>
          <w:rFonts w:hint="cs"/>
          <w:rtl/>
        </w:rPr>
        <w:t>, תוך השמטת המשפט הנ"ל</w:t>
      </w:r>
      <w:r>
        <w:rPr>
          <w:rFonts w:hint="cs"/>
          <w:rtl/>
        </w:rPr>
        <w:t>. עם זאת, הדבר לא מאוד מהותי.</w:t>
      </w:r>
    </w:p>
    <w:p w:rsidR="00555724" w:rsidRDefault="00555724" w:rsidP="00555724">
      <w:pPr>
        <w:pStyle w:val="a9"/>
      </w:pPr>
      <w:r>
        <w:rPr>
          <w:rFonts w:hint="cs"/>
          <w:rtl/>
        </w:rPr>
        <w:t>(יצוין כי עצם העובדה שדחיית טענותיו בידי בתי המשפט במסגרת ההליך הפלילי, לא אוזכרה על ידי העד בכתב התביעה, יש בה כדי לפגום במהימנותו).</w:t>
      </w:r>
    </w:p>
  </w:comment>
  <w:comment w:id="21" w:author="Ammie Wolf" w:date="2018-09-15T12:28:00Z" w:initials="AW">
    <w:p w:rsidR="000B0CC5" w:rsidRDefault="000B0CC5" w:rsidP="00C10073">
      <w:pPr>
        <w:pStyle w:val="a9"/>
        <w:rPr>
          <w:rtl/>
        </w:rPr>
      </w:pPr>
      <w:r>
        <w:rPr>
          <w:rStyle w:val="a8"/>
        </w:rPr>
        <w:annotationRef/>
      </w:r>
      <w:r>
        <w:rPr>
          <w:rFonts w:hint="cs"/>
          <w:rtl/>
        </w:rPr>
        <w:t xml:space="preserve">בס' 42 </w:t>
      </w:r>
      <w:r w:rsidR="00555724">
        <w:rPr>
          <w:rFonts w:hint="cs"/>
          <w:rtl/>
        </w:rPr>
        <w:t xml:space="preserve">לכתב התביעה </w:t>
      </w:r>
      <w:r>
        <w:rPr>
          <w:rFonts w:hint="cs"/>
          <w:rtl/>
        </w:rPr>
        <w:t>הביא העד ציטוטים נוספים מפסק הדין, שלגישתו, מוכיחים את מחדלי החקירה של התביעה. בס' 43 טען העד כי השופט שוחט פסל את עדותו של רמזי "מכל וכל", ומשכך הציע לזכות את העד.</w:t>
      </w:r>
    </w:p>
    <w:p w:rsidR="000B0CC5" w:rsidRPr="00C10073" w:rsidRDefault="000B0CC5" w:rsidP="00555724">
      <w:pPr>
        <w:pStyle w:val="a9"/>
        <w:rPr>
          <w:rtl/>
        </w:rPr>
      </w:pPr>
      <w:r>
        <w:rPr>
          <w:rFonts w:hint="cs"/>
          <w:rtl/>
        </w:rPr>
        <w:t>לא נראה שיש בהכחשה כדי להשליך על מהימנותו של העד</w:t>
      </w:r>
      <w:r w:rsidR="00555724">
        <w:rPr>
          <w:rFonts w:hint="cs"/>
          <w:rtl/>
        </w:rPr>
        <w:t xml:space="preserve"> מעבר לנדרש</w:t>
      </w:r>
      <w:r>
        <w:rPr>
          <w:rFonts w:hint="cs"/>
          <w:rtl/>
        </w:rPr>
        <w:t>.</w:t>
      </w:r>
    </w:p>
  </w:comment>
  <w:comment w:id="22" w:author="Ammie Wolf" w:date="2018-09-14T20:23:00Z" w:initials="AW">
    <w:p w:rsidR="000B0CC5" w:rsidRDefault="000B0CC5" w:rsidP="00555724">
      <w:pPr>
        <w:pStyle w:val="a9"/>
      </w:pPr>
      <w:r>
        <w:rPr>
          <w:rStyle w:val="a8"/>
        </w:rPr>
        <w:annotationRef/>
      </w:r>
      <w:r>
        <w:rPr>
          <w:rFonts w:hint="cs"/>
          <w:rtl/>
        </w:rPr>
        <w:t xml:space="preserve">בס' </w:t>
      </w:r>
      <w:r w:rsidR="00555724">
        <w:rPr>
          <w:rFonts w:hint="cs"/>
          <w:rtl/>
        </w:rPr>
        <w:t>50 לכתב התביעה</w:t>
      </w:r>
      <w:r>
        <w:rPr>
          <w:rFonts w:hint="cs"/>
          <w:rtl/>
        </w:rPr>
        <w:t xml:space="preserve"> טען העד כי במסגרת פסק דינו של בית המשפט העליון, דחה השופט עמית את ניסיון הנתבעת ליצור הלכה חדשה, ולהכשיר עדויות שמיעה כחיזוק לאמרותיו של רמזי. אין בהכחשה כד</w:t>
      </w:r>
      <w:r w:rsidR="00555724">
        <w:rPr>
          <w:rFonts w:hint="cs"/>
          <w:rtl/>
        </w:rPr>
        <w:t>י להשליך על מהימנות העד מעבר לנדרש.</w:t>
      </w:r>
    </w:p>
  </w:comment>
  <w:comment w:id="23" w:author="Ammie Wolf" w:date="2018-09-14T20:24:00Z" w:initials="AW">
    <w:p w:rsidR="000B0CC5" w:rsidRDefault="000B0CC5" w:rsidP="00555724">
      <w:pPr>
        <w:pStyle w:val="a9"/>
      </w:pPr>
      <w:r>
        <w:rPr>
          <w:rStyle w:val="a8"/>
        </w:rPr>
        <w:annotationRef/>
      </w:r>
      <w:r>
        <w:rPr>
          <w:rFonts w:hint="cs"/>
          <w:rtl/>
        </w:rPr>
        <w:t xml:space="preserve">בס' </w:t>
      </w:r>
      <w:r w:rsidR="00555724">
        <w:rPr>
          <w:rFonts w:hint="cs"/>
          <w:rtl/>
        </w:rPr>
        <w:t>51ב-51ג לכתב התביעה</w:t>
      </w:r>
      <w:r>
        <w:rPr>
          <w:rFonts w:hint="cs"/>
          <w:rtl/>
        </w:rPr>
        <w:t xml:space="preserve"> תקף העד את הגשת כתב האישום נגדו ואת התנהלות המאשימה, לרבות התבססותה על עדותו של רמזי והגשת כתב האישום למרות היעדר חיזוק לדבריו. אין בהכחשה כדי להשליך על מהימנות העד</w:t>
      </w:r>
      <w:r w:rsidR="00555724">
        <w:rPr>
          <w:rFonts w:hint="cs"/>
          <w:rtl/>
        </w:rPr>
        <w:t xml:space="preserve"> מעבר לנדרש</w:t>
      </w:r>
      <w:r>
        <w:rPr>
          <w:rFonts w:hint="cs"/>
          <w:rtl/>
        </w:rPr>
        <w:t>.</w:t>
      </w:r>
    </w:p>
  </w:comment>
  <w:comment w:id="24" w:author="Ammie Wolf" w:date="2018-09-15T12:28:00Z" w:initials="AW">
    <w:p w:rsidR="000B0CC5" w:rsidRDefault="000B0CC5" w:rsidP="005B3AA5">
      <w:pPr>
        <w:pStyle w:val="a9"/>
      </w:pPr>
      <w:r>
        <w:rPr>
          <w:rStyle w:val="a8"/>
        </w:rPr>
        <w:annotationRef/>
      </w:r>
      <w:r>
        <w:rPr>
          <w:rFonts w:hint="cs"/>
          <w:rtl/>
        </w:rPr>
        <w:t>בס</w:t>
      </w:r>
      <w:r w:rsidR="005B3AA5">
        <w:rPr>
          <w:rFonts w:hint="cs"/>
          <w:rtl/>
        </w:rPr>
        <w:t>'</w:t>
      </w:r>
      <w:r>
        <w:rPr>
          <w:rFonts w:hint="cs"/>
          <w:rtl/>
        </w:rPr>
        <w:t xml:space="preserve"> </w:t>
      </w:r>
      <w:r w:rsidR="00555724">
        <w:rPr>
          <w:rFonts w:hint="cs"/>
          <w:rtl/>
        </w:rPr>
        <w:t>52</w:t>
      </w:r>
      <w:r>
        <w:rPr>
          <w:rFonts w:hint="cs"/>
          <w:rtl/>
        </w:rPr>
        <w:t xml:space="preserve"> </w:t>
      </w:r>
      <w:r w:rsidR="00555724">
        <w:rPr>
          <w:rFonts w:hint="cs"/>
          <w:rtl/>
        </w:rPr>
        <w:t>ל</w:t>
      </w:r>
      <w:r>
        <w:rPr>
          <w:rFonts w:hint="cs"/>
          <w:rtl/>
        </w:rPr>
        <w:t xml:space="preserve">כתב התביעה </w:t>
      </w:r>
      <w:r w:rsidR="00555724">
        <w:rPr>
          <w:rFonts w:hint="cs"/>
          <w:rtl/>
        </w:rPr>
        <w:t>תי</w:t>
      </w:r>
      <w:r>
        <w:rPr>
          <w:rFonts w:hint="cs"/>
          <w:rtl/>
        </w:rPr>
        <w:t>אר העד את השתלשלות מעצרו, בדגש על השמתו בחדר השגחה, וטען למחדלים של שירות בתי הסוהר. אין בהכחש</w:t>
      </w:r>
      <w:r w:rsidR="00555724">
        <w:rPr>
          <w:rFonts w:hint="cs"/>
          <w:rtl/>
        </w:rPr>
        <w:t>ה זו</w:t>
      </w:r>
      <w:r>
        <w:rPr>
          <w:rFonts w:hint="cs"/>
          <w:rtl/>
        </w:rPr>
        <w:t>, המתמקדת בעיקר בהיעדר רשלנות מצד שירות בתי הסוהר ובהיעדר קשר סיבתי</w:t>
      </w:r>
      <w:r w:rsidR="00555724">
        <w:rPr>
          <w:rFonts w:hint="cs"/>
          <w:rtl/>
        </w:rPr>
        <w:t xml:space="preserve"> בין פעולות הרשויות לנזקי העד</w:t>
      </w:r>
      <w:r>
        <w:rPr>
          <w:rFonts w:hint="cs"/>
          <w:rtl/>
        </w:rPr>
        <w:t xml:space="preserve">, כדי לפגוע במהימנותו באופן מהותי. לצד זאת, אבקש להסב את תשומת ליבכן </w:t>
      </w:r>
      <w:r w:rsidR="00555724">
        <w:rPr>
          <w:rFonts w:hint="cs"/>
          <w:rtl/>
        </w:rPr>
        <w:t>לכך</w:t>
      </w:r>
      <w:r>
        <w:rPr>
          <w:rFonts w:hint="cs"/>
          <w:rtl/>
        </w:rPr>
        <w:t xml:space="preserve"> </w:t>
      </w:r>
      <w:r w:rsidR="00555724">
        <w:rPr>
          <w:rFonts w:hint="cs"/>
          <w:rtl/>
        </w:rPr>
        <w:t>ש</w:t>
      </w:r>
      <w:r>
        <w:rPr>
          <w:rFonts w:hint="cs"/>
          <w:rtl/>
        </w:rPr>
        <w:t xml:space="preserve">העד לא ציין בכתב התביעה את הצהרת בא כוחו </w:t>
      </w:r>
      <w:r w:rsidR="00555724">
        <w:rPr>
          <w:rFonts w:hint="cs"/>
          <w:rtl/>
        </w:rPr>
        <w:t>ה</w:t>
      </w:r>
      <w:r>
        <w:rPr>
          <w:rFonts w:hint="cs"/>
          <w:rtl/>
        </w:rPr>
        <w:t>מפורטת ב</w:t>
      </w:r>
      <w:r w:rsidR="00555724">
        <w:rPr>
          <w:rFonts w:hint="cs"/>
          <w:rtl/>
        </w:rPr>
        <w:t xml:space="preserve">משפט </w:t>
      </w:r>
      <w:r w:rsidR="001D291C">
        <w:rPr>
          <w:rFonts w:hint="cs"/>
          <w:rtl/>
        </w:rPr>
        <w:t>ה</w:t>
      </w:r>
      <w:r>
        <w:rPr>
          <w:rFonts w:hint="cs"/>
          <w:rtl/>
        </w:rPr>
        <w:t>מודגש להלן או את החלטות בית המשפט בהקשר זה. אולם, לא נראה כי יש בכך כדי לפגוע במהימנותו מעבר לנדרש.</w:t>
      </w:r>
    </w:p>
  </w:comment>
  <w:comment w:id="25" w:author="Ammie Wolf" w:date="2018-09-14T20:41:00Z" w:initials="AW">
    <w:p w:rsidR="000B0CC5" w:rsidRDefault="000B0CC5" w:rsidP="005B3AA5">
      <w:pPr>
        <w:pStyle w:val="a9"/>
        <w:rPr>
          <w:rtl/>
        </w:rPr>
      </w:pPr>
      <w:r>
        <w:rPr>
          <w:rStyle w:val="a8"/>
        </w:rPr>
        <w:annotationRef/>
      </w:r>
      <w:r w:rsidR="00555724">
        <w:rPr>
          <w:rFonts w:hint="cs"/>
          <w:rtl/>
        </w:rPr>
        <w:t>בס</w:t>
      </w:r>
      <w:r w:rsidR="005B3AA5">
        <w:rPr>
          <w:rFonts w:hint="cs"/>
          <w:rtl/>
        </w:rPr>
        <w:t>'</w:t>
      </w:r>
      <w:r w:rsidR="00555724">
        <w:rPr>
          <w:rFonts w:hint="cs"/>
          <w:rtl/>
        </w:rPr>
        <w:t xml:space="preserve"> 53 ל</w:t>
      </w:r>
      <w:r>
        <w:rPr>
          <w:rFonts w:hint="cs"/>
          <w:rtl/>
        </w:rPr>
        <w:t>כתב התביעה ציין העד כי רק בעימות מיום 12.5.11, לאחר 50 ימי מעצר, סיפר רמזי על כך שלו ולמשפחתו היה מניע כלכלי מובהק במבנה הסיינטולוגיה.</w:t>
      </w:r>
    </w:p>
    <w:p w:rsidR="000B0CC5" w:rsidRDefault="000B0CC5" w:rsidP="00737DA3">
      <w:pPr>
        <w:pStyle w:val="a9"/>
      </w:pPr>
      <w:r>
        <w:rPr>
          <w:rFonts w:hint="cs"/>
          <w:rtl/>
        </w:rPr>
        <w:t>ההכחשה הכללית בכתב ההגנה אינה פוגעת במהימנותו של העד, אם כי ה</w:t>
      </w:r>
      <w:r w:rsidR="00737DA3">
        <w:rPr>
          <w:rFonts w:hint="cs"/>
          <w:rtl/>
        </w:rPr>
        <w:t>עובדה שלא אזכר בכתב התביעה את</w:t>
      </w:r>
      <w:r>
        <w:rPr>
          <w:rFonts w:hint="cs"/>
          <w:rtl/>
        </w:rPr>
        <w:t xml:space="preserve"> הודאתו </w:t>
      </w:r>
      <w:r w:rsidR="00737DA3">
        <w:rPr>
          <w:rFonts w:hint="cs"/>
          <w:rtl/>
        </w:rPr>
        <w:t>בדבר</w:t>
      </w:r>
      <w:r>
        <w:rPr>
          <w:rFonts w:hint="cs"/>
          <w:rtl/>
        </w:rPr>
        <w:t xml:space="preserve"> </w:t>
      </w:r>
      <w:r w:rsidR="00737DA3">
        <w:rPr>
          <w:rFonts w:hint="cs"/>
          <w:rtl/>
        </w:rPr>
        <w:t>ה</w:t>
      </w:r>
      <w:r>
        <w:rPr>
          <w:rFonts w:hint="cs"/>
          <w:rtl/>
        </w:rPr>
        <w:t xml:space="preserve">אינטרס </w:t>
      </w:r>
      <w:r w:rsidR="00737DA3">
        <w:rPr>
          <w:rFonts w:hint="cs"/>
          <w:rtl/>
        </w:rPr>
        <w:t>ה</w:t>
      </w:r>
      <w:r>
        <w:rPr>
          <w:rFonts w:hint="cs"/>
          <w:rtl/>
        </w:rPr>
        <w:t>כלכלי עלול</w:t>
      </w:r>
      <w:r w:rsidR="00737DA3">
        <w:rPr>
          <w:rFonts w:hint="cs"/>
          <w:rtl/>
        </w:rPr>
        <w:t>ה</w:t>
      </w:r>
      <w:r>
        <w:rPr>
          <w:rFonts w:hint="cs"/>
          <w:rtl/>
        </w:rPr>
        <w:t xml:space="preserve"> להשליך על מהימנותו (ללא קשר לכתב ההגנה, בו מובן כי חשוב להזכיר זאת). </w:t>
      </w:r>
    </w:p>
  </w:comment>
  <w:comment w:id="26" w:author="Ammie Wolf" w:date="2018-09-14T20:41:00Z" w:initials="AW">
    <w:p w:rsidR="000B0CC5" w:rsidRDefault="000B0CC5" w:rsidP="005B3AA5">
      <w:pPr>
        <w:pStyle w:val="a9"/>
        <w:rPr>
          <w:rtl/>
        </w:rPr>
      </w:pPr>
      <w:r>
        <w:rPr>
          <w:rStyle w:val="a8"/>
        </w:rPr>
        <w:annotationRef/>
      </w:r>
      <w:r>
        <w:rPr>
          <w:rFonts w:hint="cs"/>
          <w:rtl/>
        </w:rPr>
        <w:t>בס</w:t>
      </w:r>
      <w:r w:rsidR="005B3AA5">
        <w:rPr>
          <w:rFonts w:hint="cs"/>
          <w:rtl/>
        </w:rPr>
        <w:t>'</w:t>
      </w:r>
      <w:r>
        <w:rPr>
          <w:rFonts w:hint="cs"/>
          <w:rtl/>
        </w:rPr>
        <w:t xml:space="preserve"> </w:t>
      </w:r>
      <w:r w:rsidR="00737DA3">
        <w:rPr>
          <w:rFonts w:hint="cs"/>
          <w:rtl/>
        </w:rPr>
        <w:t>54</w:t>
      </w:r>
      <w:r>
        <w:rPr>
          <w:rFonts w:hint="cs"/>
          <w:rtl/>
        </w:rPr>
        <w:t xml:space="preserve"> </w:t>
      </w:r>
      <w:r w:rsidR="00737DA3">
        <w:rPr>
          <w:rFonts w:hint="cs"/>
          <w:rtl/>
        </w:rPr>
        <w:t>ל</w:t>
      </w:r>
      <w:r>
        <w:rPr>
          <w:rFonts w:hint="cs"/>
          <w:rtl/>
        </w:rPr>
        <w:t xml:space="preserve">כתב התביעה טען העד כי ביקש </w:t>
      </w:r>
      <w:r w:rsidR="00737DA3">
        <w:rPr>
          <w:rFonts w:hint="cs"/>
          <w:rtl/>
        </w:rPr>
        <w:t>מהחוקרים מספר פעמים</w:t>
      </w:r>
      <w:r>
        <w:rPr>
          <w:rFonts w:hint="cs"/>
          <w:rtl/>
        </w:rPr>
        <w:t xml:space="preserve"> לערוך עימו</w:t>
      </w:r>
      <w:r w:rsidR="00737DA3">
        <w:rPr>
          <w:rFonts w:hint="cs"/>
          <w:rtl/>
        </w:rPr>
        <w:t>ת</w:t>
      </w:r>
      <w:r>
        <w:rPr>
          <w:rFonts w:hint="cs"/>
          <w:rtl/>
        </w:rPr>
        <w:t xml:space="preserve"> בינו לבי</w:t>
      </w:r>
      <w:r w:rsidR="00737DA3">
        <w:rPr>
          <w:rFonts w:hint="cs"/>
          <w:rtl/>
        </w:rPr>
        <w:t>ן</w:t>
      </w:r>
      <w:r>
        <w:rPr>
          <w:rFonts w:hint="cs"/>
          <w:rtl/>
        </w:rPr>
        <w:t xml:space="preserve"> הקבלן סלטי, אך נתקל בסירוב, וכי ראש המחלק הסביר בעדותו כי לא האמין לעד </w:t>
      </w:r>
      <w:r w:rsidR="00737DA3">
        <w:rPr>
          <w:rFonts w:hint="cs"/>
          <w:rtl/>
        </w:rPr>
        <w:t xml:space="preserve">אשר </w:t>
      </w:r>
      <w:r>
        <w:rPr>
          <w:rFonts w:hint="cs"/>
          <w:rtl/>
        </w:rPr>
        <w:t xml:space="preserve">"הינו הזוי, תלוש מהמציאות". </w:t>
      </w:r>
    </w:p>
    <w:p w:rsidR="000B0CC5" w:rsidRDefault="000B0CC5" w:rsidP="005701B9">
      <w:pPr>
        <w:pStyle w:val="a9"/>
      </w:pPr>
      <w:r>
        <w:rPr>
          <w:rFonts w:hint="cs"/>
          <w:rtl/>
        </w:rPr>
        <w:t>משמעות ההכחשה בכתב ההגנה הינה כי העד שיקר בכתב התביעה</w:t>
      </w:r>
      <w:r w:rsidR="00737DA3">
        <w:rPr>
          <w:rFonts w:hint="cs"/>
          <w:rtl/>
        </w:rPr>
        <w:t>,</w:t>
      </w:r>
      <w:r>
        <w:rPr>
          <w:rFonts w:hint="cs"/>
          <w:rtl/>
        </w:rPr>
        <w:t xml:space="preserve"> ובפועל לא ביקש לערוך עימות. בניגוד לסעיפים הקודמים, הכחשה זו פוגעת במהימנותו של העד באופן מהותי יותר, וייתכן כי ניתן היה להסתפק בטענת ההגנה המופיעה להלן, לפיה עימות איננו בגדר זכות מוקנית. הדברים נכונים גם באשר לטענת ההגנה המופיעה בהמשך, לפיה דברי ראש המחלק אליהם התייחס העד בכתב התביעה, לא נאמרו בהקשר זה.</w:t>
      </w:r>
    </w:p>
  </w:comment>
  <w:comment w:id="27" w:author="Ammie Wolf" w:date="2018-09-14T20:41:00Z" w:initials="AW">
    <w:p w:rsidR="000B0CC5" w:rsidRDefault="000B0CC5" w:rsidP="005B3AA5">
      <w:pPr>
        <w:pStyle w:val="a9"/>
        <w:rPr>
          <w:rtl/>
        </w:rPr>
      </w:pPr>
      <w:r>
        <w:rPr>
          <w:rStyle w:val="a8"/>
        </w:rPr>
        <w:annotationRef/>
      </w:r>
      <w:r>
        <w:rPr>
          <w:rFonts w:hint="cs"/>
          <w:rtl/>
        </w:rPr>
        <w:t>בס</w:t>
      </w:r>
      <w:r w:rsidR="005B3AA5">
        <w:rPr>
          <w:rFonts w:hint="cs"/>
          <w:rtl/>
        </w:rPr>
        <w:t>'</w:t>
      </w:r>
      <w:r>
        <w:rPr>
          <w:rFonts w:hint="cs"/>
          <w:rtl/>
        </w:rPr>
        <w:t xml:space="preserve"> </w:t>
      </w:r>
      <w:r w:rsidR="00737DA3">
        <w:rPr>
          <w:rFonts w:hint="cs"/>
          <w:rtl/>
        </w:rPr>
        <w:t>55 ל</w:t>
      </w:r>
      <w:r>
        <w:rPr>
          <w:rFonts w:hint="cs"/>
          <w:rtl/>
        </w:rPr>
        <w:t xml:space="preserve">כתב התביעה ציין העד כי המשטרה לא בדקה את גרסתו, לפיה לא נפגע מצו הפסקת העבודה שהוצא ע"י שוטה הואיל וסיים את העבודה עובר להוצאתו. </w:t>
      </w:r>
    </w:p>
    <w:p w:rsidR="000B0CC5" w:rsidRDefault="000B0CC5">
      <w:pPr>
        <w:pStyle w:val="a9"/>
      </w:pPr>
      <w:r>
        <w:rPr>
          <w:rFonts w:hint="cs"/>
          <w:rtl/>
        </w:rPr>
        <w:t>ההכחשה הכללית אינה פוגעת במהימנות עדותו של העד באופן מהותי.</w:t>
      </w:r>
    </w:p>
  </w:comment>
  <w:comment w:id="28" w:author="Ammie Wolf" w:date="2018-09-14T20:41:00Z" w:initials="AW">
    <w:p w:rsidR="000B0CC5" w:rsidRDefault="000B0CC5" w:rsidP="005B3AA5">
      <w:pPr>
        <w:pStyle w:val="a9"/>
        <w:rPr>
          <w:rtl/>
        </w:rPr>
      </w:pPr>
      <w:r>
        <w:rPr>
          <w:rStyle w:val="a8"/>
        </w:rPr>
        <w:annotationRef/>
      </w:r>
      <w:r>
        <w:rPr>
          <w:rFonts w:hint="cs"/>
          <w:rtl/>
        </w:rPr>
        <w:t>בס</w:t>
      </w:r>
      <w:r w:rsidR="005B3AA5">
        <w:rPr>
          <w:rFonts w:hint="cs"/>
          <w:rtl/>
        </w:rPr>
        <w:t>'</w:t>
      </w:r>
      <w:r>
        <w:rPr>
          <w:rFonts w:hint="cs"/>
          <w:rtl/>
        </w:rPr>
        <w:t xml:space="preserve"> </w:t>
      </w:r>
      <w:r w:rsidR="00737DA3">
        <w:rPr>
          <w:rFonts w:hint="cs"/>
          <w:rtl/>
        </w:rPr>
        <w:t>55 ל</w:t>
      </w:r>
      <w:r>
        <w:rPr>
          <w:rFonts w:hint="cs"/>
          <w:rtl/>
        </w:rPr>
        <w:t>כתב התביעה ציין העד כי המשטרה לא חקרה עורכי דין ומזכירה במשרדו</w:t>
      </w:r>
      <w:r w:rsidR="005C2D81">
        <w:rPr>
          <w:rFonts w:hint="cs"/>
          <w:rtl/>
        </w:rPr>
        <w:t xml:space="preserve"> לצורך בחינת </w:t>
      </w:r>
      <w:r>
        <w:rPr>
          <w:rFonts w:hint="cs"/>
          <w:rtl/>
        </w:rPr>
        <w:t>טענתו</w:t>
      </w:r>
      <w:r w:rsidR="005C2D81">
        <w:rPr>
          <w:rFonts w:hint="cs"/>
          <w:rtl/>
        </w:rPr>
        <w:t>, לפיה</w:t>
      </w:r>
      <w:r>
        <w:rPr>
          <w:rFonts w:hint="cs"/>
          <w:rtl/>
        </w:rPr>
        <w:t xml:space="preserve"> פיטר את רמזי ואחיו בעקבות ריב שהיה במשרד.</w:t>
      </w:r>
    </w:p>
    <w:p w:rsidR="005C2D81" w:rsidRDefault="00737DA3" w:rsidP="00737DA3">
      <w:pPr>
        <w:pStyle w:val="a9"/>
      </w:pPr>
      <w:r>
        <w:rPr>
          <w:rFonts w:hint="cs"/>
          <w:rtl/>
        </w:rPr>
        <w:t>ההכחשה הכללית אינה פוגעת במהימנות העד באופן מהותי</w:t>
      </w:r>
      <w:r w:rsidR="005C2D81">
        <w:rPr>
          <w:rFonts w:hint="cs"/>
          <w:rtl/>
        </w:rPr>
        <w:t xml:space="preserve"> (אם כי ככל שאכן נחקרו עורכי דין והמזכירה, יש בכך כדי לפגוע במהימנות העד, אך באיזון בין פגיעה במהימנותו לחוזק ההגנה, יש בעיני להעדיף את השיקול האחרון במקרה זה).</w:t>
      </w:r>
    </w:p>
  </w:comment>
  <w:comment w:id="29" w:author="Ammie Wolf" w:date="2018-09-15T12:30:00Z" w:initials="AW">
    <w:p w:rsidR="005C2D81" w:rsidRDefault="005C2D81" w:rsidP="005B3AA5">
      <w:pPr>
        <w:pStyle w:val="a9"/>
        <w:rPr>
          <w:rtl/>
        </w:rPr>
      </w:pPr>
      <w:r>
        <w:rPr>
          <w:rStyle w:val="a8"/>
        </w:rPr>
        <w:annotationRef/>
      </w:r>
      <w:r>
        <w:rPr>
          <w:rFonts w:hint="cs"/>
          <w:rtl/>
        </w:rPr>
        <w:t>ב</w:t>
      </w:r>
      <w:r w:rsidR="005B3AA5">
        <w:rPr>
          <w:rFonts w:hint="cs"/>
          <w:rtl/>
        </w:rPr>
        <w:t>ס'</w:t>
      </w:r>
      <w:r>
        <w:rPr>
          <w:rFonts w:hint="cs"/>
          <w:rtl/>
        </w:rPr>
        <w:t xml:space="preserve"> </w:t>
      </w:r>
      <w:r w:rsidR="00737DA3">
        <w:rPr>
          <w:rFonts w:hint="cs"/>
          <w:rtl/>
        </w:rPr>
        <w:t>57 ל</w:t>
      </w:r>
      <w:r>
        <w:rPr>
          <w:rFonts w:hint="cs"/>
          <w:rtl/>
        </w:rPr>
        <w:t>כתב התביעה ציין העד כי המשטרה לא בדקה את לוחות הזמנים ואת תקופת הנתק המוחלט בין העד לרמזי.</w:t>
      </w:r>
    </w:p>
    <w:p w:rsidR="005C2D81" w:rsidRDefault="005C2D81" w:rsidP="00737DA3">
      <w:pPr>
        <w:pStyle w:val="a9"/>
      </w:pPr>
      <w:r>
        <w:rPr>
          <w:rFonts w:hint="cs"/>
          <w:rtl/>
        </w:rPr>
        <w:t>ראו</w:t>
      </w:r>
      <w:r w:rsidR="00737DA3">
        <w:rPr>
          <w:rFonts w:hint="cs"/>
          <w:rtl/>
        </w:rPr>
        <w:t xml:space="preserve"> בהקשר זה הערה 11 לעיל, המתייחסת לטענת ההגנה לפיה היעדר קשר תקשורת</w:t>
      </w:r>
      <w:r w:rsidR="001D291C">
        <w:rPr>
          <w:rFonts w:hint="cs"/>
          <w:rtl/>
        </w:rPr>
        <w:t xml:space="preserve">י בין רמזי לעד אין משמעותו </w:t>
      </w:r>
      <w:r w:rsidR="00737DA3">
        <w:rPr>
          <w:rFonts w:hint="cs"/>
          <w:rtl/>
        </w:rPr>
        <w:t>כי לא היה ביניהם קשר אחר בתקופת זמן זו.</w:t>
      </w:r>
    </w:p>
  </w:comment>
  <w:comment w:id="30" w:author="Ammie Wolf" w:date="2018-09-14T20:41:00Z" w:initials="AW">
    <w:p w:rsidR="005C2D81" w:rsidRDefault="005C2D81" w:rsidP="005B3AA5">
      <w:pPr>
        <w:pStyle w:val="a9"/>
        <w:rPr>
          <w:rtl/>
        </w:rPr>
      </w:pPr>
      <w:r>
        <w:rPr>
          <w:rStyle w:val="a8"/>
          <w:rFonts w:hint="cs"/>
        </w:rPr>
        <w:annotationRef/>
      </w:r>
      <w:r>
        <w:rPr>
          <w:rFonts w:hint="cs"/>
          <w:rtl/>
        </w:rPr>
        <w:t>בס</w:t>
      </w:r>
      <w:r w:rsidR="005B3AA5">
        <w:rPr>
          <w:rFonts w:hint="cs"/>
          <w:rtl/>
        </w:rPr>
        <w:t>'</w:t>
      </w:r>
      <w:r>
        <w:rPr>
          <w:rFonts w:hint="cs"/>
          <w:rtl/>
        </w:rPr>
        <w:t xml:space="preserve"> </w:t>
      </w:r>
      <w:r w:rsidR="00737DA3">
        <w:rPr>
          <w:rFonts w:hint="cs"/>
          <w:rtl/>
        </w:rPr>
        <w:t>58 ל</w:t>
      </w:r>
      <w:r>
        <w:rPr>
          <w:rFonts w:hint="cs"/>
          <w:rtl/>
        </w:rPr>
        <w:t>כתב התביעה טען העד כי ביום 12.11.10 נכשל ניסיון לפגוע בדניאל כהן ליד ביתו של העד, וכי נהג המונית לא נחקר כלל ע"י המשטרה.</w:t>
      </w:r>
    </w:p>
    <w:p w:rsidR="005C2D81" w:rsidRDefault="005C2D81" w:rsidP="005B3AA5">
      <w:pPr>
        <w:pStyle w:val="a9"/>
      </w:pPr>
      <w:r>
        <w:rPr>
          <w:rFonts w:hint="cs"/>
          <w:rtl/>
        </w:rPr>
        <w:t xml:space="preserve">ההכחשה והטענה בדבר היעדר קשר סיבתי, אין בהן כדי לפגוע באופן מהותי במהימנות העד. עם זאת, </w:t>
      </w:r>
      <w:r w:rsidR="005B3AA5">
        <w:rPr>
          <w:rFonts w:hint="cs"/>
          <w:rtl/>
        </w:rPr>
        <w:t xml:space="preserve">טענת ההגנה לפיה </w:t>
      </w:r>
      <w:r>
        <w:rPr>
          <w:rFonts w:hint="cs"/>
          <w:rtl/>
        </w:rPr>
        <w:t>נהג המונית נחקר, משמעותה כי העד שיקר בכתב התביעה. אומנם השקר כאן בולט יותר</w:t>
      </w:r>
      <w:r w:rsidR="005B3AA5">
        <w:rPr>
          <w:rFonts w:hint="cs"/>
          <w:rtl/>
        </w:rPr>
        <w:t xml:space="preserve"> מהסעיפים הקודמים (בהם צוין באופן כללי שבוצעו פעולות החקירה הנדרשות, ללא אזכור הגורמים שנחקרו). עם זאת, בשל חשיבות הטענה להגנה, נראה כי נכון להותירה.</w:t>
      </w:r>
    </w:p>
  </w:comment>
  <w:comment w:id="31" w:author="Ammie Wolf" w:date="2018-09-14T20:42:00Z" w:initials="AW">
    <w:p w:rsidR="004D53FE" w:rsidRDefault="004D53FE" w:rsidP="005B3AA5">
      <w:pPr>
        <w:pStyle w:val="a9"/>
        <w:rPr>
          <w:rtl/>
        </w:rPr>
      </w:pPr>
      <w:r>
        <w:rPr>
          <w:rStyle w:val="a8"/>
        </w:rPr>
        <w:annotationRef/>
      </w:r>
      <w:r>
        <w:rPr>
          <w:rFonts w:hint="cs"/>
          <w:rtl/>
        </w:rPr>
        <w:t>בס</w:t>
      </w:r>
      <w:r w:rsidR="005B3AA5">
        <w:rPr>
          <w:rFonts w:hint="cs"/>
          <w:rtl/>
        </w:rPr>
        <w:t>'</w:t>
      </w:r>
      <w:r>
        <w:rPr>
          <w:rFonts w:hint="cs"/>
          <w:rtl/>
        </w:rPr>
        <w:t xml:space="preserve"> </w:t>
      </w:r>
      <w:r w:rsidR="005B3AA5">
        <w:rPr>
          <w:rFonts w:hint="cs"/>
          <w:rtl/>
        </w:rPr>
        <w:t>59 ל</w:t>
      </w:r>
      <w:r>
        <w:rPr>
          <w:rFonts w:hint="cs"/>
          <w:rtl/>
        </w:rPr>
        <w:t xml:space="preserve">כתב התביעה הלין העד על הצמדתו לאסיר </w:t>
      </w:r>
      <w:r w:rsidR="005B3AA5">
        <w:rPr>
          <w:rFonts w:hint="cs"/>
          <w:rtl/>
        </w:rPr>
        <w:t xml:space="preserve">התומך </w:t>
      </w:r>
      <w:r>
        <w:rPr>
          <w:rFonts w:hint="cs"/>
          <w:rtl/>
        </w:rPr>
        <w:t>ג.א, אשר הורשע בעבירת סמים והדיח את העד לביצוע העבירות שבגינן הורשע.</w:t>
      </w:r>
    </w:p>
    <w:p w:rsidR="004D53FE" w:rsidRDefault="004D53FE">
      <w:pPr>
        <w:pStyle w:val="a9"/>
      </w:pPr>
      <w:r>
        <w:rPr>
          <w:rFonts w:hint="cs"/>
          <w:rtl/>
        </w:rPr>
        <w:t>אבקש להסב את תשומת ליבכן לפגיעה במהימנותו הנובעת מהיעדר אזכור דחיית הטענות ע"י בית המשפט ב</w:t>
      </w:r>
      <w:r w:rsidR="005B3AA5">
        <w:rPr>
          <w:rFonts w:hint="cs"/>
          <w:rtl/>
        </w:rPr>
        <w:t>מסגרת ה</w:t>
      </w:r>
      <w:r>
        <w:rPr>
          <w:rFonts w:hint="cs"/>
          <w:rtl/>
        </w:rPr>
        <w:t>הליך הפלילי (אם כי מובן כי נכון להותיר זאת</w:t>
      </w:r>
      <w:r w:rsidR="005B3AA5">
        <w:rPr>
          <w:rFonts w:hint="cs"/>
          <w:rtl/>
        </w:rPr>
        <w:t xml:space="preserve"> בכתב ההגנה).</w:t>
      </w:r>
    </w:p>
  </w:comment>
  <w:comment w:id="32" w:author="Ammie Wolf" w:date="2018-09-14T20:42:00Z" w:initials="AW">
    <w:p w:rsidR="00790191" w:rsidRDefault="00790191" w:rsidP="005B3AA5">
      <w:pPr>
        <w:pStyle w:val="a9"/>
        <w:rPr>
          <w:rtl/>
        </w:rPr>
      </w:pPr>
      <w:r>
        <w:rPr>
          <w:rStyle w:val="a8"/>
        </w:rPr>
        <w:annotationRef/>
      </w:r>
      <w:r>
        <w:rPr>
          <w:rStyle w:val="a8"/>
        </w:rPr>
        <w:annotationRef/>
      </w:r>
      <w:r>
        <w:rPr>
          <w:rFonts w:hint="cs"/>
          <w:rtl/>
        </w:rPr>
        <w:t>בס</w:t>
      </w:r>
      <w:r w:rsidR="005B3AA5">
        <w:rPr>
          <w:rFonts w:hint="cs"/>
          <w:rtl/>
        </w:rPr>
        <w:t>'</w:t>
      </w:r>
      <w:r>
        <w:rPr>
          <w:rFonts w:hint="cs"/>
          <w:rtl/>
        </w:rPr>
        <w:t xml:space="preserve"> </w:t>
      </w:r>
      <w:r w:rsidR="005B3AA5">
        <w:rPr>
          <w:rFonts w:hint="cs"/>
          <w:rtl/>
        </w:rPr>
        <w:t>60 ל</w:t>
      </w:r>
      <w:r>
        <w:rPr>
          <w:rFonts w:hint="cs"/>
          <w:rtl/>
        </w:rPr>
        <w:t xml:space="preserve">כתב התביעה ציין העד </w:t>
      </w:r>
      <w:r w:rsidR="005B3AA5">
        <w:rPr>
          <w:rFonts w:hint="cs"/>
          <w:rtl/>
        </w:rPr>
        <w:t>ש</w:t>
      </w:r>
      <w:r>
        <w:rPr>
          <w:rFonts w:hint="cs"/>
          <w:rtl/>
        </w:rPr>
        <w:t xml:space="preserve">המשטרה טענה בפני רמזי כי העד מדבר ומפלילי אותו, ורק אז החליט רמזי להפליל את העד. </w:t>
      </w:r>
    </w:p>
    <w:p w:rsidR="00790191" w:rsidRDefault="00790191" w:rsidP="005B3AA5">
      <w:pPr>
        <w:pStyle w:val="a9"/>
      </w:pPr>
      <w:r>
        <w:rPr>
          <w:rFonts w:hint="cs"/>
          <w:rtl/>
        </w:rPr>
        <w:t>אומנם העובדה כי השתלשלות הדברים הייתה שונה מזו שהוצגה על-ידי העד</w:t>
      </w:r>
      <w:r w:rsidR="005B3AA5">
        <w:rPr>
          <w:rFonts w:hint="cs"/>
          <w:rtl/>
        </w:rPr>
        <w:t xml:space="preserve"> בכתב התביעה</w:t>
      </w:r>
      <w:r>
        <w:rPr>
          <w:rFonts w:hint="cs"/>
          <w:rtl/>
        </w:rPr>
        <w:t xml:space="preserve">, מהווה טענת הגנה </w:t>
      </w:r>
      <w:r w:rsidR="005B3AA5">
        <w:rPr>
          <w:rFonts w:hint="cs"/>
          <w:rtl/>
        </w:rPr>
        <w:t>חשובה</w:t>
      </w:r>
      <w:r>
        <w:rPr>
          <w:rFonts w:hint="cs"/>
          <w:rtl/>
        </w:rPr>
        <w:t xml:space="preserve">, </w:t>
      </w:r>
      <w:r w:rsidR="005B3AA5">
        <w:rPr>
          <w:rFonts w:hint="cs"/>
          <w:rtl/>
        </w:rPr>
        <w:t>וזאת חרף</w:t>
      </w:r>
      <w:r>
        <w:rPr>
          <w:rFonts w:hint="cs"/>
          <w:rtl/>
        </w:rPr>
        <w:t xml:space="preserve"> הפגיעה הנובעת מכך במהימנות העד. עם זאת, ניתן להשמיט את המשפט המודגש בהערה, ולהותיר רק את יתר הדברים</w:t>
      </w:r>
      <w:r w:rsidR="005B3AA5">
        <w:rPr>
          <w:rFonts w:hint="cs"/>
          <w:rtl/>
        </w:rPr>
        <w:t xml:space="preserve"> (לא מהותי).</w:t>
      </w:r>
    </w:p>
  </w:comment>
  <w:comment w:id="33" w:author="Ammie Wolf" w:date="2018-09-14T20:42:00Z" w:initials="AW">
    <w:p w:rsidR="00666432" w:rsidRPr="005B3AA5" w:rsidRDefault="00666432" w:rsidP="005B3AA5">
      <w:pPr>
        <w:pStyle w:val="a9"/>
        <w:rPr>
          <w:rtl/>
        </w:rPr>
      </w:pPr>
      <w:r>
        <w:rPr>
          <w:rStyle w:val="a8"/>
        </w:rPr>
        <w:annotationRef/>
      </w:r>
      <w:r w:rsidRPr="005B3AA5">
        <w:rPr>
          <w:rFonts w:hint="cs"/>
          <w:rtl/>
        </w:rPr>
        <w:t>ב</w:t>
      </w:r>
      <w:r w:rsidR="005B3AA5">
        <w:rPr>
          <w:rFonts w:hint="cs"/>
          <w:rtl/>
        </w:rPr>
        <w:t>ס'</w:t>
      </w:r>
      <w:r w:rsidRPr="005B3AA5">
        <w:rPr>
          <w:rFonts w:hint="cs"/>
          <w:rtl/>
        </w:rPr>
        <w:t xml:space="preserve"> </w:t>
      </w:r>
      <w:r w:rsidR="005B3AA5" w:rsidRPr="005B3AA5">
        <w:rPr>
          <w:rFonts w:hint="cs"/>
          <w:rtl/>
        </w:rPr>
        <w:t>63-61 לכתב התביעה</w:t>
      </w:r>
      <w:r w:rsidRPr="005B3AA5">
        <w:rPr>
          <w:rFonts w:hint="cs"/>
          <w:rtl/>
        </w:rPr>
        <w:t xml:space="preserve"> ייחס העד מחדלי חקירה לפרקליטות, תוך שהתייחס לחומר החקירה בעניינו.</w:t>
      </w:r>
    </w:p>
    <w:p w:rsidR="00666432" w:rsidRDefault="00666432" w:rsidP="00666432">
      <w:pPr>
        <w:pStyle w:val="a9"/>
      </w:pPr>
      <w:r w:rsidRPr="005B3AA5">
        <w:rPr>
          <w:rFonts w:hint="cs"/>
          <w:rtl/>
        </w:rPr>
        <w:t xml:space="preserve">טענות ההגנה בהקשר זה מתייחסות בעיקר לשיקול דעת התביעה בהחלטתה להגיש כתב אישום, ואין בהן כדי לפגוע במהימנות העד. </w:t>
      </w:r>
    </w:p>
  </w:comment>
  <w:comment w:id="34" w:author="Ammie Wolf" w:date="2018-09-14T20:42:00Z" w:initials="AW">
    <w:p w:rsidR="0071094A" w:rsidRDefault="0071094A" w:rsidP="005B3AA5">
      <w:pPr>
        <w:pStyle w:val="a9"/>
        <w:rPr>
          <w:rtl/>
        </w:rPr>
      </w:pPr>
      <w:r>
        <w:rPr>
          <w:rStyle w:val="a8"/>
        </w:rPr>
        <w:annotationRef/>
      </w:r>
      <w:r>
        <w:rPr>
          <w:rFonts w:hint="cs"/>
          <w:rtl/>
        </w:rPr>
        <w:t>ב</w:t>
      </w:r>
      <w:r w:rsidR="005B3AA5">
        <w:rPr>
          <w:rFonts w:hint="cs"/>
          <w:rtl/>
        </w:rPr>
        <w:t>ס'</w:t>
      </w:r>
      <w:r>
        <w:rPr>
          <w:rFonts w:hint="cs"/>
          <w:rtl/>
        </w:rPr>
        <w:t xml:space="preserve"> </w:t>
      </w:r>
      <w:r w:rsidR="005B3AA5">
        <w:rPr>
          <w:rFonts w:hint="cs"/>
          <w:rtl/>
        </w:rPr>
        <w:t>64 ל</w:t>
      </w:r>
      <w:r>
        <w:rPr>
          <w:rFonts w:hint="cs"/>
          <w:rtl/>
        </w:rPr>
        <w:t>כתב התביעה ציין העד כי המשטרה לא הקליטה את שיחותיו של</w:t>
      </w:r>
      <w:r w:rsidR="005B3AA5">
        <w:rPr>
          <w:rFonts w:hint="cs"/>
          <w:rtl/>
        </w:rPr>
        <w:t xml:space="preserve"> האסיר</w:t>
      </w:r>
      <w:r>
        <w:rPr>
          <w:rFonts w:hint="cs"/>
          <w:rtl/>
        </w:rPr>
        <w:t xml:space="preserve"> התומך עם העד כפי שציינה השופטת בבית המשפט המחוזי, ובכך נמנעה האפשרות להוכיח את ההדחה. </w:t>
      </w:r>
    </w:p>
    <w:p w:rsidR="0071094A" w:rsidRDefault="0071094A">
      <w:pPr>
        <w:pStyle w:val="a9"/>
      </w:pPr>
      <w:r>
        <w:rPr>
          <w:rFonts w:hint="cs"/>
          <w:rtl/>
        </w:rPr>
        <w:t xml:space="preserve">ראו </w:t>
      </w:r>
      <w:r w:rsidR="005B3AA5">
        <w:rPr>
          <w:rFonts w:hint="cs"/>
          <w:rtl/>
        </w:rPr>
        <w:t>הערה 30 לעיל בדבר הפגיעה במהימנות העד כתוצאה מהיעדר אזכור עובדה זו.</w:t>
      </w:r>
    </w:p>
  </w:comment>
  <w:comment w:id="35" w:author="Ammie Wolf" w:date="2018-09-14T20:40:00Z" w:initials="AW">
    <w:p w:rsidR="00303F62" w:rsidRDefault="00303F62">
      <w:pPr>
        <w:pStyle w:val="a9"/>
      </w:pPr>
      <w:r>
        <w:rPr>
          <w:rStyle w:val="a8"/>
        </w:rPr>
        <w:annotationRef/>
      </w:r>
      <w:r>
        <w:rPr>
          <w:rFonts w:hint="cs"/>
          <w:rtl/>
        </w:rPr>
        <w:t>ראו הערות 9-8 לעיל</w:t>
      </w:r>
      <w:r w:rsidR="005B3AA5">
        <w:rPr>
          <w:rFonts w:hint="cs"/>
          <w:rtl/>
        </w:rPr>
        <w:t xml:space="preserve"> בדבר היעדר הקשר הסיבתי בין נזקי העד, ככל שקיימים, לפעולות הרשויות</w:t>
      </w:r>
      <w:r>
        <w:rPr>
          <w:rFonts w:hint="cs"/>
          <w:rtl/>
        </w:rPr>
        <w:t>.</w:t>
      </w:r>
    </w:p>
  </w:comment>
  <w:comment w:id="36" w:author="Ammie Wolf" w:date="2018-09-14T20:42:00Z" w:initials="AW">
    <w:p w:rsidR="001C3A58" w:rsidRDefault="001C3A58" w:rsidP="005B3AA5">
      <w:pPr>
        <w:pStyle w:val="a9"/>
        <w:rPr>
          <w:rtl/>
        </w:rPr>
      </w:pPr>
      <w:r>
        <w:rPr>
          <w:rStyle w:val="a8"/>
        </w:rPr>
        <w:annotationRef/>
      </w:r>
      <w:r w:rsidR="005B3AA5">
        <w:rPr>
          <w:rFonts w:hint="cs"/>
          <w:rtl/>
        </w:rPr>
        <w:t>ס'</w:t>
      </w:r>
      <w:r>
        <w:rPr>
          <w:rFonts w:hint="cs"/>
          <w:rtl/>
        </w:rPr>
        <w:t xml:space="preserve"> 90-87 להלן מכחישים את הנזקים להם טוען העד</w:t>
      </w:r>
      <w:r w:rsidR="005B3AA5">
        <w:rPr>
          <w:rFonts w:hint="cs"/>
          <w:rtl/>
        </w:rPr>
        <w:t xml:space="preserve"> (בס' 68-66 לכתב התביעה)</w:t>
      </w:r>
      <w:r>
        <w:rPr>
          <w:rFonts w:hint="cs"/>
          <w:rtl/>
        </w:rPr>
        <w:t>. אין בהם כדי לחדש על הערותיי לעיל.</w:t>
      </w:r>
    </w:p>
    <w:p w:rsidR="001C3A58" w:rsidRDefault="001C3A58" w:rsidP="005B3AA5">
      <w:pPr>
        <w:pStyle w:val="a9"/>
      </w:pPr>
      <w:r>
        <w:rPr>
          <w:rFonts w:hint="cs"/>
          <w:rtl/>
        </w:rPr>
        <w:t>באשר לס</w:t>
      </w:r>
      <w:r w:rsidR="005B3AA5">
        <w:rPr>
          <w:rFonts w:hint="cs"/>
          <w:rtl/>
        </w:rPr>
        <w:t>'</w:t>
      </w:r>
      <w:r>
        <w:rPr>
          <w:rFonts w:hint="cs"/>
          <w:rtl/>
        </w:rPr>
        <w:t xml:space="preserve"> 90 להלן, התוקף את מהימנות חוות הדעת, ראו הערה 4 לעיל, המתייחסת לפגיעה האפשרית </w:t>
      </w:r>
      <w:r w:rsidR="005B3AA5">
        <w:rPr>
          <w:rFonts w:hint="cs"/>
          <w:rtl/>
        </w:rPr>
        <w:t>ב</w:t>
      </w:r>
      <w:r>
        <w:rPr>
          <w:rFonts w:hint="cs"/>
          <w:rtl/>
        </w:rPr>
        <w:t xml:space="preserve">מהימנות העד כתוצאה מכך. כן אבקש להסב את תשומת ליבכן לכוונת ההגנה להעמיד את העד לבדיקת מומחה רפואי מטעמה, אשר ממצאיה יוכלו להשליך על מהימנות עדותו. </w:t>
      </w:r>
    </w:p>
  </w:comment>
  <w:comment w:id="37" w:author="Ammie Wolf" w:date="2018-09-15T12:32:00Z" w:initials="AW">
    <w:p w:rsidR="004403F4" w:rsidRDefault="004403F4" w:rsidP="005B3AA5">
      <w:pPr>
        <w:pStyle w:val="a9"/>
        <w:rPr>
          <w:rtl/>
        </w:rPr>
      </w:pPr>
      <w:r>
        <w:rPr>
          <w:rStyle w:val="a8"/>
        </w:rPr>
        <w:annotationRef/>
      </w:r>
      <w:r>
        <w:rPr>
          <w:rFonts w:hint="cs"/>
          <w:rtl/>
        </w:rPr>
        <w:t>בס</w:t>
      </w:r>
      <w:r w:rsidR="005B3AA5">
        <w:rPr>
          <w:rFonts w:hint="cs"/>
          <w:rtl/>
        </w:rPr>
        <w:t>' 79-75 ל</w:t>
      </w:r>
      <w:r>
        <w:rPr>
          <w:rFonts w:hint="cs"/>
          <w:rtl/>
        </w:rPr>
        <w:t xml:space="preserve">כתב התביעה </w:t>
      </w:r>
      <w:r w:rsidR="005B3AA5">
        <w:rPr>
          <w:rFonts w:hint="cs"/>
          <w:rtl/>
        </w:rPr>
        <w:t>פי</w:t>
      </w:r>
      <w:r>
        <w:rPr>
          <w:rFonts w:hint="cs"/>
          <w:rtl/>
        </w:rPr>
        <w:t>רט העד את עלות הנזקים שנגרמו לו, לטענתו.</w:t>
      </w:r>
    </w:p>
    <w:p w:rsidR="004403F4" w:rsidRDefault="004403F4" w:rsidP="005B3AA5">
      <w:pPr>
        <w:pStyle w:val="a9"/>
      </w:pPr>
      <w:r>
        <w:rPr>
          <w:rFonts w:hint="cs"/>
          <w:rtl/>
        </w:rPr>
        <w:t xml:space="preserve">מובן כי </w:t>
      </w:r>
      <w:r w:rsidR="005B3AA5">
        <w:rPr>
          <w:rFonts w:hint="cs"/>
          <w:rtl/>
        </w:rPr>
        <w:t>טענת ההגנה, לפיה</w:t>
      </w:r>
      <w:r>
        <w:rPr>
          <w:rFonts w:hint="cs"/>
          <w:rtl/>
        </w:rPr>
        <w:t xml:space="preserve"> הנזקים להם טוען</w:t>
      </w:r>
      <w:r w:rsidR="005B3AA5">
        <w:rPr>
          <w:rFonts w:hint="cs"/>
          <w:rtl/>
        </w:rPr>
        <w:t xml:space="preserve"> העד</w:t>
      </w:r>
      <w:r>
        <w:rPr>
          <w:rFonts w:hint="cs"/>
          <w:rtl/>
        </w:rPr>
        <w:t xml:space="preserve"> מופרכים ומוגזמים ללא אחיזה במציאות, יש בה כדי לפגום במהימנותו, אך מדובר בטענת הגנה בלתי נמנעת</w:t>
      </w:r>
      <w:r w:rsidR="001D291C">
        <w:rPr>
          <w:rFonts w:hint="cs"/>
          <w:rtl/>
        </w:rPr>
        <w:t xml:space="preserve"> האופיינית להליכים אזרחיים</w:t>
      </w:r>
      <w:bookmarkStart w:id="38" w:name="_GoBack"/>
      <w:bookmarkEnd w:id="38"/>
      <w:r>
        <w:rPr>
          <w:rFonts w:hint="cs"/>
          <w:rtl/>
        </w:rPr>
        <w:t xml:space="preserve"> (והם שניתן לרככה, לא נראה כי הדבר הכרחי).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C5" w:rsidRDefault="000B0CC5">
      <w:r>
        <w:separator/>
      </w:r>
    </w:p>
  </w:endnote>
  <w:endnote w:type="continuationSeparator" w:id="0">
    <w:p w:rsidR="000B0CC5" w:rsidRDefault="000B0CC5">
      <w:r>
        <w:continuationSeparator/>
      </w:r>
    </w:p>
  </w:endnote>
  <w:endnote w:id="1">
    <w:p w:rsidR="000B0CC5" w:rsidRDefault="000B0CC5" w:rsidP="00CE5F6C">
      <w:pPr>
        <w:pStyle w:val="af9"/>
      </w:pPr>
      <w:r w:rsidRPr="004F2627">
        <w:rPr>
          <w:rStyle w:val="afb"/>
        </w:rPr>
        <w:endnoteRef/>
      </w:r>
      <w:r w:rsidRPr="004F2627">
        <w:rPr>
          <w:rtl/>
        </w:rPr>
        <w:t xml:space="preserve">   </w:t>
      </w:r>
      <w:r w:rsidRPr="004F2627">
        <w:rPr>
          <w:rFonts w:hint="cs"/>
          <w:rtl/>
        </w:rPr>
        <w:t xml:space="preserve"> </w:t>
      </w:r>
      <w:r w:rsidRPr="004F2627">
        <w:rPr>
          <w:rtl/>
        </w:rPr>
        <w:t>קדמי</w:t>
      </w:r>
      <w:r w:rsidRPr="004F2627">
        <w:rPr>
          <w:rFonts w:hint="cs"/>
          <w:rtl/>
        </w:rPr>
        <w:t>,</w:t>
      </w:r>
      <w:r w:rsidRPr="004F2627">
        <w:rPr>
          <w:b/>
          <w:bCs/>
          <w:rtl/>
        </w:rPr>
        <w:t xml:space="preserve"> על סדר הדין הפלילי(</w:t>
      </w:r>
      <w:r w:rsidRPr="004F2627">
        <w:rPr>
          <w:rtl/>
        </w:rPr>
        <w:t>2008</w:t>
      </w:r>
      <w:r w:rsidRPr="004F2627">
        <w:rPr>
          <w:b/>
          <w:bCs/>
          <w:rtl/>
        </w:rPr>
        <w:t xml:space="preserve">), </w:t>
      </w:r>
      <w:r w:rsidRPr="004F2627">
        <w:rPr>
          <w:rFonts w:hint="cs"/>
          <w:rtl/>
        </w:rPr>
        <w:t>עמ</w:t>
      </w:r>
      <w:r w:rsidRPr="004F2627">
        <w:rPr>
          <w:rFonts w:hint="cs"/>
          <w:b/>
          <w:bCs/>
          <w:rtl/>
        </w:rPr>
        <w:t xml:space="preserve">' </w:t>
      </w:r>
      <w:r w:rsidRPr="004F2627">
        <w:rPr>
          <w:rtl/>
        </w:rPr>
        <w:t xml:space="preserve"> 847 המפנה אל בש"פ 2181/94</w:t>
      </w:r>
      <w:r w:rsidRPr="004F2627">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5" w:rsidRDefault="000B0CC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5" w:rsidRDefault="000B0CC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5" w:rsidRDefault="000B0CC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C5" w:rsidRDefault="000B0CC5">
      <w:r>
        <w:separator/>
      </w:r>
    </w:p>
  </w:footnote>
  <w:footnote w:type="continuationSeparator" w:id="0">
    <w:p w:rsidR="000B0CC5" w:rsidRDefault="000B0CC5">
      <w:r>
        <w:continuationSeparator/>
      </w:r>
    </w:p>
  </w:footnote>
  <w:footnote w:id="1">
    <w:p w:rsidR="000B0CC5" w:rsidRPr="00BC715A" w:rsidRDefault="000B0CC5" w:rsidP="00BC715A">
      <w:pPr>
        <w:pStyle w:val="af6"/>
        <w:ind w:left="107" w:hanging="107"/>
        <w:rPr>
          <w:rFonts w:ascii="David" w:hAnsi="David" w:cs="David"/>
          <w:rtl/>
        </w:rPr>
      </w:pPr>
      <w:r>
        <w:rPr>
          <w:rStyle w:val="af8"/>
        </w:rPr>
        <w:footnoteRef/>
      </w:r>
      <w:r>
        <w:rPr>
          <w:rtl/>
        </w:rPr>
        <w:t xml:space="preserve"> </w:t>
      </w:r>
      <w:r>
        <w:rPr>
          <w:rFonts w:ascii="David" w:hAnsi="David" w:cs="David" w:hint="cs"/>
          <w:rtl/>
        </w:rPr>
        <w:t>המדינה הודיעה בסיכומיה כי אינה מבקשת להרשיע את התובע באישום השלישי. באישום השישי הורשע התובע על ידי בית המשפט המחוזי בעבירת חבלה בכוונה מחמירה, חלף עבירת נסיון לרצח בה הואשם.</w:t>
      </w:r>
    </w:p>
  </w:footnote>
  <w:footnote w:id="2">
    <w:p w:rsidR="000B0CC5" w:rsidRPr="00BC715A" w:rsidRDefault="000B0CC5" w:rsidP="00BC715A">
      <w:pPr>
        <w:pStyle w:val="af6"/>
        <w:ind w:left="107" w:hanging="107"/>
        <w:rPr>
          <w:rFonts w:ascii="David" w:hAnsi="David" w:cs="David"/>
          <w:rtl/>
        </w:rPr>
      </w:pPr>
      <w:r>
        <w:rPr>
          <w:rStyle w:val="af8"/>
        </w:rPr>
        <w:footnoteRef/>
      </w:r>
      <w:r>
        <w:rPr>
          <w:rtl/>
        </w:rPr>
        <w:t xml:space="preserve"> </w:t>
      </w:r>
      <w:r>
        <w:rPr>
          <w:rFonts w:ascii="David" w:hAnsi="David" w:cs="David" w:hint="cs"/>
          <w:rtl/>
        </w:rPr>
        <w:t>באישום השלושה עשר זוכה התובע על ידי בית המשפט המחוזי מעבירת נסיון שידול לרצח עד המדינה. באישום החמישה עשר הורשע  התובע בעבירות ניסיון להטרדת עד והדחה, שלא בנסיבות מחמירות, כפי שיוחס לו בכתב האישום.</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5" w:rsidRDefault="000B0CC5">
    <w:pPr>
      <w:pStyle w:val="a4"/>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Pr>
        <w:rStyle w:val="a6"/>
        <w:noProof/>
        <w:rtl/>
      </w:rPr>
      <w:t>2</w:t>
    </w:r>
    <w:r>
      <w:rPr>
        <w:rStyle w:val="a6"/>
        <w:rtl/>
      </w:rPr>
      <w:fldChar w:fldCharType="end"/>
    </w:r>
  </w:p>
  <w:p w:rsidR="000B0CC5" w:rsidRDefault="000B0CC5">
    <w:pPr>
      <w:pStyle w:val="a4"/>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CC5" w:rsidRDefault="000B0CC5">
    <w:pPr>
      <w:pStyle w:val="a4"/>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sidR="001D291C">
      <w:rPr>
        <w:rStyle w:val="a6"/>
        <w:noProof/>
        <w:rtl/>
      </w:rPr>
      <w:t>27</w:t>
    </w:r>
    <w:r>
      <w:rPr>
        <w:rStyle w:val="a6"/>
        <w:rtl/>
      </w:rPr>
      <w:fldChar w:fldCharType="end"/>
    </w:r>
  </w:p>
  <w:p w:rsidR="000B0CC5" w:rsidRDefault="000B0CC5">
    <w:pPr>
      <w:pStyle w:val="a4"/>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37804222"/>
      <w:docPartObj>
        <w:docPartGallery w:val="Watermarks"/>
        <w:docPartUnique/>
      </w:docPartObj>
    </w:sdtPr>
    <w:sdtEndPr/>
    <w:sdtContent>
      <w:p w:rsidR="000B0CC5" w:rsidRDefault="001D291C">
        <w:pPr>
          <w:pStyle w:val="a4"/>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F32"/>
    <w:multiLevelType w:val="hybridMultilevel"/>
    <w:tmpl w:val="F45295AE"/>
    <w:lvl w:ilvl="0" w:tplc="0409000F">
      <w:start w:val="1"/>
      <w:numFmt w:val="decimal"/>
      <w:lvlText w:val="%1."/>
      <w:lvlJc w:val="left"/>
      <w:pPr>
        <w:tabs>
          <w:tab w:val="num" w:pos="720"/>
        </w:tabs>
        <w:ind w:left="720" w:hanging="360"/>
      </w:pPr>
    </w:lvl>
    <w:lvl w:ilvl="1" w:tplc="B6D827D0">
      <w:start w:val="1"/>
      <w:numFmt w:val="hebrew1"/>
      <w:lvlText w:val="%2."/>
      <w:lvlJc w:val="left"/>
      <w:pPr>
        <w:tabs>
          <w:tab w:val="num" w:pos="1440"/>
        </w:tabs>
        <w:ind w:left="1440" w:hanging="360"/>
      </w:pPr>
      <w:rPr>
        <w:rFonts w:hint="default"/>
      </w:rPr>
    </w:lvl>
    <w:lvl w:ilvl="2" w:tplc="3B02061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B528B2"/>
    <w:multiLevelType w:val="hybridMultilevel"/>
    <w:tmpl w:val="21A4DF42"/>
    <w:lvl w:ilvl="0" w:tplc="89DAEDFE">
      <w:start w:val="1"/>
      <w:numFmt w:val="decimal"/>
      <w:lvlText w:val="%1."/>
      <w:lvlJc w:val="left"/>
      <w:pPr>
        <w:tabs>
          <w:tab w:val="num" w:pos="927"/>
        </w:tabs>
        <w:ind w:left="927" w:hanging="360"/>
      </w:pPr>
      <w:rPr>
        <w:b w:val="0"/>
        <w:bCs w:val="0"/>
      </w:rPr>
    </w:lvl>
    <w:lvl w:ilvl="1" w:tplc="B6D827D0">
      <w:start w:val="1"/>
      <w:numFmt w:val="hebrew1"/>
      <w:lvlText w:val="%2."/>
      <w:lvlJc w:val="left"/>
      <w:pPr>
        <w:tabs>
          <w:tab w:val="num" w:pos="1440"/>
        </w:tabs>
        <w:ind w:left="1440" w:hanging="360"/>
      </w:pPr>
      <w:rPr>
        <w:rFonts w:hint="default"/>
      </w:rPr>
    </w:lvl>
    <w:lvl w:ilvl="2" w:tplc="3B02061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1C4073"/>
    <w:multiLevelType w:val="hybridMultilevel"/>
    <w:tmpl w:val="EC64688A"/>
    <w:lvl w:ilvl="0" w:tplc="0409000F">
      <w:start w:val="1"/>
      <w:numFmt w:val="decimal"/>
      <w:lvlText w:val="%1."/>
      <w:lvlJc w:val="left"/>
      <w:pPr>
        <w:tabs>
          <w:tab w:val="num" w:pos="927"/>
        </w:tabs>
        <w:ind w:left="927" w:hanging="360"/>
      </w:pPr>
    </w:lvl>
    <w:lvl w:ilvl="1" w:tplc="B6D827D0">
      <w:start w:val="1"/>
      <w:numFmt w:val="hebrew1"/>
      <w:lvlText w:val="%2."/>
      <w:lvlJc w:val="left"/>
      <w:pPr>
        <w:tabs>
          <w:tab w:val="num" w:pos="1440"/>
        </w:tabs>
        <w:ind w:left="1440" w:hanging="360"/>
      </w:pPr>
      <w:rPr>
        <w:rFonts w:hint="default"/>
      </w:rPr>
    </w:lvl>
    <w:lvl w:ilvl="2" w:tplc="3B02061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061D02"/>
    <w:multiLevelType w:val="multilevel"/>
    <w:tmpl w:val="8286D166"/>
    <w:lvl w:ilvl="0">
      <w:start w:val="1"/>
      <w:numFmt w:val="decimal"/>
      <w:lvlText w:val="%1."/>
      <w:lvlJc w:val="left"/>
      <w:pPr>
        <w:tabs>
          <w:tab w:val="num" w:pos="360"/>
        </w:tabs>
        <w:ind w:left="360" w:hanging="360"/>
      </w:pPr>
      <w:rPr>
        <w:rFonts w:cs="David"/>
        <w:b/>
        <w:bCs/>
        <w:sz w:val="24"/>
        <w:szCs w:val="24"/>
        <w:lang w:val="en-US"/>
      </w:rPr>
    </w:lvl>
    <w:lvl w:ilvl="1">
      <w:start w:val="1"/>
      <w:numFmt w:val="decimal"/>
      <w:isLgl/>
      <w:lvlText w:val="%1.%2"/>
      <w:lvlJc w:val="left"/>
      <w:pPr>
        <w:tabs>
          <w:tab w:val="num" w:pos="390"/>
        </w:tabs>
        <w:ind w:left="390" w:hanging="390"/>
      </w:pPr>
      <w:rPr>
        <w:b/>
        <w:bCs/>
      </w:rPr>
    </w:lvl>
    <w:lvl w:ilvl="2">
      <w:start w:val="1"/>
      <w:numFmt w:val="decimal"/>
      <w:isLgl/>
      <w:lvlText w:val="%1.%2.%3"/>
      <w:lvlJc w:val="left"/>
      <w:pPr>
        <w:tabs>
          <w:tab w:val="num" w:pos="778"/>
        </w:tabs>
        <w:ind w:left="778" w:hanging="720"/>
      </w:pPr>
    </w:lvl>
    <w:lvl w:ilvl="3">
      <w:start w:val="1"/>
      <w:numFmt w:val="decimal"/>
      <w:isLgl/>
      <w:lvlText w:val="%1.%2.%3.%4"/>
      <w:lvlJc w:val="left"/>
      <w:pPr>
        <w:tabs>
          <w:tab w:val="num" w:pos="807"/>
        </w:tabs>
        <w:ind w:left="807" w:hanging="720"/>
      </w:pPr>
    </w:lvl>
    <w:lvl w:ilvl="4">
      <w:start w:val="1"/>
      <w:numFmt w:val="decimal"/>
      <w:isLgl/>
      <w:lvlText w:val="%1.%2.%3.%4.%5"/>
      <w:lvlJc w:val="left"/>
      <w:pPr>
        <w:tabs>
          <w:tab w:val="num" w:pos="1196"/>
        </w:tabs>
        <w:ind w:left="1196" w:hanging="1080"/>
      </w:pPr>
    </w:lvl>
    <w:lvl w:ilvl="5">
      <w:start w:val="1"/>
      <w:numFmt w:val="decimal"/>
      <w:isLgl/>
      <w:lvlText w:val="%1.%2.%3.%4.%5.%6"/>
      <w:lvlJc w:val="left"/>
      <w:pPr>
        <w:tabs>
          <w:tab w:val="num" w:pos="1225"/>
        </w:tabs>
        <w:ind w:left="1225" w:hanging="1080"/>
      </w:pPr>
    </w:lvl>
    <w:lvl w:ilvl="6">
      <w:start w:val="1"/>
      <w:numFmt w:val="decimal"/>
      <w:isLgl/>
      <w:lvlText w:val="%1.%2.%3.%4.%5.%6.%7"/>
      <w:lvlJc w:val="left"/>
      <w:pPr>
        <w:tabs>
          <w:tab w:val="num" w:pos="1614"/>
        </w:tabs>
        <w:ind w:left="1614" w:hanging="1440"/>
      </w:pPr>
    </w:lvl>
    <w:lvl w:ilvl="7">
      <w:start w:val="1"/>
      <w:numFmt w:val="decimal"/>
      <w:isLgl/>
      <w:lvlText w:val="%1.%2.%3.%4.%5.%6.%7.%8"/>
      <w:lvlJc w:val="left"/>
      <w:pPr>
        <w:tabs>
          <w:tab w:val="num" w:pos="1643"/>
        </w:tabs>
        <w:ind w:left="1643" w:hanging="1440"/>
      </w:pPr>
    </w:lvl>
    <w:lvl w:ilvl="8">
      <w:start w:val="1"/>
      <w:numFmt w:val="decimal"/>
      <w:isLgl/>
      <w:lvlText w:val="%1.%2.%3.%4.%5.%6.%7.%8.%9"/>
      <w:lvlJc w:val="left"/>
      <w:pPr>
        <w:tabs>
          <w:tab w:val="num" w:pos="1672"/>
        </w:tabs>
        <w:ind w:left="1672" w:hanging="1440"/>
      </w:pPr>
    </w:lvl>
  </w:abstractNum>
  <w:abstractNum w:abstractNumId="4">
    <w:nsid w:val="1EDF0C39"/>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nsid w:val="209F2C12"/>
    <w:multiLevelType w:val="singleLevel"/>
    <w:tmpl w:val="CE64648E"/>
    <w:lvl w:ilvl="0">
      <w:start w:val="1"/>
      <w:numFmt w:val="decimal"/>
      <w:lvlText w:val="%1."/>
      <w:lvlJc w:val="left"/>
      <w:pPr>
        <w:tabs>
          <w:tab w:val="num" w:pos="360"/>
        </w:tabs>
        <w:ind w:left="360" w:hanging="360"/>
      </w:pPr>
      <w:rPr>
        <w:rFonts w:hint="default"/>
        <w:sz w:val="24"/>
      </w:rPr>
    </w:lvl>
  </w:abstractNum>
  <w:abstractNum w:abstractNumId="6">
    <w:nsid w:val="21294C47"/>
    <w:multiLevelType w:val="hybridMultilevel"/>
    <w:tmpl w:val="EB5852B8"/>
    <w:lvl w:ilvl="0" w:tplc="0409000F">
      <w:start w:val="1"/>
      <w:numFmt w:val="decimal"/>
      <w:lvlText w:val="%1."/>
      <w:lvlJc w:val="left"/>
      <w:pPr>
        <w:tabs>
          <w:tab w:val="num" w:pos="720"/>
        </w:tabs>
        <w:ind w:left="720" w:hanging="360"/>
      </w:pPr>
    </w:lvl>
    <w:lvl w:ilvl="1" w:tplc="B6D827D0">
      <w:start w:val="1"/>
      <w:numFmt w:val="hebrew1"/>
      <w:lvlText w:val="%2."/>
      <w:lvlJc w:val="left"/>
      <w:pPr>
        <w:tabs>
          <w:tab w:val="num" w:pos="1440"/>
        </w:tabs>
        <w:ind w:left="1440" w:hanging="360"/>
      </w:pPr>
      <w:rPr>
        <w:rFonts w:hint="default"/>
      </w:rPr>
    </w:lvl>
    <w:lvl w:ilvl="2" w:tplc="3B02061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4567F5"/>
    <w:multiLevelType w:val="hybridMultilevel"/>
    <w:tmpl w:val="D6BC7F2E"/>
    <w:lvl w:ilvl="0" w:tplc="04090001">
      <w:start w:val="1"/>
      <w:numFmt w:val="bullet"/>
      <w:lvlText w:val=""/>
      <w:lvlJc w:val="left"/>
      <w:pPr>
        <w:tabs>
          <w:tab w:val="num" w:pos="890"/>
        </w:tabs>
        <w:ind w:left="890" w:hanging="360"/>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8">
    <w:nsid w:val="25D064C5"/>
    <w:multiLevelType w:val="hybridMultilevel"/>
    <w:tmpl w:val="6F626C62"/>
    <w:lvl w:ilvl="0" w:tplc="C46AB904">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A507EAD"/>
    <w:multiLevelType w:val="hybridMultilevel"/>
    <w:tmpl w:val="4F2E184A"/>
    <w:lvl w:ilvl="0" w:tplc="D6446C8C">
      <w:start w:val="1"/>
      <w:numFmt w:val="decimal"/>
      <w:lvlText w:val="%1."/>
      <w:lvlJc w:val="left"/>
      <w:pPr>
        <w:ind w:left="360" w:hanging="360"/>
      </w:pPr>
      <w:rPr>
        <w:rFonts w:cs="Times New Roman" w:hint="default"/>
        <w:b w:val="0"/>
        <w:bCs w:val="0"/>
      </w:rPr>
    </w:lvl>
    <w:lvl w:ilvl="1" w:tplc="04090019" w:tentative="1">
      <w:start w:val="1"/>
      <w:numFmt w:val="lowerLetter"/>
      <w:lvlText w:val="%2."/>
      <w:lvlJc w:val="left"/>
      <w:pPr>
        <w:ind w:left="1025" w:hanging="360"/>
      </w:pPr>
      <w:rPr>
        <w:rFonts w:cs="Times New Roman"/>
      </w:rPr>
    </w:lvl>
    <w:lvl w:ilvl="2" w:tplc="0409001B" w:tentative="1">
      <w:start w:val="1"/>
      <w:numFmt w:val="lowerRoman"/>
      <w:lvlText w:val="%3."/>
      <w:lvlJc w:val="right"/>
      <w:pPr>
        <w:ind w:left="1745" w:hanging="180"/>
      </w:pPr>
      <w:rPr>
        <w:rFonts w:cs="Times New Roman"/>
      </w:rPr>
    </w:lvl>
    <w:lvl w:ilvl="3" w:tplc="0409000F" w:tentative="1">
      <w:start w:val="1"/>
      <w:numFmt w:val="decimal"/>
      <w:lvlText w:val="%4."/>
      <w:lvlJc w:val="left"/>
      <w:pPr>
        <w:ind w:left="2465" w:hanging="360"/>
      </w:pPr>
      <w:rPr>
        <w:rFonts w:cs="Times New Roman"/>
      </w:rPr>
    </w:lvl>
    <w:lvl w:ilvl="4" w:tplc="04090019" w:tentative="1">
      <w:start w:val="1"/>
      <w:numFmt w:val="lowerLetter"/>
      <w:lvlText w:val="%5."/>
      <w:lvlJc w:val="left"/>
      <w:pPr>
        <w:ind w:left="3185" w:hanging="360"/>
      </w:pPr>
      <w:rPr>
        <w:rFonts w:cs="Times New Roman"/>
      </w:rPr>
    </w:lvl>
    <w:lvl w:ilvl="5" w:tplc="0409001B" w:tentative="1">
      <w:start w:val="1"/>
      <w:numFmt w:val="lowerRoman"/>
      <w:lvlText w:val="%6."/>
      <w:lvlJc w:val="right"/>
      <w:pPr>
        <w:ind w:left="3905" w:hanging="180"/>
      </w:pPr>
      <w:rPr>
        <w:rFonts w:cs="Times New Roman"/>
      </w:rPr>
    </w:lvl>
    <w:lvl w:ilvl="6" w:tplc="0409000F" w:tentative="1">
      <w:start w:val="1"/>
      <w:numFmt w:val="decimal"/>
      <w:lvlText w:val="%7."/>
      <w:lvlJc w:val="left"/>
      <w:pPr>
        <w:ind w:left="4625" w:hanging="360"/>
      </w:pPr>
      <w:rPr>
        <w:rFonts w:cs="Times New Roman"/>
      </w:rPr>
    </w:lvl>
    <w:lvl w:ilvl="7" w:tplc="04090019" w:tentative="1">
      <w:start w:val="1"/>
      <w:numFmt w:val="lowerLetter"/>
      <w:lvlText w:val="%8."/>
      <w:lvlJc w:val="left"/>
      <w:pPr>
        <w:ind w:left="5345" w:hanging="360"/>
      </w:pPr>
      <w:rPr>
        <w:rFonts w:cs="Times New Roman"/>
      </w:rPr>
    </w:lvl>
    <w:lvl w:ilvl="8" w:tplc="0409001B" w:tentative="1">
      <w:start w:val="1"/>
      <w:numFmt w:val="lowerRoman"/>
      <w:lvlText w:val="%9."/>
      <w:lvlJc w:val="right"/>
      <w:pPr>
        <w:ind w:left="6065" w:hanging="180"/>
      </w:pPr>
      <w:rPr>
        <w:rFonts w:cs="Times New Roman"/>
      </w:rPr>
    </w:lvl>
  </w:abstractNum>
  <w:abstractNum w:abstractNumId="10">
    <w:nsid w:val="2A5773F2"/>
    <w:multiLevelType w:val="multilevel"/>
    <w:tmpl w:val="A10A662C"/>
    <w:lvl w:ilvl="0">
      <w:start w:val="1"/>
      <w:numFmt w:val="decimal"/>
      <w:lvlText w:val="%1."/>
      <w:lvlJc w:val="right"/>
      <w:pPr>
        <w:tabs>
          <w:tab w:val="num" w:pos="680"/>
        </w:tabs>
        <w:ind w:left="680" w:hanging="510"/>
      </w:pPr>
    </w:lvl>
    <w:lvl w:ilvl="1">
      <w:start w:val="1"/>
      <w:numFmt w:val="upperRoman"/>
      <w:lvlText w:val="%2."/>
      <w:lvlJc w:val="center"/>
      <w:pPr>
        <w:tabs>
          <w:tab w:val="num" w:pos="792"/>
        </w:tabs>
        <w:ind w:left="792" w:hanging="432"/>
      </w:pPr>
    </w:lvl>
    <w:lvl w:ilvl="2">
      <w:start w:val="1"/>
      <w:numFmt w:val="decimal"/>
      <w:lvlText w:val="%1.%2.%3."/>
      <w:lvlJc w:val="center"/>
      <w:pPr>
        <w:tabs>
          <w:tab w:val="num" w:pos="1224"/>
        </w:tabs>
        <w:ind w:left="1224" w:hanging="504"/>
      </w:pPr>
    </w:lvl>
    <w:lvl w:ilvl="3">
      <w:start w:val="1"/>
      <w:numFmt w:val="decimal"/>
      <w:lvlText w:val="%1.%2.%3.%4."/>
      <w:lvlJc w:val="center"/>
      <w:pPr>
        <w:tabs>
          <w:tab w:val="num" w:pos="1728"/>
        </w:tabs>
        <w:ind w:left="1728" w:hanging="648"/>
      </w:pPr>
    </w:lvl>
    <w:lvl w:ilvl="4">
      <w:start w:val="1"/>
      <w:numFmt w:val="decimal"/>
      <w:lvlText w:val="%1.%2.%3.%4.%5."/>
      <w:lvlJc w:val="center"/>
      <w:pPr>
        <w:tabs>
          <w:tab w:val="num" w:pos="2232"/>
        </w:tabs>
        <w:ind w:left="2232" w:hanging="792"/>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11">
    <w:nsid w:val="2EA656A8"/>
    <w:multiLevelType w:val="singleLevel"/>
    <w:tmpl w:val="5B24CB50"/>
    <w:lvl w:ilvl="0">
      <w:start w:val="1"/>
      <w:numFmt w:val="decimal"/>
      <w:lvlText w:val="%1."/>
      <w:lvlJc w:val="left"/>
      <w:pPr>
        <w:tabs>
          <w:tab w:val="num" w:pos="360"/>
        </w:tabs>
        <w:ind w:left="360" w:hanging="360"/>
      </w:pPr>
      <w:rPr>
        <w:rFonts w:hint="default"/>
        <w:sz w:val="28"/>
      </w:rPr>
    </w:lvl>
  </w:abstractNum>
  <w:abstractNum w:abstractNumId="12">
    <w:nsid w:val="345310A0"/>
    <w:multiLevelType w:val="singleLevel"/>
    <w:tmpl w:val="1C46FE86"/>
    <w:lvl w:ilvl="0">
      <w:start w:val="1"/>
      <w:numFmt w:val="upperRoman"/>
      <w:lvlText w:val="%1."/>
      <w:lvlJc w:val="left"/>
      <w:pPr>
        <w:tabs>
          <w:tab w:val="num" w:pos="1080"/>
        </w:tabs>
        <w:ind w:left="1080" w:hanging="360"/>
      </w:pPr>
      <w:rPr>
        <w:rFonts w:hint="default"/>
        <w:sz w:val="24"/>
      </w:rPr>
    </w:lvl>
  </w:abstractNum>
  <w:abstractNum w:abstractNumId="13">
    <w:nsid w:val="347B1219"/>
    <w:multiLevelType w:val="hybridMultilevel"/>
    <w:tmpl w:val="C19E3F5C"/>
    <w:lvl w:ilvl="0" w:tplc="0409000F">
      <w:start w:val="1"/>
      <w:numFmt w:val="decimal"/>
      <w:lvlText w:val="%1."/>
      <w:lvlJc w:val="left"/>
      <w:pPr>
        <w:tabs>
          <w:tab w:val="num" w:pos="720"/>
        </w:tabs>
        <w:ind w:left="720" w:hanging="360"/>
      </w:pPr>
    </w:lvl>
    <w:lvl w:ilvl="1" w:tplc="B6D827D0">
      <w:start w:val="1"/>
      <w:numFmt w:val="hebrew1"/>
      <w:lvlText w:val="%2."/>
      <w:lvlJc w:val="left"/>
      <w:pPr>
        <w:tabs>
          <w:tab w:val="num" w:pos="1440"/>
        </w:tabs>
        <w:ind w:left="1440" w:hanging="360"/>
      </w:pPr>
      <w:rPr>
        <w:rFonts w:hint="default"/>
      </w:rPr>
    </w:lvl>
    <w:lvl w:ilvl="2" w:tplc="3B02061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217EAC"/>
    <w:multiLevelType w:val="hybridMultilevel"/>
    <w:tmpl w:val="A81010AE"/>
    <w:lvl w:ilvl="0" w:tplc="B740BD46">
      <w:start w:val="1"/>
      <w:numFmt w:val="hebrew1"/>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5">
    <w:nsid w:val="35DB5D0D"/>
    <w:multiLevelType w:val="hybridMultilevel"/>
    <w:tmpl w:val="D60877FE"/>
    <w:lvl w:ilvl="0" w:tplc="0409000F">
      <w:start w:val="1"/>
      <w:numFmt w:val="decimal"/>
      <w:lvlText w:val="%1."/>
      <w:lvlJc w:val="left"/>
      <w:pPr>
        <w:tabs>
          <w:tab w:val="num" w:pos="720"/>
        </w:tabs>
        <w:ind w:left="720" w:hanging="360"/>
      </w:pPr>
    </w:lvl>
    <w:lvl w:ilvl="1" w:tplc="41ACEAB2">
      <w:start w:val="1"/>
      <w:numFmt w:val="hebrew1"/>
      <w:lvlText w:val="%2."/>
      <w:lvlJc w:val="left"/>
      <w:pPr>
        <w:tabs>
          <w:tab w:val="num" w:pos="1440"/>
        </w:tabs>
        <w:ind w:left="1440" w:hanging="360"/>
      </w:pPr>
      <w:rPr>
        <w:rFonts w:hint="default"/>
        <w:b w:val="0"/>
        <w:bCs w:val="0"/>
      </w:rPr>
    </w:lvl>
    <w:lvl w:ilvl="2" w:tplc="3B020616">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C5DAAECA">
      <w:start w:val="5"/>
      <w:numFmt w:val="bullet"/>
      <w:lvlText w:val=""/>
      <w:lvlJc w:val="left"/>
      <w:pPr>
        <w:ind w:left="3600" w:hanging="360"/>
      </w:pPr>
      <w:rPr>
        <w:rFonts w:ascii="Symbol" w:eastAsia="Times New Roman" w:hAnsi="Symbol" w:cs="David"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3B1DC6"/>
    <w:multiLevelType w:val="multilevel"/>
    <w:tmpl w:val="A20875C2"/>
    <w:lvl w:ilvl="0">
      <w:start w:val="1"/>
      <w:numFmt w:val="decimal"/>
      <w:lvlText w:val="%1."/>
      <w:lvlJc w:val="right"/>
      <w:pPr>
        <w:tabs>
          <w:tab w:val="num" w:pos="680"/>
        </w:tabs>
        <w:ind w:left="680" w:hanging="510"/>
      </w:pPr>
      <w:rPr>
        <w:lang w:val="en-US" w:bidi="he-IL"/>
      </w:rPr>
    </w:lvl>
    <w:lvl w:ilvl="1">
      <w:start w:val="1"/>
      <w:numFmt w:val="upperRoman"/>
      <w:lvlText w:val="%2."/>
      <w:lvlJc w:val="left"/>
      <w:pPr>
        <w:tabs>
          <w:tab w:val="num" w:pos="1191"/>
        </w:tabs>
        <w:ind w:left="1191" w:hanging="511"/>
      </w:pPr>
    </w:lvl>
    <w:lvl w:ilvl="2">
      <w:start w:val="1"/>
      <w:numFmt w:val="decimal"/>
      <w:lvlText w:val="%1.%2.%3."/>
      <w:lvlJc w:val="center"/>
      <w:pPr>
        <w:tabs>
          <w:tab w:val="num" w:pos="1224"/>
        </w:tabs>
        <w:ind w:left="1224" w:hanging="504"/>
      </w:pPr>
    </w:lvl>
    <w:lvl w:ilvl="3">
      <w:start w:val="1"/>
      <w:numFmt w:val="decimal"/>
      <w:lvlText w:val="%1.%2.%3.%4."/>
      <w:lvlJc w:val="center"/>
      <w:pPr>
        <w:tabs>
          <w:tab w:val="num" w:pos="1728"/>
        </w:tabs>
        <w:ind w:left="1728" w:hanging="648"/>
      </w:pPr>
    </w:lvl>
    <w:lvl w:ilvl="4">
      <w:start w:val="1"/>
      <w:numFmt w:val="decimal"/>
      <w:lvlText w:val="%1.%2.%3.%4.%5."/>
      <w:lvlJc w:val="center"/>
      <w:pPr>
        <w:tabs>
          <w:tab w:val="num" w:pos="2232"/>
        </w:tabs>
        <w:ind w:left="2232" w:hanging="792"/>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17">
    <w:nsid w:val="388A38DF"/>
    <w:multiLevelType w:val="hybridMultilevel"/>
    <w:tmpl w:val="FC54E94A"/>
    <w:lvl w:ilvl="0" w:tplc="6CA45AAC">
      <w:start w:val="1"/>
      <w:numFmt w:val="hebrew1"/>
      <w:lvlText w:val="%1."/>
      <w:lvlJc w:val="left"/>
      <w:pPr>
        <w:tabs>
          <w:tab w:val="num" w:pos="1505"/>
        </w:tabs>
        <w:ind w:left="1505" w:hanging="825"/>
      </w:pPr>
      <w:rPr>
        <w:rFonts w:hint="default"/>
        <w:sz w:val="24"/>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8">
    <w:nsid w:val="4504719D"/>
    <w:multiLevelType w:val="singleLevel"/>
    <w:tmpl w:val="B13278A2"/>
    <w:lvl w:ilvl="0">
      <w:start w:val="1"/>
      <w:numFmt w:val="upperRoman"/>
      <w:lvlText w:val="%1."/>
      <w:lvlJc w:val="left"/>
      <w:pPr>
        <w:tabs>
          <w:tab w:val="num" w:pos="360"/>
        </w:tabs>
        <w:ind w:left="360" w:hanging="360"/>
      </w:pPr>
      <w:rPr>
        <w:rFonts w:hint="default"/>
        <w:sz w:val="24"/>
      </w:rPr>
    </w:lvl>
  </w:abstractNum>
  <w:abstractNum w:abstractNumId="19">
    <w:nsid w:val="45A93701"/>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0">
    <w:nsid w:val="463D56A2"/>
    <w:multiLevelType w:val="multilevel"/>
    <w:tmpl w:val="7548E0EE"/>
    <w:lvl w:ilvl="0">
      <w:start w:val="1"/>
      <w:numFmt w:val="decimal"/>
      <w:lvlRestart w:val="0"/>
      <w:lvlText w:val="%1."/>
      <w:lvlJc w:val="left"/>
      <w:pPr>
        <w:tabs>
          <w:tab w:val="num" w:pos="567"/>
        </w:tabs>
        <w:ind w:left="567" w:right="567" w:hanging="567"/>
      </w:pPr>
    </w:lvl>
    <w:lvl w:ilvl="1">
      <w:start w:val="1"/>
      <w:numFmt w:val="hebrew1"/>
      <w:lvlText w:val="%2."/>
      <w:lvlJc w:val="left"/>
      <w:pPr>
        <w:tabs>
          <w:tab w:val="num" w:pos="1134"/>
        </w:tabs>
        <w:ind w:left="1134" w:right="1134" w:hanging="567"/>
      </w:pPr>
    </w:lvl>
    <w:lvl w:ilvl="2">
      <w:start w:val="1"/>
      <w:numFmt w:val="decimal"/>
      <w:lvlText w:val="%3)"/>
      <w:lvlJc w:val="left"/>
      <w:pPr>
        <w:tabs>
          <w:tab w:val="num" w:pos="1701"/>
        </w:tabs>
        <w:ind w:left="1701" w:right="1701" w:hanging="567"/>
      </w:pPr>
    </w:lvl>
    <w:lvl w:ilvl="3">
      <w:start w:val="1"/>
      <w:numFmt w:val="hebrew1"/>
      <w:lvlText w:val="%4)"/>
      <w:lvlJc w:val="left"/>
      <w:pPr>
        <w:tabs>
          <w:tab w:val="num" w:pos="2268"/>
        </w:tabs>
        <w:ind w:left="2268" w:right="2268" w:hanging="567"/>
      </w:pPr>
    </w:lvl>
    <w:lvl w:ilvl="4">
      <w:start w:val="1"/>
      <w:numFmt w:val="hebrew1"/>
      <w:lvlText w:val=".%5"/>
      <w:lvlJc w:val="center"/>
      <w:pPr>
        <w:tabs>
          <w:tab w:val="num" w:pos="1009"/>
        </w:tabs>
        <w:ind w:left="1009" w:right="1009" w:hanging="720"/>
      </w:pPr>
    </w:lvl>
    <w:lvl w:ilvl="5">
      <w:start w:val="1"/>
      <w:numFmt w:val="decimal"/>
      <w:lvlText w:val="%1.%2.%3.%4.%5.%6"/>
      <w:lvlJc w:val="center"/>
      <w:pPr>
        <w:tabs>
          <w:tab w:val="num" w:pos="1440"/>
        </w:tabs>
        <w:ind w:left="1151" w:right="1151" w:hanging="862"/>
      </w:pPr>
    </w:lvl>
    <w:lvl w:ilvl="6">
      <w:start w:val="1"/>
      <w:numFmt w:val="decimal"/>
      <w:lvlText w:val="%1.%2.%3.%4.%5.%6.%7"/>
      <w:lvlJc w:val="center"/>
      <w:pPr>
        <w:tabs>
          <w:tab w:val="num" w:pos="1582"/>
        </w:tabs>
        <w:ind w:left="1298" w:right="1298" w:hanging="1009"/>
      </w:pPr>
    </w:lvl>
    <w:lvl w:ilvl="7">
      <w:start w:val="1"/>
      <w:numFmt w:val="decimal"/>
      <w:lvlText w:val="%1.%2.%3.%4.%5.%6.%7.%8"/>
      <w:lvlJc w:val="center"/>
      <w:pPr>
        <w:tabs>
          <w:tab w:val="num" w:pos="1729"/>
        </w:tabs>
        <w:ind w:left="1440" w:right="1440" w:hanging="1151"/>
      </w:pPr>
    </w:lvl>
    <w:lvl w:ilvl="8">
      <w:start w:val="1"/>
      <w:numFmt w:val="hebrew1"/>
      <w:lvlText w:val="%9."/>
      <w:lvlJc w:val="left"/>
      <w:pPr>
        <w:tabs>
          <w:tab w:val="num" w:pos="567"/>
        </w:tabs>
        <w:ind w:left="567" w:right="567" w:hanging="567"/>
      </w:pPr>
    </w:lvl>
  </w:abstractNum>
  <w:abstractNum w:abstractNumId="21">
    <w:nsid w:val="497C58BB"/>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2">
    <w:nsid w:val="4CCC01BD"/>
    <w:multiLevelType w:val="hybridMultilevel"/>
    <w:tmpl w:val="7910D124"/>
    <w:lvl w:ilvl="0" w:tplc="FD4E5FF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EB7E42"/>
    <w:multiLevelType w:val="hybridMultilevel"/>
    <w:tmpl w:val="E7125FDA"/>
    <w:lvl w:ilvl="0" w:tplc="B6D827D0">
      <w:start w:val="1"/>
      <w:numFmt w:val="hebrew1"/>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72830"/>
    <w:multiLevelType w:val="hybridMultilevel"/>
    <w:tmpl w:val="EEA6209C"/>
    <w:lvl w:ilvl="0" w:tplc="6CA45AAC">
      <w:start w:val="1"/>
      <w:numFmt w:val="hebrew1"/>
      <w:lvlText w:val="%1."/>
      <w:lvlJc w:val="left"/>
      <w:pPr>
        <w:tabs>
          <w:tab w:val="num" w:pos="1505"/>
        </w:tabs>
        <w:ind w:left="1505" w:hanging="825"/>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801620"/>
    <w:multiLevelType w:val="hybridMultilevel"/>
    <w:tmpl w:val="E6341CE2"/>
    <w:lvl w:ilvl="0" w:tplc="0409000F">
      <w:start w:val="1"/>
      <w:numFmt w:val="decimal"/>
      <w:lvlText w:val="%1."/>
      <w:lvlJc w:val="left"/>
      <w:pPr>
        <w:tabs>
          <w:tab w:val="num" w:pos="890"/>
        </w:tabs>
        <w:ind w:left="890" w:hanging="360"/>
      </w:pPr>
      <w:rPr>
        <w:rFonts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6">
    <w:nsid w:val="636F52DB"/>
    <w:multiLevelType w:val="hybridMultilevel"/>
    <w:tmpl w:val="A14A3378"/>
    <w:lvl w:ilvl="0" w:tplc="41ACEAB2">
      <w:start w:val="1"/>
      <w:numFmt w:val="hebrew1"/>
      <w:lvlText w:val="%1."/>
      <w:lvlJc w:val="left"/>
      <w:pPr>
        <w:tabs>
          <w:tab w:val="num" w:pos="1440"/>
        </w:tabs>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88622A"/>
    <w:multiLevelType w:val="hybridMultilevel"/>
    <w:tmpl w:val="4A224DC4"/>
    <w:lvl w:ilvl="0" w:tplc="6CA45AAC">
      <w:start w:val="1"/>
      <w:numFmt w:val="hebrew1"/>
      <w:lvlText w:val="%1."/>
      <w:lvlJc w:val="left"/>
      <w:pPr>
        <w:tabs>
          <w:tab w:val="num" w:pos="1505"/>
        </w:tabs>
        <w:ind w:left="1505" w:hanging="825"/>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8426AB"/>
    <w:multiLevelType w:val="hybridMultilevel"/>
    <w:tmpl w:val="7C8ECC40"/>
    <w:lvl w:ilvl="0" w:tplc="5B7ACAB8">
      <w:start w:val="1"/>
      <w:numFmt w:val="hebrew1"/>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9">
    <w:nsid w:val="765B4213"/>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0">
    <w:nsid w:val="799F2D15"/>
    <w:multiLevelType w:val="hybridMultilevel"/>
    <w:tmpl w:val="5B900B6E"/>
    <w:lvl w:ilvl="0" w:tplc="3B020616">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DE577B"/>
    <w:multiLevelType w:val="hybridMultilevel"/>
    <w:tmpl w:val="804A370A"/>
    <w:lvl w:ilvl="0" w:tplc="7D6889F2">
      <w:start w:val="1"/>
      <w:numFmt w:val="decimal"/>
      <w:lvlText w:val="%1."/>
      <w:lvlJc w:val="left"/>
      <w:pPr>
        <w:tabs>
          <w:tab w:val="num" w:pos="930"/>
        </w:tabs>
        <w:ind w:left="930" w:right="930" w:hanging="57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1"/>
  </w:num>
  <w:num w:numId="2">
    <w:abstractNumId w:val="5"/>
  </w:num>
  <w:num w:numId="3">
    <w:abstractNumId w:val="10"/>
  </w:num>
  <w:num w:numId="4">
    <w:abstractNumId w:val="18"/>
  </w:num>
  <w:num w:numId="5">
    <w:abstractNumId w:val="16"/>
  </w:num>
  <w:num w:numId="6">
    <w:abstractNumId w:val="12"/>
  </w:num>
  <w:num w:numId="7">
    <w:abstractNumId w:val="28"/>
  </w:num>
  <w:num w:numId="8">
    <w:abstractNumId w:val="14"/>
  </w:num>
  <w:num w:numId="9">
    <w:abstractNumId w:val="17"/>
  </w:num>
  <w:num w:numId="10">
    <w:abstractNumId w:val="24"/>
  </w:num>
  <w:num w:numId="11">
    <w:abstractNumId w:val="27"/>
  </w:num>
  <w:num w:numId="12">
    <w:abstractNumId w:val="7"/>
  </w:num>
  <w:num w:numId="13">
    <w:abstractNumId w:val="25"/>
  </w:num>
  <w:num w:numId="14">
    <w:abstractNumId w:val="31"/>
  </w:num>
  <w:num w:numId="15">
    <w:abstractNumId w:val="20"/>
  </w:num>
  <w:num w:numId="16">
    <w:abstractNumId w:val="29"/>
  </w:num>
  <w:num w:numId="17">
    <w:abstractNumId w:val="4"/>
  </w:num>
  <w:num w:numId="18">
    <w:abstractNumId w:val="21"/>
  </w:num>
  <w:num w:numId="19">
    <w:abstractNumId w:val="19"/>
  </w:num>
  <w:num w:numId="20">
    <w:abstractNumId w:val="1"/>
  </w:num>
  <w:num w:numId="21">
    <w:abstractNumId w:val="1"/>
  </w:num>
  <w:num w:numId="22">
    <w:abstractNumId w:val="13"/>
  </w:num>
  <w:num w:numId="23">
    <w:abstractNumId w:val="22"/>
  </w:num>
  <w:num w:numId="24">
    <w:abstractNumId w:val="15"/>
  </w:num>
  <w:num w:numId="25">
    <w:abstractNumId w:val="6"/>
  </w:num>
  <w:num w:numId="26">
    <w:abstractNumId w:val="0"/>
  </w:num>
  <w:num w:numId="27">
    <w:abstractNumId w:val="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8"/>
  </w:num>
  <w:num w:numId="32">
    <w:abstractNumId w:val="2"/>
  </w:num>
  <w:num w:numId="33">
    <w:abstractNumId w:val="26"/>
  </w:num>
  <w:num w:numId="34">
    <w:abstractNumId w:val="30"/>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FE"/>
    <w:rsid w:val="00001158"/>
    <w:rsid w:val="00002FA0"/>
    <w:rsid w:val="000034A6"/>
    <w:rsid w:val="000039D0"/>
    <w:rsid w:val="00004807"/>
    <w:rsid w:val="00011C32"/>
    <w:rsid w:val="00017166"/>
    <w:rsid w:val="000225B0"/>
    <w:rsid w:val="00023D11"/>
    <w:rsid w:val="0002449F"/>
    <w:rsid w:val="0002503F"/>
    <w:rsid w:val="000322E3"/>
    <w:rsid w:val="00032CA1"/>
    <w:rsid w:val="000400DE"/>
    <w:rsid w:val="00040FD7"/>
    <w:rsid w:val="00041932"/>
    <w:rsid w:val="00044213"/>
    <w:rsid w:val="000452C7"/>
    <w:rsid w:val="00047C8D"/>
    <w:rsid w:val="00050719"/>
    <w:rsid w:val="00050E3F"/>
    <w:rsid w:val="00056B19"/>
    <w:rsid w:val="00063DF0"/>
    <w:rsid w:val="0006415A"/>
    <w:rsid w:val="000720F3"/>
    <w:rsid w:val="00075F5A"/>
    <w:rsid w:val="00077111"/>
    <w:rsid w:val="0008068B"/>
    <w:rsid w:val="00082C79"/>
    <w:rsid w:val="0008343F"/>
    <w:rsid w:val="00090795"/>
    <w:rsid w:val="00091EFE"/>
    <w:rsid w:val="00095AF1"/>
    <w:rsid w:val="000A3B17"/>
    <w:rsid w:val="000A434B"/>
    <w:rsid w:val="000A51B3"/>
    <w:rsid w:val="000B0B8C"/>
    <w:rsid w:val="000B0CC5"/>
    <w:rsid w:val="000B5570"/>
    <w:rsid w:val="000C0151"/>
    <w:rsid w:val="000C2D7F"/>
    <w:rsid w:val="000C3B85"/>
    <w:rsid w:val="000C5F15"/>
    <w:rsid w:val="000C6307"/>
    <w:rsid w:val="000C7433"/>
    <w:rsid w:val="000D415C"/>
    <w:rsid w:val="000D45BE"/>
    <w:rsid w:val="000D624C"/>
    <w:rsid w:val="000E0D28"/>
    <w:rsid w:val="000E6EE6"/>
    <w:rsid w:val="000F0994"/>
    <w:rsid w:val="000F4D5D"/>
    <w:rsid w:val="000F6003"/>
    <w:rsid w:val="000F6663"/>
    <w:rsid w:val="000F674F"/>
    <w:rsid w:val="000F6B10"/>
    <w:rsid w:val="000F6BC4"/>
    <w:rsid w:val="00101FEC"/>
    <w:rsid w:val="0010781D"/>
    <w:rsid w:val="001111C2"/>
    <w:rsid w:val="00111CC7"/>
    <w:rsid w:val="00117A16"/>
    <w:rsid w:val="0012446A"/>
    <w:rsid w:val="0013006A"/>
    <w:rsid w:val="00133A79"/>
    <w:rsid w:val="001347E3"/>
    <w:rsid w:val="00141DBF"/>
    <w:rsid w:val="00143EE7"/>
    <w:rsid w:val="00150835"/>
    <w:rsid w:val="00152E74"/>
    <w:rsid w:val="00155A57"/>
    <w:rsid w:val="00155B23"/>
    <w:rsid w:val="0015662F"/>
    <w:rsid w:val="00160E4D"/>
    <w:rsid w:val="00161E63"/>
    <w:rsid w:val="00163302"/>
    <w:rsid w:val="00163EB7"/>
    <w:rsid w:val="00164CB0"/>
    <w:rsid w:val="00177F86"/>
    <w:rsid w:val="0018282F"/>
    <w:rsid w:val="00183878"/>
    <w:rsid w:val="00184CAA"/>
    <w:rsid w:val="00184CD9"/>
    <w:rsid w:val="00196E3C"/>
    <w:rsid w:val="001971FF"/>
    <w:rsid w:val="001A0330"/>
    <w:rsid w:val="001A0378"/>
    <w:rsid w:val="001A2C28"/>
    <w:rsid w:val="001A4FED"/>
    <w:rsid w:val="001B1414"/>
    <w:rsid w:val="001B479E"/>
    <w:rsid w:val="001B7BE4"/>
    <w:rsid w:val="001C099F"/>
    <w:rsid w:val="001C0A51"/>
    <w:rsid w:val="001C0B32"/>
    <w:rsid w:val="001C1A30"/>
    <w:rsid w:val="001C3A58"/>
    <w:rsid w:val="001C7985"/>
    <w:rsid w:val="001D1007"/>
    <w:rsid w:val="001D291C"/>
    <w:rsid w:val="001E0BF7"/>
    <w:rsid w:val="001E2B5F"/>
    <w:rsid w:val="001E5FCE"/>
    <w:rsid w:val="001E76DF"/>
    <w:rsid w:val="001F0D1C"/>
    <w:rsid w:val="001F20AA"/>
    <w:rsid w:val="001F5BA6"/>
    <w:rsid w:val="001F6CEA"/>
    <w:rsid w:val="002005EB"/>
    <w:rsid w:val="0020494B"/>
    <w:rsid w:val="00212A0D"/>
    <w:rsid w:val="00213D92"/>
    <w:rsid w:val="002149DB"/>
    <w:rsid w:val="0021710F"/>
    <w:rsid w:val="00220198"/>
    <w:rsid w:val="00221963"/>
    <w:rsid w:val="00222D77"/>
    <w:rsid w:val="00226538"/>
    <w:rsid w:val="002271C9"/>
    <w:rsid w:val="00230011"/>
    <w:rsid w:val="00231198"/>
    <w:rsid w:val="00231870"/>
    <w:rsid w:val="002323A8"/>
    <w:rsid w:val="002360EA"/>
    <w:rsid w:val="0023659E"/>
    <w:rsid w:val="00237E4C"/>
    <w:rsid w:val="00241C9A"/>
    <w:rsid w:val="00241F42"/>
    <w:rsid w:val="002431BA"/>
    <w:rsid w:val="00243E86"/>
    <w:rsid w:val="002476E1"/>
    <w:rsid w:val="00247B14"/>
    <w:rsid w:val="00253376"/>
    <w:rsid w:val="00254812"/>
    <w:rsid w:val="00255480"/>
    <w:rsid w:val="00257150"/>
    <w:rsid w:val="002608C1"/>
    <w:rsid w:val="00262994"/>
    <w:rsid w:val="00262BD4"/>
    <w:rsid w:val="002639B2"/>
    <w:rsid w:val="00263B78"/>
    <w:rsid w:val="00263D26"/>
    <w:rsid w:val="002648C3"/>
    <w:rsid w:val="0026687C"/>
    <w:rsid w:val="0026731F"/>
    <w:rsid w:val="00271BC1"/>
    <w:rsid w:val="00272945"/>
    <w:rsid w:val="00275453"/>
    <w:rsid w:val="00275E4A"/>
    <w:rsid w:val="002847DF"/>
    <w:rsid w:val="00285619"/>
    <w:rsid w:val="00290FCC"/>
    <w:rsid w:val="00291172"/>
    <w:rsid w:val="00291EE1"/>
    <w:rsid w:val="00292C31"/>
    <w:rsid w:val="00294A2E"/>
    <w:rsid w:val="00294A39"/>
    <w:rsid w:val="002972CA"/>
    <w:rsid w:val="002A7D94"/>
    <w:rsid w:val="002B1009"/>
    <w:rsid w:val="002B34FE"/>
    <w:rsid w:val="002C6563"/>
    <w:rsid w:val="002D10A8"/>
    <w:rsid w:val="002D1AE7"/>
    <w:rsid w:val="002D5539"/>
    <w:rsid w:val="002D6548"/>
    <w:rsid w:val="002E2130"/>
    <w:rsid w:val="002E306B"/>
    <w:rsid w:val="002F0581"/>
    <w:rsid w:val="002F0BAE"/>
    <w:rsid w:val="002F3B6E"/>
    <w:rsid w:val="002F4584"/>
    <w:rsid w:val="002F53C4"/>
    <w:rsid w:val="002F6B0D"/>
    <w:rsid w:val="00301995"/>
    <w:rsid w:val="00303139"/>
    <w:rsid w:val="00303F62"/>
    <w:rsid w:val="0030706E"/>
    <w:rsid w:val="003071A4"/>
    <w:rsid w:val="00307C21"/>
    <w:rsid w:val="003156D9"/>
    <w:rsid w:val="00315706"/>
    <w:rsid w:val="00316BFB"/>
    <w:rsid w:val="003253D9"/>
    <w:rsid w:val="00331134"/>
    <w:rsid w:val="00331D58"/>
    <w:rsid w:val="00345925"/>
    <w:rsid w:val="00347BCD"/>
    <w:rsid w:val="00347D10"/>
    <w:rsid w:val="00353B11"/>
    <w:rsid w:val="003540DE"/>
    <w:rsid w:val="00354CAC"/>
    <w:rsid w:val="00355C36"/>
    <w:rsid w:val="003565BE"/>
    <w:rsid w:val="00365E29"/>
    <w:rsid w:val="003745D1"/>
    <w:rsid w:val="003768EC"/>
    <w:rsid w:val="0037692E"/>
    <w:rsid w:val="00376B3F"/>
    <w:rsid w:val="00377C6A"/>
    <w:rsid w:val="0039007F"/>
    <w:rsid w:val="0039119B"/>
    <w:rsid w:val="00395D26"/>
    <w:rsid w:val="00397B0E"/>
    <w:rsid w:val="003A133D"/>
    <w:rsid w:val="003A1F96"/>
    <w:rsid w:val="003A652B"/>
    <w:rsid w:val="003B4489"/>
    <w:rsid w:val="003B4B94"/>
    <w:rsid w:val="003B5043"/>
    <w:rsid w:val="003B5120"/>
    <w:rsid w:val="003C0416"/>
    <w:rsid w:val="003C2516"/>
    <w:rsid w:val="003C287E"/>
    <w:rsid w:val="003D1276"/>
    <w:rsid w:val="003D367A"/>
    <w:rsid w:val="003D54CA"/>
    <w:rsid w:val="003D5D5B"/>
    <w:rsid w:val="003E1F7C"/>
    <w:rsid w:val="003E6578"/>
    <w:rsid w:val="003E68ED"/>
    <w:rsid w:val="003F27FD"/>
    <w:rsid w:val="003F33F1"/>
    <w:rsid w:val="003F4F50"/>
    <w:rsid w:val="003F548D"/>
    <w:rsid w:val="0040130D"/>
    <w:rsid w:val="00404F3D"/>
    <w:rsid w:val="00406C51"/>
    <w:rsid w:val="00411EA4"/>
    <w:rsid w:val="0041437D"/>
    <w:rsid w:val="00416910"/>
    <w:rsid w:val="0041798F"/>
    <w:rsid w:val="00420752"/>
    <w:rsid w:val="00420D73"/>
    <w:rsid w:val="00424BFC"/>
    <w:rsid w:val="00426599"/>
    <w:rsid w:val="00431E5E"/>
    <w:rsid w:val="00432E4C"/>
    <w:rsid w:val="00433CE9"/>
    <w:rsid w:val="004403F4"/>
    <w:rsid w:val="00442C08"/>
    <w:rsid w:val="00443962"/>
    <w:rsid w:val="00445A4B"/>
    <w:rsid w:val="00445D68"/>
    <w:rsid w:val="00446CFE"/>
    <w:rsid w:val="0044722B"/>
    <w:rsid w:val="004502B4"/>
    <w:rsid w:val="00453095"/>
    <w:rsid w:val="004541CD"/>
    <w:rsid w:val="004551A2"/>
    <w:rsid w:val="00456EDB"/>
    <w:rsid w:val="00462120"/>
    <w:rsid w:val="0046470D"/>
    <w:rsid w:val="0046682A"/>
    <w:rsid w:val="004701C4"/>
    <w:rsid w:val="004760B5"/>
    <w:rsid w:val="004777EF"/>
    <w:rsid w:val="00483F08"/>
    <w:rsid w:val="00491B0E"/>
    <w:rsid w:val="00492BB6"/>
    <w:rsid w:val="00497DF7"/>
    <w:rsid w:val="004A5937"/>
    <w:rsid w:val="004B06B0"/>
    <w:rsid w:val="004B14F5"/>
    <w:rsid w:val="004B2197"/>
    <w:rsid w:val="004B488E"/>
    <w:rsid w:val="004B7B27"/>
    <w:rsid w:val="004D53FE"/>
    <w:rsid w:val="004E0DDF"/>
    <w:rsid w:val="004E53E3"/>
    <w:rsid w:val="004E6798"/>
    <w:rsid w:val="004F00C4"/>
    <w:rsid w:val="004F25E3"/>
    <w:rsid w:val="004F335B"/>
    <w:rsid w:val="004F3A79"/>
    <w:rsid w:val="00500855"/>
    <w:rsid w:val="00502D4A"/>
    <w:rsid w:val="00504736"/>
    <w:rsid w:val="00505095"/>
    <w:rsid w:val="0050513F"/>
    <w:rsid w:val="005069B5"/>
    <w:rsid w:val="00510EAC"/>
    <w:rsid w:val="00516634"/>
    <w:rsid w:val="00521EB6"/>
    <w:rsid w:val="005222E5"/>
    <w:rsid w:val="00524082"/>
    <w:rsid w:val="00524D29"/>
    <w:rsid w:val="0052550F"/>
    <w:rsid w:val="0053258C"/>
    <w:rsid w:val="005326F4"/>
    <w:rsid w:val="005364A2"/>
    <w:rsid w:val="00541043"/>
    <w:rsid w:val="005430B6"/>
    <w:rsid w:val="005433DA"/>
    <w:rsid w:val="005436D5"/>
    <w:rsid w:val="00546232"/>
    <w:rsid w:val="00547BF8"/>
    <w:rsid w:val="0055098F"/>
    <w:rsid w:val="005528A5"/>
    <w:rsid w:val="00555724"/>
    <w:rsid w:val="0056116A"/>
    <w:rsid w:val="00561BD4"/>
    <w:rsid w:val="00561DED"/>
    <w:rsid w:val="00562A6B"/>
    <w:rsid w:val="005701B9"/>
    <w:rsid w:val="00574F1D"/>
    <w:rsid w:val="00575859"/>
    <w:rsid w:val="00584BC6"/>
    <w:rsid w:val="00584D5E"/>
    <w:rsid w:val="00585D62"/>
    <w:rsid w:val="00586985"/>
    <w:rsid w:val="005901A0"/>
    <w:rsid w:val="00591B24"/>
    <w:rsid w:val="005953A4"/>
    <w:rsid w:val="005A0054"/>
    <w:rsid w:val="005A2907"/>
    <w:rsid w:val="005A4C01"/>
    <w:rsid w:val="005A5920"/>
    <w:rsid w:val="005A7F68"/>
    <w:rsid w:val="005B0568"/>
    <w:rsid w:val="005B3AA5"/>
    <w:rsid w:val="005B452D"/>
    <w:rsid w:val="005B4692"/>
    <w:rsid w:val="005C238D"/>
    <w:rsid w:val="005C2D81"/>
    <w:rsid w:val="005C3CAC"/>
    <w:rsid w:val="005C5F59"/>
    <w:rsid w:val="005C6019"/>
    <w:rsid w:val="005D210C"/>
    <w:rsid w:val="005D27A3"/>
    <w:rsid w:val="005D6383"/>
    <w:rsid w:val="005E1D1C"/>
    <w:rsid w:val="005F1591"/>
    <w:rsid w:val="005F2298"/>
    <w:rsid w:val="005F2BAF"/>
    <w:rsid w:val="005F342A"/>
    <w:rsid w:val="005F40DC"/>
    <w:rsid w:val="005F6154"/>
    <w:rsid w:val="005F7C7D"/>
    <w:rsid w:val="0060092A"/>
    <w:rsid w:val="006030F6"/>
    <w:rsid w:val="00603E50"/>
    <w:rsid w:val="006118D9"/>
    <w:rsid w:val="00612FEA"/>
    <w:rsid w:val="00624464"/>
    <w:rsid w:val="00624EF0"/>
    <w:rsid w:val="00631BE5"/>
    <w:rsid w:val="00631F19"/>
    <w:rsid w:val="00634E3F"/>
    <w:rsid w:val="00636D36"/>
    <w:rsid w:val="0064046C"/>
    <w:rsid w:val="0064141F"/>
    <w:rsid w:val="006436D6"/>
    <w:rsid w:val="00644A33"/>
    <w:rsid w:val="00650638"/>
    <w:rsid w:val="00652AAB"/>
    <w:rsid w:val="00664F7D"/>
    <w:rsid w:val="006650A1"/>
    <w:rsid w:val="00666432"/>
    <w:rsid w:val="00670BBE"/>
    <w:rsid w:val="0067372B"/>
    <w:rsid w:val="00685ED1"/>
    <w:rsid w:val="00687107"/>
    <w:rsid w:val="00693BD5"/>
    <w:rsid w:val="006A3EC3"/>
    <w:rsid w:val="006A5C9E"/>
    <w:rsid w:val="006A6B24"/>
    <w:rsid w:val="006B0B6E"/>
    <w:rsid w:val="006B0E31"/>
    <w:rsid w:val="006B103F"/>
    <w:rsid w:val="006B2BA7"/>
    <w:rsid w:val="006B32DD"/>
    <w:rsid w:val="006C2B21"/>
    <w:rsid w:val="006C6FC3"/>
    <w:rsid w:val="006D3927"/>
    <w:rsid w:val="006E17F2"/>
    <w:rsid w:val="006E44EE"/>
    <w:rsid w:val="006E4C38"/>
    <w:rsid w:val="006E6E99"/>
    <w:rsid w:val="006F0FA7"/>
    <w:rsid w:val="006F34D6"/>
    <w:rsid w:val="006F5358"/>
    <w:rsid w:val="006F5EAB"/>
    <w:rsid w:val="006F7C50"/>
    <w:rsid w:val="00702EA1"/>
    <w:rsid w:val="00703D7B"/>
    <w:rsid w:val="00707391"/>
    <w:rsid w:val="00707ED5"/>
    <w:rsid w:val="0071094A"/>
    <w:rsid w:val="00712AC1"/>
    <w:rsid w:val="007145C3"/>
    <w:rsid w:val="007171B7"/>
    <w:rsid w:val="007211F2"/>
    <w:rsid w:val="00721EDE"/>
    <w:rsid w:val="00724971"/>
    <w:rsid w:val="00726E2D"/>
    <w:rsid w:val="00726EA9"/>
    <w:rsid w:val="00731F42"/>
    <w:rsid w:val="0073275D"/>
    <w:rsid w:val="00733790"/>
    <w:rsid w:val="00735371"/>
    <w:rsid w:val="00737A14"/>
    <w:rsid w:val="00737DA3"/>
    <w:rsid w:val="00740A1A"/>
    <w:rsid w:val="00743ABC"/>
    <w:rsid w:val="00755D88"/>
    <w:rsid w:val="007603FD"/>
    <w:rsid w:val="007616D4"/>
    <w:rsid w:val="007618EE"/>
    <w:rsid w:val="0076417A"/>
    <w:rsid w:val="00767780"/>
    <w:rsid w:val="007701AE"/>
    <w:rsid w:val="0077410C"/>
    <w:rsid w:val="007762FF"/>
    <w:rsid w:val="00777029"/>
    <w:rsid w:val="00777FD4"/>
    <w:rsid w:val="00782B80"/>
    <w:rsid w:val="0078556E"/>
    <w:rsid w:val="00790191"/>
    <w:rsid w:val="00790CD2"/>
    <w:rsid w:val="007933D5"/>
    <w:rsid w:val="0079464D"/>
    <w:rsid w:val="00797BD4"/>
    <w:rsid w:val="007A0951"/>
    <w:rsid w:val="007A65CC"/>
    <w:rsid w:val="007B4099"/>
    <w:rsid w:val="007B74E3"/>
    <w:rsid w:val="007C0E98"/>
    <w:rsid w:val="007D0CA5"/>
    <w:rsid w:val="007D5162"/>
    <w:rsid w:val="007D7F10"/>
    <w:rsid w:val="007E0A3C"/>
    <w:rsid w:val="007E68FD"/>
    <w:rsid w:val="007E78B5"/>
    <w:rsid w:val="007F1295"/>
    <w:rsid w:val="007F2211"/>
    <w:rsid w:val="007F7108"/>
    <w:rsid w:val="00800D2B"/>
    <w:rsid w:val="00802518"/>
    <w:rsid w:val="008034BB"/>
    <w:rsid w:val="0080711E"/>
    <w:rsid w:val="00807908"/>
    <w:rsid w:val="00812855"/>
    <w:rsid w:val="0081578B"/>
    <w:rsid w:val="0081655E"/>
    <w:rsid w:val="0081729B"/>
    <w:rsid w:val="0082494B"/>
    <w:rsid w:val="00827786"/>
    <w:rsid w:val="0083326F"/>
    <w:rsid w:val="00835D52"/>
    <w:rsid w:val="00837581"/>
    <w:rsid w:val="008475C0"/>
    <w:rsid w:val="008502F6"/>
    <w:rsid w:val="008517B4"/>
    <w:rsid w:val="00852713"/>
    <w:rsid w:val="00852A42"/>
    <w:rsid w:val="00854AB4"/>
    <w:rsid w:val="0085660C"/>
    <w:rsid w:val="00856EF6"/>
    <w:rsid w:val="00860707"/>
    <w:rsid w:val="00864A37"/>
    <w:rsid w:val="008660DF"/>
    <w:rsid w:val="008678D2"/>
    <w:rsid w:val="00867EDD"/>
    <w:rsid w:val="00870D18"/>
    <w:rsid w:val="008740F0"/>
    <w:rsid w:val="0087446A"/>
    <w:rsid w:val="00883A6D"/>
    <w:rsid w:val="00885008"/>
    <w:rsid w:val="008911FB"/>
    <w:rsid w:val="00892AAF"/>
    <w:rsid w:val="00892E48"/>
    <w:rsid w:val="00894F7F"/>
    <w:rsid w:val="008A1D41"/>
    <w:rsid w:val="008A2159"/>
    <w:rsid w:val="008A5920"/>
    <w:rsid w:val="008A6307"/>
    <w:rsid w:val="008A79BA"/>
    <w:rsid w:val="008B1F77"/>
    <w:rsid w:val="008B33FA"/>
    <w:rsid w:val="008B65CD"/>
    <w:rsid w:val="008C28DB"/>
    <w:rsid w:val="008C554D"/>
    <w:rsid w:val="008C5BBB"/>
    <w:rsid w:val="008C6769"/>
    <w:rsid w:val="008D0B48"/>
    <w:rsid w:val="008D0CF0"/>
    <w:rsid w:val="008D5C14"/>
    <w:rsid w:val="008D60FB"/>
    <w:rsid w:val="008E09DF"/>
    <w:rsid w:val="008E38E2"/>
    <w:rsid w:val="008E3DB0"/>
    <w:rsid w:val="008E404D"/>
    <w:rsid w:val="008E4F3E"/>
    <w:rsid w:val="008E4FAF"/>
    <w:rsid w:val="008E51F2"/>
    <w:rsid w:val="008E616D"/>
    <w:rsid w:val="008E7666"/>
    <w:rsid w:val="008E7EB2"/>
    <w:rsid w:val="008F0018"/>
    <w:rsid w:val="008F19F6"/>
    <w:rsid w:val="008F2957"/>
    <w:rsid w:val="008F3539"/>
    <w:rsid w:val="008F3E3B"/>
    <w:rsid w:val="00910B72"/>
    <w:rsid w:val="00910BC5"/>
    <w:rsid w:val="009116B7"/>
    <w:rsid w:val="00927CB1"/>
    <w:rsid w:val="00930425"/>
    <w:rsid w:val="00934E90"/>
    <w:rsid w:val="009355C2"/>
    <w:rsid w:val="00935D3E"/>
    <w:rsid w:val="00936096"/>
    <w:rsid w:val="00936349"/>
    <w:rsid w:val="00942622"/>
    <w:rsid w:val="00943320"/>
    <w:rsid w:val="009443FB"/>
    <w:rsid w:val="00945882"/>
    <w:rsid w:val="00945BD2"/>
    <w:rsid w:val="00945D37"/>
    <w:rsid w:val="00946C80"/>
    <w:rsid w:val="009506EB"/>
    <w:rsid w:val="00950E17"/>
    <w:rsid w:val="009546E7"/>
    <w:rsid w:val="00954737"/>
    <w:rsid w:val="00962D0F"/>
    <w:rsid w:val="00970149"/>
    <w:rsid w:val="0097183B"/>
    <w:rsid w:val="00974E51"/>
    <w:rsid w:val="009755E8"/>
    <w:rsid w:val="00976905"/>
    <w:rsid w:val="00984F31"/>
    <w:rsid w:val="00987C7A"/>
    <w:rsid w:val="00991C33"/>
    <w:rsid w:val="00994E23"/>
    <w:rsid w:val="00995ADB"/>
    <w:rsid w:val="00997D79"/>
    <w:rsid w:val="009A1E88"/>
    <w:rsid w:val="009A3B16"/>
    <w:rsid w:val="009A4748"/>
    <w:rsid w:val="009A4848"/>
    <w:rsid w:val="009A5ACF"/>
    <w:rsid w:val="009B1C8B"/>
    <w:rsid w:val="009B26D4"/>
    <w:rsid w:val="009B3FA3"/>
    <w:rsid w:val="009B75E4"/>
    <w:rsid w:val="009C5667"/>
    <w:rsid w:val="009C7A4F"/>
    <w:rsid w:val="009D3F8D"/>
    <w:rsid w:val="009D6DA0"/>
    <w:rsid w:val="009D78C1"/>
    <w:rsid w:val="009E0434"/>
    <w:rsid w:val="009E0AC2"/>
    <w:rsid w:val="009E1222"/>
    <w:rsid w:val="009E38F3"/>
    <w:rsid w:val="009E3DEA"/>
    <w:rsid w:val="009E69F1"/>
    <w:rsid w:val="009F3196"/>
    <w:rsid w:val="009F5E59"/>
    <w:rsid w:val="009F6AED"/>
    <w:rsid w:val="00A00651"/>
    <w:rsid w:val="00A01096"/>
    <w:rsid w:val="00A03974"/>
    <w:rsid w:val="00A052DB"/>
    <w:rsid w:val="00A05D66"/>
    <w:rsid w:val="00A06635"/>
    <w:rsid w:val="00A078BB"/>
    <w:rsid w:val="00A14D1C"/>
    <w:rsid w:val="00A154E5"/>
    <w:rsid w:val="00A1614D"/>
    <w:rsid w:val="00A17F04"/>
    <w:rsid w:val="00A2017A"/>
    <w:rsid w:val="00A209DA"/>
    <w:rsid w:val="00A211D9"/>
    <w:rsid w:val="00A266E9"/>
    <w:rsid w:val="00A313D1"/>
    <w:rsid w:val="00A3505B"/>
    <w:rsid w:val="00A4266B"/>
    <w:rsid w:val="00A447F3"/>
    <w:rsid w:val="00A44BE9"/>
    <w:rsid w:val="00A475C1"/>
    <w:rsid w:val="00A53283"/>
    <w:rsid w:val="00A704EE"/>
    <w:rsid w:val="00A71C2C"/>
    <w:rsid w:val="00A72513"/>
    <w:rsid w:val="00A72EA8"/>
    <w:rsid w:val="00A739D8"/>
    <w:rsid w:val="00A82F68"/>
    <w:rsid w:val="00A8528E"/>
    <w:rsid w:val="00A91EFB"/>
    <w:rsid w:val="00A91F4F"/>
    <w:rsid w:val="00A9200E"/>
    <w:rsid w:val="00A93826"/>
    <w:rsid w:val="00A938F0"/>
    <w:rsid w:val="00A96599"/>
    <w:rsid w:val="00AA3D7B"/>
    <w:rsid w:val="00AA56B6"/>
    <w:rsid w:val="00AA679B"/>
    <w:rsid w:val="00AB196F"/>
    <w:rsid w:val="00AB3217"/>
    <w:rsid w:val="00AB3FDD"/>
    <w:rsid w:val="00AB580B"/>
    <w:rsid w:val="00AB6FDA"/>
    <w:rsid w:val="00AC0902"/>
    <w:rsid w:val="00AC62D8"/>
    <w:rsid w:val="00AD02DF"/>
    <w:rsid w:val="00AD7EAA"/>
    <w:rsid w:val="00AE0771"/>
    <w:rsid w:val="00AE0F59"/>
    <w:rsid w:val="00AE3A28"/>
    <w:rsid w:val="00AE6B13"/>
    <w:rsid w:val="00AF7E68"/>
    <w:rsid w:val="00B00035"/>
    <w:rsid w:val="00B01460"/>
    <w:rsid w:val="00B016C6"/>
    <w:rsid w:val="00B02CB8"/>
    <w:rsid w:val="00B065ED"/>
    <w:rsid w:val="00B116E5"/>
    <w:rsid w:val="00B16553"/>
    <w:rsid w:val="00B16745"/>
    <w:rsid w:val="00B204C5"/>
    <w:rsid w:val="00B23204"/>
    <w:rsid w:val="00B245A1"/>
    <w:rsid w:val="00B279B6"/>
    <w:rsid w:val="00B33FDD"/>
    <w:rsid w:val="00B34905"/>
    <w:rsid w:val="00B36756"/>
    <w:rsid w:val="00B40AC9"/>
    <w:rsid w:val="00B4157A"/>
    <w:rsid w:val="00B44186"/>
    <w:rsid w:val="00B46668"/>
    <w:rsid w:val="00B52514"/>
    <w:rsid w:val="00B53BAC"/>
    <w:rsid w:val="00B53BEB"/>
    <w:rsid w:val="00B548AB"/>
    <w:rsid w:val="00B556EC"/>
    <w:rsid w:val="00B56A2F"/>
    <w:rsid w:val="00B60CD0"/>
    <w:rsid w:val="00B64B92"/>
    <w:rsid w:val="00B6565D"/>
    <w:rsid w:val="00B7154C"/>
    <w:rsid w:val="00B74CD3"/>
    <w:rsid w:val="00B74ED7"/>
    <w:rsid w:val="00B75744"/>
    <w:rsid w:val="00B76994"/>
    <w:rsid w:val="00B76DB4"/>
    <w:rsid w:val="00B80CFF"/>
    <w:rsid w:val="00B82CE8"/>
    <w:rsid w:val="00B86273"/>
    <w:rsid w:val="00B902B3"/>
    <w:rsid w:val="00B93580"/>
    <w:rsid w:val="00B93FCE"/>
    <w:rsid w:val="00B94308"/>
    <w:rsid w:val="00B94B43"/>
    <w:rsid w:val="00BA2CC2"/>
    <w:rsid w:val="00BA42DE"/>
    <w:rsid w:val="00BA7737"/>
    <w:rsid w:val="00BB0BA5"/>
    <w:rsid w:val="00BB0D5B"/>
    <w:rsid w:val="00BB158D"/>
    <w:rsid w:val="00BB1BE8"/>
    <w:rsid w:val="00BB6331"/>
    <w:rsid w:val="00BB67C1"/>
    <w:rsid w:val="00BC2939"/>
    <w:rsid w:val="00BC3307"/>
    <w:rsid w:val="00BC38AC"/>
    <w:rsid w:val="00BC4A4C"/>
    <w:rsid w:val="00BC715A"/>
    <w:rsid w:val="00BD5359"/>
    <w:rsid w:val="00BD636E"/>
    <w:rsid w:val="00BD708F"/>
    <w:rsid w:val="00BE0B8C"/>
    <w:rsid w:val="00BE2DA6"/>
    <w:rsid w:val="00BE2E4E"/>
    <w:rsid w:val="00BE6030"/>
    <w:rsid w:val="00BF0032"/>
    <w:rsid w:val="00BF0B79"/>
    <w:rsid w:val="00BF2ACD"/>
    <w:rsid w:val="00BF5A04"/>
    <w:rsid w:val="00BF5BC6"/>
    <w:rsid w:val="00C010C5"/>
    <w:rsid w:val="00C01F1C"/>
    <w:rsid w:val="00C03C3C"/>
    <w:rsid w:val="00C10073"/>
    <w:rsid w:val="00C10493"/>
    <w:rsid w:val="00C1182B"/>
    <w:rsid w:val="00C1515C"/>
    <w:rsid w:val="00C20FB9"/>
    <w:rsid w:val="00C22743"/>
    <w:rsid w:val="00C23AB0"/>
    <w:rsid w:val="00C27E6E"/>
    <w:rsid w:val="00C27ED4"/>
    <w:rsid w:val="00C302F2"/>
    <w:rsid w:val="00C30E18"/>
    <w:rsid w:val="00C31C2A"/>
    <w:rsid w:val="00C36A90"/>
    <w:rsid w:val="00C37B66"/>
    <w:rsid w:val="00C432AF"/>
    <w:rsid w:val="00C45F89"/>
    <w:rsid w:val="00C477B9"/>
    <w:rsid w:val="00C5020E"/>
    <w:rsid w:val="00C51CEE"/>
    <w:rsid w:val="00C5235A"/>
    <w:rsid w:val="00C57BBC"/>
    <w:rsid w:val="00C63953"/>
    <w:rsid w:val="00C64C1A"/>
    <w:rsid w:val="00C64EA4"/>
    <w:rsid w:val="00C64F90"/>
    <w:rsid w:val="00C65DC4"/>
    <w:rsid w:val="00C7204B"/>
    <w:rsid w:val="00C77338"/>
    <w:rsid w:val="00C8149C"/>
    <w:rsid w:val="00C82CD2"/>
    <w:rsid w:val="00C840C2"/>
    <w:rsid w:val="00C85732"/>
    <w:rsid w:val="00C87C39"/>
    <w:rsid w:val="00C9096B"/>
    <w:rsid w:val="00C9280C"/>
    <w:rsid w:val="00C96763"/>
    <w:rsid w:val="00C96B36"/>
    <w:rsid w:val="00CA22E6"/>
    <w:rsid w:val="00CA43F8"/>
    <w:rsid w:val="00CA6B6F"/>
    <w:rsid w:val="00CB6F5A"/>
    <w:rsid w:val="00CC5DD6"/>
    <w:rsid w:val="00CC60B7"/>
    <w:rsid w:val="00CD07B3"/>
    <w:rsid w:val="00CD423D"/>
    <w:rsid w:val="00CD427A"/>
    <w:rsid w:val="00CD5788"/>
    <w:rsid w:val="00CD5A1B"/>
    <w:rsid w:val="00CE228F"/>
    <w:rsid w:val="00CE2343"/>
    <w:rsid w:val="00CE5F6C"/>
    <w:rsid w:val="00CE7564"/>
    <w:rsid w:val="00CE7BEE"/>
    <w:rsid w:val="00CF41BC"/>
    <w:rsid w:val="00CF43D9"/>
    <w:rsid w:val="00CF6264"/>
    <w:rsid w:val="00CF6D6F"/>
    <w:rsid w:val="00D0500D"/>
    <w:rsid w:val="00D05438"/>
    <w:rsid w:val="00D157FB"/>
    <w:rsid w:val="00D17582"/>
    <w:rsid w:val="00D17B20"/>
    <w:rsid w:val="00D23FD2"/>
    <w:rsid w:val="00D24A42"/>
    <w:rsid w:val="00D24B7D"/>
    <w:rsid w:val="00D25021"/>
    <w:rsid w:val="00D25B40"/>
    <w:rsid w:val="00D27281"/>
    <w:rsid w:val="00D275E5"/>
    <w:rsid w:val="00D305E4"/>
    <w:rsid w:val="00D32D5F"/>
    <w:rsid w:val="00D35E60"/>
    <w:rsid w:val="00D369A2"/>
    <w:rsid w:val="00D4065B"/>
    <w:rsid w:val="00D4119E"/>
    <w:rsid w:val="00D41740"/>
    <w:rsid w:val="00D41B7C"/>
    <w:rsid w:val="00D4290C"/>
    <w:rsid w:val="00D432B5"/>
    <w:rsid w:val="00D43AF3"/>
    <w:rsid w:val="00D44ABA"/>
    <w:rsid w:val="00D45DBF"/>
    <w:rsid w:val="00D500A5"/>
    <w:rsid w:val="00D5799B"/>
    <w:rsid w:val="00D57C54"/>
    <w:rsid w:val="00D62B8D"/>
    <w:rsid w:val="00D62F38"/>
    <w:rsid w:val="00D653AC"/>
    <w:rsid w:val="00D6547B"/>
    <w:rsid w:val="00D65582"/>
    <w:rsid w:val="00D66762"/>
    <w:rsid w:val="00D7133C"/>
    <w:rsid w:val="00D74864"/>
    <w:rsid w:val="00D81B88"/>
    <w:rsid w:val="00D84F91"/>
    <w:rsid w:val="00D93D32"/>
    <w:rsid w:val="00D95299"/>
    <w:rsid w:val="00D95442"/>
    <w:rsid w:val="00D96C6F"/>
    <w:rsid w:val="00D9760D"/>
    <w:rsid w:val="00D97A4A"/>
    <w:rsid w:val="00DA0F9A"/>
    <w:rsid w:val="00DA1EDC"/>
    <w:rsid w:val="00DA29E0"/>
    <w:rsid w:val="00DB1D82"/>
    <w:rsid w:val="00DB36BE"/>
    <w:rsid w:val="00DB4B68"/>
    <w:rsid w:val="00DC2ED8"/>
    <w:rsid w:val="00DC4D7C"/>
    <w:rsid w:val="00DD7F9D"/>
    <w:rsid w:val="00DE679A"/>
    <w:rsid w:val="00DF2C83"/>
    <w:rsid w:val="00DF6CD0"/>
    <w:rsid w:val="00E00359"/>
    <w:rsid w:val="00E0548F"/>
    <w:rsid w:val="00E10F4D"/>
    <w:rsid w:val="00E263C9"/>
    <w:rsid w:val="00E2682E"/>
    <w:rsid w:val="00E2696F"/>
    <w:rsid w:val="00E26D46"/>
    <w:rsid w:val="00E309E7"/>
    <w:rsid w:val="00E31015"/>
    <w:rsid w:val="00E3485E"/>
    <w:rsid w:val="00E36022"/>
    <w:rsid w:val="00E36AF9"/>
    <w:rsid w:val="00E4116E"/>
    <w:rsid w:val="00E43F84"/>
    <w:rsid w:val="00E44544"/>
    <w:rsid w:val="00E45706"/>
    <w:rsid w:val="00E459CA"/>
    <w:rsid w:val="00E45E7C"/>
    <w:rsid w:val="00E52263"/>
    <w:rsid w:val="00E56402"/>
    <w:rsid w:val="00E5732A"/>
    <w:rsid w:val="00E60EA3"/>
    <w:rsid w:val="00E6122C"/>
    <w:rsid w:val="00E65594"/>
    <w:rsid w:val="00E659FA"/>
    <w:rsid w:val="00E7101E"/>
    <w:rsid w:val="00E719C4"/>
    <w:rsid w:val="00E72C4D"/>
    <w:rsid w:val="00E72DC8"/>
    <w:rsid w:val="00E734EC"/>
    <w:rsid w:val="00E75076"/>
    <w:rsid w:val="00E75402"/>
    <w:rsid w:val="00E76FDA"/>
    <w:rsid w:val="00E81C4E"/>
    <w:rsid w:val="00E81E67"/>
    <w:rsid w:val="00E84308"/>
    <w:rsid w:val="00E87F04"/>
    <w:rsid w:val="00EA1C61"/>
    <w:rsid w:val="00EA273E"/>
    <w:rsid w:val="00EA3E42"/>
    <w:rsid w:val="00EA5B5A"/>
    <w:rsid w:val="00EA701B"/>
    <w:rsid w:val="00EB02FA"/>
    <w:rsid w:val="00EB39CF"/>
    <w:rsid w:val="00EB42B6"/>
    <w:rsid w:val="00EB61DD"/>
    <w:rsid w:val="00EC06C4"/>
    <w:rsid w:val="00EC5972"/>
    <w:rsid w:val="00ED02D5"/>
    <w:rsid w:val="00ED0CA0"/>
    <w:rsid w:val="00ED36F3"/>
    <w:rsid w:val="00ED61E8"/>
    <w:rsid w:val="00ED7526"/>
    <w:rsid w:val="00EE4EE5"/>
    <w:rsid w:val="00EE6B92"/>
    <w:rsid w:val="00EE790F"/>
    <w:rsid w:val="00EE7DFA"/>
    <w:rsid w:val="00EF085C"/>
    <w:rsid w:val="00EF0D84"/>
    <w:rsid w:val="00EF3408"/>
    <w:rsid w:val="00EF3D15"/>
    <w:rsid w:val="00EF5D17"/>
    <w:rsid w:val="00EF6078"/>
    <w:rsid w:val="00EF66B0"/>
    <w:rsid w:val="00F0089E"/>
    <w:rsid w:val="00F040C7"/>
    <w:rsid w:val="00F04CD4"/>
    <w:rsid w:val="00F07E43"/>
    <w:rsid w:val="00F10028"/>
    <w:rsid w:val="00F13550"/>
    <w:rsid w:val="00F1511A"/>
    <w:rsid w:val="00F15C1D"/>
    <w:rsid w:val="00F22F63"/>
    <w:rsid w:val="00F242ED"/>
    <w:rsid w:val="00F26899"/>
    <w:rsid w:val="00F27B15"/>
    <w:rsid w:val="00F27D03"/>
    <w:rsid w:val="00F32A76"/>
    <w:rsid w:val="00F32F75"/>
    <w:rsid w:val="00F36516"/>
    <w:rsid w:val="00F3670D"/>
    <w:rsid w:val="00F44054"/>
    <w:rsid w:val="00F51B73"/>
    <w:rsid w:val="00F65447"/>
    <w:rsid w:val="00F71A26"/>
    <w:rsid w:val="00F77047"/>
    <w:rsid w:val="00F82902"/>
    <w:rsid w:val="00F82B19"/>
    <w:rsid w:val="00F8555E"/>
    <w:rsid w:val="00F87184"/>
    <w:rsid w:val="00F87BC3"/>
    <w:rsid w:val="00F92E0A"/>
    <w:rsid w:val="00F9310B"/>
    <w:rsid w:val="00F9424D"/>
    <w:rsid w:val="00F956CB"/>
    <w:rsid w:val="00FA0D9B"/>
    <w:rsid w:val="00FA1B39"/>
    <w:rsid w:val="00FA545C"/>
    <w:rsid w:val="00FA6684"/>
    <w:rsid w:val="00FB5AE5"/>
    <w:rsid w:val="00FB7416"/>
    <w:rsid w:val="00FB74A0"/>
    <w:rsid w:val="00FC36A2"/>
    <w:rsid w:val="00FC3D4B"/>
    <w:rsid w:val="00FC48D7"/>
    <w:rsid w:val="00FD0B24"/>
    <w:rsid w:val="00FD0F4B"/>
    <w:rsid w:val="00FD1507"/>
    <w:rsid w:val="00FD3E9B"/>
    <w:rsid w:val="00FD5B48"/>
    <w:rsid w:val="00FD7C18"/>
    <w:rsid w:val="00FE1533"/>
    <w:rsid w:val="00FE2E97"/>
    <w:rsid w:val="00FE4171"/>
    <w:rsid w:val="00FE5A67"/>
    <w:rsid w:val="00FF0911"/>
    <w:rsid w:val="00FF215A"/>
    <w:rsid w:val="00FF613F"/>
    <w:rsid w:val="00FF78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qFormat/>
    <w:pPr>
      <w:keepNext/>
      <w:outlineLvl w:val="0"/>
    </w:pPr>
    <w:rPr>
      <w:rFonts w:cs="David"/>
      <w:b/>
      <w:bCs/>
      <w:szCs w:val="28"/>
    </w:rPr>
  </w:style>
  <w:style w:type="paragraph" w:styleId="2">
    <w:name w:val="heading 2"/>
    <w:basedOn w:val="a"/>
    <w:next w:val="a"/>
    <w:qFormat/>
    <w:pPr>
      <w:keepNext/>
      <w:outlineLvl w:val="1"/>
    </w:pPr>
    <w:rPr>
      <w:rFonts w:cs="David"/>
      <w:szCs w:val="24"/>
    </w:rPr>
  </w:style>
  <w:style w:type="paragraph" w:styleId="3">
    <w:name w:val="heading 3"/>
    <w:basedOn w:val="a"/>
    <w:next w:val="a"/>
    <w:qFormat/>
    <w:pPr>
      <w:keepNext/>
      <w:jc w:val="center"/>
      <w:outlineLvl w:val="2"/>
    </w:pPr>
    <w:rPr>
      <w:rFonts w:cs="David"/>
      <w:b/>
      <w:bCs/>
      <w:szCs w:val="36"/>
      <w:u w:val="single"/>
    </w:rPr>
  </w:style>
  <w:style w:type="paragraph" w:styleId="4">
    <w:name w:val="heading 4"/>
    <w:basedOn w:val="a"/>
    <w:next w:val="a"/>
    <w:qFormat/>
    <w:pPr>
      <w:keepNext/>
      <w:outlineLvl w:val="3"/>
    </w:pPr>
    <w:rPr>
      <w:rFonts w:cs="David"/>
      <w:b/>
      <w:bCs/>
      <w:szCs w:val="24"/>
      <w:u w:val="single"/>
    </w:rPr>
  </w:style>
  <w:style w:type="paragraph" w:styleId="5">
    <w:name w:val="heading 5"/>
    <w:basedOn w:val="a"/>
    <w:next w:val="a"/>
    <w:qFormat/>
    <w:pPr>
      <w:keepNext/>
      <w:spacing w:after="240"/>
      <w:ind w:left="-58"/>
      <w:jc w:val="both"/>
      <w:outlineLvl w:val="4"/>
    </w:pPr>
    <w:rPr>
      <w:rFonts w:cs="David"/>
      <w:b/>
      <w:bCs/>
      <w:szCs w:val="24"/>
      <w:u w:val="single"/>
    </w:rPr>
  </w:style>
  <w:style w:type="paragraph" w:styleId="6">
    <w:name w:val="heading 6"/>
    <w:basedOn w:val="a"/>
    <w:next w:val="a"/>
    <w:qFormat/>
    <w:pPr>
      <w:keepNext/>
      <w:ind w:left="1813"/>
      <w:outlineLvl w:val="5"/>
    </w:pPr>
    <w:rPr>
      <w:rFonts w:cs="David"/>
      <w:b/>
      <w:bCs/>
      <w:szCs w:val="28"/>
    </w:rPr>
  </w:style>
  <w:style w:type="paragraph" w:styleId="7">
    <w:name w:val="heading 7"/>
    <w:basedOn w:val="a"/>
    <w:next w:val="a"/>
    <w:qFormat/>
    <w:pPr>
      <w:keepNext/>
      <w:ind w:left="1440"/>
      <w:outlineLvl w:val="6"/>
    </w:pPr>
    <w:rPr>
      <w:rFonts w:cs="David"/>
      <w:szCs w:val="28"/>
    </w:rPr>
  </w:style>
  <w:style w:type="paragraph" w:styleId="8">
    <w:name w:val="heading 8"/>
    <w:basedOn w:val="a"/>
    <w:next w:val="a"/>
    <w:qFormat/>
    <w:pPr>
      <w:keepNext/>
      <w:spacing w:after="120"/>
      <w:jc w:val="both"/>
      <w:outlineLvl w:val="7"/>
    </w:pPr>
    <w:rPr>
      <w:rFonts w:cs="David"/>
      <w:szCs w:val="24"/>
    </w:rPr>
  </w:style>
  <w:style w:type="paragraph" w:styleId="9">
    <w:name w:val="heading 9"/>
    <w:basedOn w:val="a"/>
    <w:next w:val="a"/>
    <w:qFormat/>
    <w:pPr>
      <w:keepNext/>
      <w:ind w:left="2160"/>
      <w:outlineLvl w:val="8"/>
    </w:pPr>
    <w:rPr>
      <w:rFonts w:cs="David"/>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rPr>
      <w:rFonts w:cs="David"/>
      <w:b/>
      <w:bCs/>
      <w:szCs w:val="28"/>
    </w:rPr>
  </w:style>
  <w:style w:type="paragraph" w:styleId="a4">
    <w:name w:val="header"/>
    <w:basedOn w:val="a"/>
    <w:pPr>
      <w:tabs>
        <w:tab w:val="center" w:pos="4153"/>
        <w:tab w:val="right" w:pos="8306"/>
      </w:tabs>
    </w:pPr>
  </w:style>
  <w:style w:type="paragraph" w:styleId="a5">
    <w:name w:val="Block Text"/>
    <w:basedOn w:val="a"/>
    <w:pPr>
      <w:spacing w:after="120"/>
      <w:ind w:left="1440" w:right="1440"/>
    </w:pPr>
  </w:style>
  <w:style w:type="character" w:styleId="a6">
    <w:name w:val="page number"/>
    <w:basedOn w:val="a0"/>
  </w:style>
  <w:style w:type="paragraph" w:styleId="20">
    <w:name w:val="Body Text 2"/>
    <w:basedOn w:val="a"/>
    <w:pPr>
      <w:spacing w:after="120" w:line="360" w:lineRule="auto"/>
      <w:jc w:val="both"/>
    </w:pPr>
    <w:rPr>
      <w:rFonts w:cs="David"/>
      <w:b/>
      <w:bCs/>
      <w:szCs w:val="24"/>
    </w:rPr>
  </w:style>
  <w:style w:type="paragraph" w:styleId="a7">
    <w:name w:val="Body Text Indent"/>
    <w:basedOn w:val="a"/>
    <w:rsid w:val="004B2197"/>
    <w:pPr>
      <w:spacing w:after="120"/>
      <w:ind w:left="283"/>
    </w:pPr>
  </w:style>
  <w:style w:type="character" w:styleId="a8">
    <w:name w:val="annotation reference"/>
    <w:rsid w:val="00B6565D"/>
    <w:rPr>
      <w:sz w:val="16"/>
      <w:szCs w:val="16"/>
    </w:rPr>
  </w:style>
  <w:style w:type="paragraph" w:styleId="a9">
    <w:name w:val="annotation text"/>
    <w:basedOn w:val="a"/>
    <w:link w:val="aa"/>
    <w:semiHidden/>
    <w:rsid w:val="00B6565D"/>
    <w:pPr>
      <w:spacing w:line="360" w:lineRule="auto"/>
      <w:jc w:val="both"/>
    </w:pPr>
    <w:rPr>
      <w:rFonts w:cs="David"/>
    </w:rPr>
  </w:style>
  <w:style w:type="paragraph" w:styleId="ab">
    <w:name w:val="Balloon Text"/>
    <w:basedOn w:val="a"/>
    <w:semiHidden/>
    <w:rsid w:val="00B6565D"/>
    <w:rPr>
      <w:rFonts w:ascii="Tahoma" w:hAnsi="Tahoma" w:cs="Tahoma"/>
      <w:sz w:val="16"/>
      <w:szCs w:val="16"/>
    </w:rPr>
  </w:style>
  <w:style w:type="paragraph" w:styleId="ac">
    <w:name w:val="annotation subject"/>
    <w:basedOn w:val="a9"/>
    <w:next w:val="a9"/>
    <w:link w:val="ad"/>
    <w:rsid w:val="00155B23"/>
    <w:pPr>
      <w:spacing w:line="240" w:lineRule="auto"/>
      <w:jc w:val="left"/>
    </w:pPr>
    <w:rPr>
      <w:rFonts w:cs="Miriam"/>
      <w:b/>
      <w:bCs/>
    </w:rPr>
  </w:style>
  <w:style w:type="character" w:customStyle="1" w:styleId="aa">
    <w:name w:val="טקסט הערה תו"/>
    <w:link w:val="a9"/>
    <w:semiHidden/>
    <w:rsid w:val="00155B23"/>
    <w:rPr>
      <w:rFonts w:cs="David"/>
    </w:rPr>
  </w:style>
  <w:style w:type="character" w:customStyle="1" w:styleId="ad">
    <w:name w:val="נושא הערה תו"/>
    <w:link w:val="ac"/>
    <w:rsid w:val="00155B23"/>
    <w:rPr>
      <w:rFonts w:cs="David"/>
      <w:b/>
      <w:bCs/>
    </w:rPr>
  </w:style>
  <w:style w:type="paragraph" w:styleId="ae">
    <w:name w:val="Revision"/>
    <w:hidden/>
    <w:uiPriority w:val="99"/>
    <w:semiHidden/>
    <w:rsid w:val="00155B23"/>
  </w:style>
  <w:style w:type="table" w:styleId="af">
    <w:name w:val="Table Grid"/>
    <w:basedOn w:val="a1"/>
    <w:rsid w:val="006D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2431BA"/>
    <w:pPr>
      <w:tabs>
        <w:tab w:val="center" w:pos="4153"/>
        <w:tab w:val="right" w:pos="8306"/>
      </w:tabs>
    </w:pPr>
  </w:style>
  <w:style w:type="character" w:customStyle="1" w:styleId="af1">
    <w:name w:val="כותרת תחתונה תו"/>
    <w:basedOn w:val="a0"/>
    <w:link w:val="af0"/>
    <w:rsid w:val="002431BA"/>
  </w:style>
  <w:style w:type="paragraph" w:styleId="af2">
    <w:name w:val="Quote"/>
    <w:basedOn w:val="a"/>
    <w:next w:val="a"/>
    <w:link w:val="af3"/>
    <w:qFormat/>
    <w:rsid w:val="002431BA"/>
    <w:pPr>
      <w:spacing w:before="240" w:line="360" w:lineRule="auto"/>
      <w:ind w:left="1440" w:right="1843"/>
      <w:jc w:val="both"/>
    </w:pPr>
    <w:rPr>
      <w:rFonts w:ascii="David" w:hAnsi="David" w:cs="David"/>
      <w:b/>
      <w:bCs/>
      <w:sz w:val="44"/>
      <w:szCs w:val="24"/>
    </w:rPr>
  </w:style>
  <w:style w:type="character" w:customStyle="1" w:styleId="af3">
    <w:name w:val="ציטוט תו"/>
    <w:basedOn w:val="a0"/>
    <w:link w:val="af2"/>
    <w:rsid w:val="002431BA"/>
    <w:rPr>
      <w:rFonts w:ascii="David" w:hAnsi="David" w:cs="David"/>
      <w:b/>
      <w:bCs/>
      <w:sz w:val="44"/>
      <w:szCs w:val="24"/>
    </w:rPr>
  </w:style>
  <w:style w:type="paragraph" w:styleId="af4">
    <w:name w:val="List Paragraph"/>
    <w:basedOn w:val="a"/>
    <w:link w:val="af5"/>
    <w:uiPriority w:val="34"/>
    <w:qFormat/>
    <w:rsid w:val="00505095"/>
    <w:pPr>
      <w:ind w:left="720"/>
      <w:contextualSpacing/>
    </w:pPr>
  </w:style>
  <w:style w:type="paragraph" w:styleId="af6">
    <w:name w:val="footnote text"/>
    <w:basedOn w:val="a"/>
    <w:link w:val="af7"/>
    <w:semiHidden/>
    <w:unhideWhenUsed/>
    <w:rsid w:val="00BC715A"/>
  </w:style>
  <w:style w:type="character" w:customStyle="1" w:styleId="af7">
    <w:name w:val="טקסט הערת שוליים תו"/>
    <w:basedOn w:val="a0"/>
    <w:link w:val="af6"/>
    <w:semiHidden/>
    <w:rsid w:val="00BC715A"/>
  </w:style>
  <w:style w:type="character" w:styleId="af8">
    <w:name w:val="footnote reference"/>
    <w:basedOn w:val="a0"/>
    <w:semiHidden/>
    <w:unhideWhenUsed/>
    <w:rsid w:val="00BC715A"/>
    <w:rPr>
      <w:vertAlign w:val="superscript"/>
    </w:rPr>
  </w:style>
  <w:style w:type="paragraph" w:customStyle="1" w:styleId="DefaultParagraphFont">
    <w:name w:val="Default Paragraph Font תו תו תו תו תו תו תו"/>
    <w:basedOn w:val="a"/>
    <w:rsid w:val="00183878"/>
    <w:pPr>
      <w:bidi w:val="0"/>
      <w:spacing w:after="160" w:line="240" w:lineRule="exact"/>
      <w:jc w:val="both"/>
    </w:pPr>
    <w:rPr>
      <w:rFonts w:ascii="Verdana" w:hAnsi="Verdana" w:cs="FrankRuehl"/>
      <w:sz w:val="16"/>
      <w:lang w:bidi="ar-SA"/>
    </w:rPr>
  </w:style>
  <w:style w:type="character" w:customStyle="1" w:styleId="af5">
    <w:name w:val="פיסקת רשימה תו"/>
    <w:link w:val="af4"/>
    <w:uiPriority w:val="34"/>
    <w:locked/>
    <w:rsid w:val="00CF43D9"/>
  </w:style>
  <w:style w:type="paragraph" w:customStyle="1" w:styleId="10">
    <w:name w:val="פיסקת רשימה1"/>
    <w:basedOn w:val="a"/>
    <w:rsid w:val="00CE5F6C"/>
    <w:pPr>
      <w:keepLines/>
      <w:spacing w:line="360" w:lineRule="auto"/>
      <w:ind w:left="720"/>
      <w:contextualSpacing/>
      <w:jc w:val="both"/>
    </w:pPr>
    <w:rPr>
      <w:rFonts w:cs="David"/>
      <w:sz w:val="22"/>
      <w:szCs w:val="24"/>
    </w:rPr>
  </w:style>
  <w:style w:type="paragraph" w:styleId="af9">
    <w:name w:val="endnote text"/>
    <w:basedOn w:val="a"/>
    <w:link w:val="afa"/>
    <w:rsid w:val="00CE5F6C"/>
    <w:pPr>
      <w:keepLines/>
      <w:jc w:val="both"/>
    </w:pPr>
    <w:rPr>
      <w:rFonts w:cs="David"/>
    </w:rPr>
  </w:style>
  <w:style w:type="character" w:customStyle="1" w:styleId="afa">
    <w:name w:val="טקסט הערת סיום תו"/>
    <w:basedOn w:val="a0"/>
    <w:link w:val="af9"/>
    <w:rsid w:val="00CE5F6C"/>
    <w:rPr>
      <w:rFonts w:cs="David"/>
    </w:rPr>
  </w:style>
  <w:style w:type="character" w:styleId="afb">
    <w:name w:val="endnote reference"/>
    <w:semiHidden/>
    <w:rsid w:val="00CE5F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Miriam"/>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qFormat/>
    <w:pPr>
      <w:keepNext/>
      <w:outlineLvl w:val="0"/>
    </w:pPr>
    <w:rPr>
      <w:rFonts w:cs="David"/>
      <w:b/>
      <w:bCs/>
      <w:szCs w:val="28"/>
    </w:rPr>
  </w:style>
  <w:style w:type="paragraph" w:styleId="2">
    <w:name w:val="heading 2"/>
    <w:basedOn w:val="a"/>
    <w:next w:val="a"/>
    <w:qFormat/>
    <w:pPr>
      <w:keepNext/>
      <w:outlineLvl w:val="1"/>
    </w:pPr>
    <w:rPr>
      <w:rFonts w:cs="David"/>
      <w:szCs w:val="24"/>
    </w:rPr>
  </w:style>
  <w:style w:type="paragraph" w:styleId="3">
    <w:name w:val="heading 3"/>
    <w:basedOn w:val="a"/>
    <w:next w:val="a"/>
    <w:qFormat/>
    <w:pPr>
      <w:keepNext/>
      <w:jc w:val="center"/>
      <w:outlineLvl w:val="2"/>
    </w:pPr>
    <w:rPr>
      <w:rFonts w:cs="David"/>
      <w:b/>
      <w:bCs/>
      <w:szCs w:val="36"/>
      <w:u w:val="single"/>
    </w:rPr>
  </w:style>
  <w:style w:type="paragraph" w:styleId="4">
    <w:name w:val="heading 4"/>
    <w:basedOn w:val="a"/>
    <w:next w:val="a"/>
    <w:qFormat/>
    <w:pPr>
      <w:keepNext/>
      <w:outlineLvl w:val="3"/>
    </w:pPr>
    <w:rPr>
      <w:rFonts w:cs="David"/>
      <w:b/>
      <w:bCs/>
      <w:szCs w:val="24"/>
      <w:u w:val="single"/>
    </w:rPr>
  </w:style>
  <w:style w:type="paragraph" w:styleId="5">
    <w:name w:val="heading 5"/>
    <w:basedOn w:val="a"/>
    <w:next w:val="a"/>
    <w:qFormat/>
    <w:pPr>
      <w:keepNext/>
      <w:spacing w:after="240"/>
      <w:ind w:left="-58"/>
      <w:jc w:val="both"/>
      <w:outlineLvl w:val="4"/>
    </w:pPr>
    <w:rPr>
      <w:rFonts w:cs="David"/>
      <w:b/>
      <w:bCs/>
      <w:szCs w:val="24"/>
      <w:u w:val="single"/>
    </w:rPr>
  </w:style>
  <w:style w:type="paragraph" w:styleId="6">
    <w:name w:val="heading 6"/>
    <w:basedOn w:val="a"/>
    <w:next w:val="a"/>
    <w:qFormat/>
    <w:pPr>
      <w:keepNext/>
      <w:ind w:left="1813"/>
      <w:outlineLvl w:val="5"/>
    </w:pPr>
    <w:rPr>
      <w:rFonts w:cs="David"/>
      <w:b/>
      <w:bCs/>
      <w:szCs w:val="28"/>
    </w:rPr>
  </w:style>
  <w:style w:type="paragraph" w:styleId="7">
    <w:name w:val="heading 7"/>
    <w:basedOn w:val="a"/>
    <w:next w:val="a"/>
    <w:qFormat/>
    <w:pPr>
      <w:keepNext/>
      <w:ind w:left="1440"/>
      <w:outlineLvl w:val="6"/>
    </w:pPr>
    <w:rPr>
      <w:rFonts w:cs="David"/>
      <w:szCs w:val="28"/>
    </w:rPr>
  </w:style>
  <w:style w:type="paragraph" w:styleId="8">
    <w:name w:val="heading 8"/>
    <w:basedOn w:val="a"/>
    <w:next w:val="a"/>
    <w:qFormat/>
    <w:pPr>
      <w:keepNext/>
      <w:spacing w:after="120"/>
      <w:jc w:val="both"/>
      <w:outlineLvl w:val="7"/>
    </w:pPr>
    <w:rPr>
      <w:rFonts w:cs="David"/>
      <w:szCs w:val="24"/>
    </w:rPr>
  </w:style>
  <w:style w:type="paragraph" w:styleId="9">
    <w:name w:val="heading 9"/>
    <w:basedOn w:val="a"/>
    <w:next w:val="a"/>
    <w:qFormat/>
    <w:pPr>
      <w:keepNext/>
      <w:ind w:left="2160"/>
      <w:outlineLvl w:val="8"/>
    </w:pPr>
    <w:rPr>
      <w:rFonts w:cs="David"/>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rPr>
      <w:rFonts w:cs="David"/>
      <w:b/>
      <w:bCs/>
      <w:szCs w:val="28"/>
    </w:rPr>
  </w:style>
  <w:style w:type="paragraph" w:styleId="a4">
    <w:name w:val="header"/>
    <w:basedOn w:val="a"/>
    <w:pPr>
      <w:tabs>
        <w:tab w:val="center" w:pos="4153"/>
        <w:tab w:val="right" w:pos="8306"/>
      </w:tabs>
    </w:pPr>
  </w:style>
  <w:style w:type="paragraph" w:styleId="a5">
    <w:name w:val="Block Text"/>
    <w:basedOn w:val="a"/>
    <w:pPr>
      <w:spacing w:after="120"/>
      <w:ind w:left="1440" w:right="1440"/>
    </w:pPr>
  </w:style>
  <w:style w:type="character" w:styleId="a6">
    <w:name w:val="page number"/>
    <w:basedOn w:val="a0"/>
  </w:style>
  <w:style w:type="paragraph" w:styleId="20">
    <w:name w:val="Body Text 2"/>
    <w:basedOn w:val="a"/>
    <w:pPr>
      <w:spacing w:after="120" w:line="360" w:lineRule="auto"/>
      <w:jc w:val="both"/>
    </w:pPr>
    <w:rPr>
      <w:rFonts w:cs="David"/>
      <w:b/>
      <w:bCs/>
      <w:szCs w:val="24"/>
    </w:rPr>
  </w:style>
  <w:style w:type="paragraph" w:styleId="a7">
    <w:name w:val="Body Text Indent"/>
    <w:basedOn w:val="a"/>
    <w:rsid w:val="004B2197"/>
    <w:pPr>
      <w:spacing w:after="120"/>
      <w:ind w:left="283"/>
    </w:pPr>
  </w:style>
  <w:style w:type="character" w:styleId="a8">
    <w:name w:val="annotation reference"/>
    <w:rsid w:val="00B6565D"/>
    <w:rPr>
      <w:sz w:val="16"/>
      <w:szCs w:val="16"/>
    </w:rPr>
  </w:style>
  <w:style w:type="paragraph" w:styleId="a9">
    <w:name w:val="annotation text"/>
    <w:basedOn w:val="a"/>
    <w:link w:val="aa"/>
    <w:semiHidden/>
    <w:rsid w:val="00B6565D"/>
    <w:pPr>
      <w:spacing w:line="360" w:lineRule="auto"/>
      <w:jc w:val="both"/>
    </w:pPr>
    <w:rPr>
      <w:rFonts w:cs="David"/>
    </w:rPr>
  </w:style>
  <w:style w:type="paragraph" w:styleId="ab">
    <w:name w:val="Balloon Text"/>
    <w:basedOn w:val="a"/>
    <w:semiHidden/>
    <w:rsid w:val="00B6565D"/>
    <w:rPr>
      <w:rFonts w:ascii="Tahoma" w:hAnsi="Tahoma" w:cs="Tahoma"/>
      <w:sz w:val="16"/>
      <w:szCs w:val="16"/>
    </w:rPr>
  </w:style>
  <w:style w:type="paragraph" w:styleId="ac">
    <w:name w:val="annotation subject"/>
    <w:basedOn w:val="a9"/>
    <w:next w:val="a9"/>
    <w:link w:val="ad"/>
    <w:rsid w:val="00155B23"/>
    <w:pPr>
      <w:spacing w:line="240" w:lineRule="auto"/>
      <w:jc w:val="left"/>
    </w:pPr>
    <w:rPr>
      <w:rFonts w:cs="Miriam"/>
      <w:b/>
      <w:bCs/>
    </w:rPr>
  </w:style>
  <w:style w:type="character" w:customStyle="1" w:styleId="aa">
    <w:name w:val="טקסט הערה תו"/>
    <w:link w:val="a9"/>
    <w:semiHidden/>
    <w:rsid w:val="00155B23"/>
    <w:rPr>
      <w:rFonts w:cs="David"/>
    </w:rPr>
  </w:style>
  <w:style w:type="character" w:customStyle="1" w:styleId="ad">
    <w:name w:val="נושא הערה תו"/>
    <w:link w:val="ac"/>
    <w:rsid w:val="00155B23"/>
    <w:rPr>
      <w:rFonts w:cs="David"/>
      <w:b/>
      <w:bCs/>
    </w:rPr>
  </w:style>
  <w:style w:type="paragraph" w:styleId="ae">
    <w:name w:val="Revision"/>
    <w:hidden/>
    <w:uiPriority w:val="99"/>
    <w:semiHidden/>
    <w:rsid w:val="00155B23"/>
  </w:style>
  <w:style w:type="table" w:styleId="af">
    <w:name w:val="Table Grid"/>
    <w:basedOn w:val="a1"/>
    <w:rsid w:val="006D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nhideWhenUsed/>
    <w:rsid w:val="002431BA"/>
    <w:pPr>
      <w:tabs>
        <w:tab w:val="center" w:pos="4153"/>
        <w:tab w:val="right" w:pos="8306"/>
      </w:tabs>
    </w:pPr>
  </w:style>
  <w:style w:type="character" w:customStyle="1" w:styleId="af1">
    <w:name w:val="כותרת תחתונה תו"/>
    <w:basedOn w:val="a0"/>
    <w:link w:val="af0"/>
    <w:rsid w:val="002431BA"/>
  </w:style>
  <w:style w:type="paragraph" w:styleId="af2">
    <w:name w:val="Quote"/>
    <w:basedOn w:val="a"/>
    <w:next w:val="a"/>
    <w:link w:val="af3"/>
    <w:qFormat/>
    <w:rsid w:val="002431BA"/>
    <w:pPr>
      <w:spacing w:before="240" w:line="360" w:lineRule="auto"/>
      <w:ind w:left="1440" w:right="1843"/>
      <w:jc w:val="both"/>
    </w:pPr>
    <w:rPr>
      <w:rFonts w:ascii="David" w:hAnsi="David" w:cs="David"/>
      <w:b/>
      <w:bCs/>
      <w:sz w:val="44"/>
      <w:szCs w:val="24"/>
    </w:rPr>
  </w:style>
  <w:style w:type="character" w:customStyle="1" w:styleId="af3">
    <w:name w:val="ציטוט תו"/>
    <w:basedOn w:val="a0"/>
    <w:link w:val="af2"/>
    <w:rsid w:val="002431BA"/>
    <w:rPr>
      <w:rFonts w:ascii="David" w:hAnsi="David" w:cs="David"/>
      <w:b/>
      <w:bCs/>
      <w:sz w:val="44"/>
      <w:szCs w:val="24"/>
    </w:rPr>
  </w:style>
  <w:style w:type="paragraph" w:styleId="af4">
    <w:name w:val="List Paragraph"/>
    <w:basedOn w:val="a"/>
    <w:link w:val="af5"/>
    <w:uiPriority w:val="34"/>
    <w:qFormat/>
    <w:rsid w:val="00505095"/>
    <w:pPr>
      <w:ind w:left="720"/>
      <w:contextualSpacing/>
    </w:pPr>
  </w:style>
  <w:style w:type="paragraph" w:styleId="af6">
    <w:name w:val="footnote text"/>
    <w:basedOn w:val="a"/>
    <w:link w:val="af7"/>
    <w:semiHidden/>
    <w:unhideWhenUsed/>
    <w:rsid w:val="00BC715A"/>
  </w:style>
  <w:style w:type="character" w:customStyle="1" w:styleId="af7">
    <w:name w:val="טקסט הערת שוליים תו"/>
    <w:basedOn w:val="a0"/>
    <w:link w:val="af6"/>
    <w:semiHidden/>
    <w:rsid w:val="00BC715A"/>
  </w:style>
  <w:style w:type="character" w:styleId="af8">
    <w:name w:val="footnote reference"/>
    <w:basedOn w:val="a0"/>
    <w:semiHidden/>
    <w:unhideWhenUsed/>
    <w:rsid w:val="00BC715A"/>
    <w:rPr>
      <w:vertAlign w:val="superscript"/>
    </w:rPr>
  </w:style>
  <w:style w:type="paragraph" w:customStyle="1" w:styleId="DefaultParagraphFont">
    <w:name w:val="Default Paragraph Font תו תו תו תו תו תו תו"/>
    <w:basedOn w:val="a"/>
    <w:rsid w:val="00183878"/>
    <w:pPr>
      <w:bidi w:val="0"/>
      <w:spacing w:after="160" w:line="240" w:lineRule="exact"/>
      <w:jc w:val="both"/>
    </w:pPr>
    <w:rPr>
      <w:rFonts w:ascii="Verdana" w:hAnsi="Verdana" w:cs="FrankRuehl"/>
      <w:sz w:val="16"/>
      <w:lang w:bidi="ar-SA"/>
    </w:rPr>
  </w:style>
  <w:style w:type="character" w:customStyle="1" w:styleId="af5">
    <w:name w:val="פיסקת רשימה תו"/>
    <w:link w:val="af4"/>
    <w:uiPriority w:val="34"/>
    <w:locked/>
    <w:rsid w:val="00CF43D9"/>
  </w:style>
  <w:style w:type="paragraph" w:customStyle="1" w:styleId="10">
    <w:name w:val="פיסקת רשימה1"/>
    <w:basedOn w:val="a"/>
    <w:rsid w:val="00CE5F6C"/>
    <w:pPr>
      <w:keepLines/>
      <w:spacing w:line="360" w:lineRule="auto"/>
      <w:ind w:left="720"/>
      <w:contextualSpacing/>
      <w:jc w:val="both"/>
    </w:pPr>
    <w:rPr>
      <w:rFonts w:cs="David"/>
      <w:sz w:val="22"/>
      <w:szCs w:val="24"/>
    </w:rPr>
  </w:style>
  <w:style w:type="paragraph" w:styleId="af9">
    <w:name w:val="endnote text"/>
    <w:basedOn w:val="a"/>
    <w:link w:val="afa"/>
    <w:rsid w:val="00CE5F6C"/>
    <w:pPr>
      <w:keepLines/>
      <w:jc w:val="both"/>
    </w:pPr>
    <w:rPr>
      <w:rFonts w:cs="David"/>
    </w:rPr>
  </w:style>
  <w:style w:type="character" w:customStyle="1" w:styleId="afa">
    <w:name w:val="טקסט הערת סיום תו"/>
    <w:basedOn w:val="a0"/>
    <w:link w:val="af9"/>
    <w:rsid w:val="00CE5F6C"/>
    <w:rPr>
      <w:rFonts w:cs="David"/>
    </w:rPr>
  </w:style>
  <w:style w:type="character" w:styleId="afb">
    <w:name w:val="endnote reference"/>
    <w:semiHidden/>
    <w:rsid w:val="00CE5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05389-8E40-41DE-A750-C2289F38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28</Pages>
  <Words>11560</Words>
  <Characters>55900</Characters>
  <Application>Microsoft Office Word</Application>
  <DocSecurity>0</DocSecurity>
  <Lines>465</Lines>
  <Paragraphs>134</Paragraphs>
  <ScaleCrop>false</ScaleCrop>
  <HeadingPairs>
    <vt:vector size="2" baseType="variant">
      <vt:variant>
        <vt:lpstr>שם</vt:lpstr>
      </vt:variant>
      <vt:variant>
        <vt:i4>1</vt:i4>
      </vt:variant>
    </vt:vector>
  </HeadingPairs>
  <TitlesOfParts>
    <vt:vector size="1" baseType="lpstr">
      <vt:lpstr>בבית המשפט המחוזי בירושלים</vt:lpstr>
    </vt:vector>
  </TitlesOfParts>
  <Company>moj</Company>
  <LinksUpToDate>false</LinksUpToDate>
  <CharactersWithSpaces>67326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בבית המשפט המחוזי בירושלים</dc:title>
  <dc:creator>ibmadmin</dc:creator>
  <cp:lastModifiedBy>Ammie Wolf</cp:lastModifiedBy>
  <cp:revision>16</cp:revision>
  <cp:lastPrinted>2018-09-06T15:32:00Z</cp:lastPrinted>
  <dcterms:created xsi:type="dcterms:W3CDTF">2018-09-14T16:16:00Z</dcterms:created>
  <dcterms:modified xsi:type="dcterms:W3CDTF">2018-09-15T09:32:00Z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mFieldsUpdated">
    <vt:bool>true</vt:bool>
  </property>
  <property fmtid="{D5CDD505-2E9C-101B-9397-08002B2CF9AE}" pid="3" name="ExtDataSourceURL">
    <vt:lpwstr>http://dev-jr-ws8:81/Tnufa.General.Documents/Services/TemplatesService.svc/GetFields?organizationName=civil&amp;documentid=%template_identifier%&amp;moj_id=%moj_id%</vt:lpwstr>
  </property>
  <property fmtid="{D5CDD505-2E9C-101B-9397-08002B2CF9AE}" pid="4" name="tnufa_case.tnufa_courtid">
    <vt:lpwstr>בית משפט המחוזי מרכז</vt:lpwstr>
  </property>
  <property fmtid="{D5CDD505-2E9C-101B-9397-08002B2CF9AE}" pid="5" name="tnufa_case.tnufa_bamacasenumber">
    <vt:lpwstr>מספרתיקבימש</vt:lpwstr>
  </property>
  <property fmtid="{D5CDD505-2E9C-101B-9397-08002B2CF9AE}" pid="6" name="tnufa_case.tnufa_bamacasetype">
    <vt:lpwstr>ת"א</vt:lpwstr>
  </property>
  <property fmtid="{D5CDD505-2E9C-101B-9397-08002B2CF9AE}" pid="7" name="tnufa_discussion.tnufa_judgeid">
    <vt:lpwstr> אחיקם סטולר</vt:lpwstr>
  </property>
  <property fmtid="{D5CDD505-2E9C-101B-9397-08002B2CF9AE}" pid="8" name="tnufa_calc_closestdiscussiontime">
    <vt:lpwstr>10:30</vt:lpwstr>
  </property>
  <property fmtid="{D5CDD505-2E9C-101B-9397-08002B2CF9AE}" pid="9" name="tnufa_calc_closestdiscussiondate">
    <vt:lpwstr>24 במאי 2018</vt:lpwstr>
  </property>
  <property fmtid="{D5CDD505-2E9C-101B-9397-08002B2CF9AE}" pid="10" name="tnufa_calc_versus">
    <vt:lpwstr/>
  </property>
  <property fmtid="{D5CDD505-2E9C-101B-9397-08002B2CF9AE}" pid="11" name="tnufa_name">
    <vt:lpwstr>כתב הגנה</vt:lpwstr>
  </property>
  <property fmtid="{D5CDD505-2E9C-101B-9397-08002B2CF9AE}" pid="12" name="tnufa_reference">
    <vt:lpwstr>303476/2018</vt:lpwstr>
  </property>
  <property fmtid="{D5CDD505-2E9C-101B-9397-08002B2CF9AE}" pid="13" name="systemuser.tnufa_initials">
    <vt:lpwstr/>
  </property>
  <property fmtid="{D5CDD505-2E9C-101B-9397-08002B2CF9AE}" pid="14" name="account.accountnumber">
    <vt:lpwstr>53/00000614/18</vt:lpwstr>
  </property>
  <property fmtid="{D5CDD505-2E9C-101B-9397-08002B2CF9AE}" pid="15" name="businessunit.name">
    <vt:lpwstr>פמ"מ</vt:lpwstr>
  </property>
  <property fmtid="{D5CDD505-2E9C-101B-9397-08002B2CF9AE}" pid="16" name="tnufa_calc_createdon">
    <vt:lpwstr>03 במאי 2018</vt:lpwstr>
  </property>
  <property fmtid="{D5CDD505-2E9C-101B-9397-08002B2CF9AE}" pid="17" name="tnufa_calc_createdonhebrew">
    <vt:lpwstr>י"ח באייר תשע"ח</vt:lpwstr>
  </property>
  <property fmtid="{D5CDD505-2E9C-101B-9397-08002B2CF9AE}" pid="18" name="businessunit.tnufa_city">
    <vt:lpwstr>עיר</vt:lpwstr>
  </property>
  <property fmtid="{D5CDD505-2E9C-101B-9397-08002B2CF9AE}" pid="19" name="systemuser.tnufa_role">
    <vt:lpwstr>בפרקליטות מחוז</vt:lpwstr>
  </property>
  <property fmtid="{D5CDD505-2E9C-101B-9397-08002B2CF9AE}" pid="20" name="systemuser.tnufa_title">
    <vt:lpwstr/>
  </property>
  <property fmtid="{D5CDD505-2E9C-101B-9397-08002B2CF9AE}" pid="21" name="systemuser.fullname">
    <vt:lpwstr>סימה אזולאי</vt:lpwstr>
  </property>
  <property fmtid="{D5CDD505-2E9C-101B-9397-08002B2CF9AE}" pid="22" name="businessunit.tnufa_longname">
    <vt:lpwstr>פרקליטות מחוז מרכז- אזרחי</vt:lpwstr>
  </property>
  <property fmtid="{D5CDD505-2E9C-101B-9397-08002B2CF9AE}" pid="23" name="systemuser.tnufa_city">
    <vt:lpwstr/>
  </property>
  <property fmtid="{D5CDD505-2E9C-101B-9397-08002B2CF9AE}" pid="24" name="positiona_col1">
    <vt:lpwstr>צד א עמודה א</vt:lpwstr>
  </property>
  <property fmtid="{D5CDD505-2E9C-101B-9397-08002B2CF9AE}" pid="25" name="positiona_col2">
    <vt:lpwstr>צד א עמודה ב</vt:lpwstr>
  </property>
  <property fmtid="{D5CDD505-2E9C-101B-9397-08002B2CF9AE}" pid="26" name="positiona_col3">
    <vt:lpwstr>צד א עמודה ג</vt:lpwstr>
  </property>
  <property fmtid="{D5CDD505-2E9C-101B-9397-08002B2CF9AE}" pid="27" name="positionb_col1">
    <vt:lpwstr>צד ב עמודה א</vt:lpwstr>
  </property>
  <property fmtid="{D5CDD505-2E9C-101B-9397-08002B2CF9AE}" pid="28" name="positionb_col2">
    <vt:lpwstr>צד ב עמודה ב</vt:lpwstr>
  </property>
  <property fmtid="{D5CDD505-2E9C-101B-9397-08002B2CF9AE}" pid="29" name="positionb_col3">
    <vt:lpwstr>צד ב עמודה ג</vt:lpwstr>
  </property>
  <property fmtid="{D5CDD505-2E9C-101B-9397-08002B2CF9AE}" pid="30" name="positiono_col1">
    <vt:lpwstr>צד אחר עמודה א</vt:lpwstr>
  </property>
  <property fmtid="{D5CDD505-2E9C-101B-9397-08002B2CF9AE}" pid="31" name="positiono_col2">
    <vt:lpwstr>צד אחר עמודה ב</vt:lpwstr>
  </property>
  <property fmtid="{D5CDD505-2E9C-101B-9397-08002B2CF9AE}" pid="32" name="positiono_col3">
    <vt:lpwstr>צד אחר עמודה ג</vt:lpwstr>
  </property>
  <property fmtid="{D5CDD505-2E9C-101B-9397-08002B2CF9AE}" pid="33" name="account.tnufa_courtcasenumber">
    <vt:lpwstr>61703-02-18</vt:lpwstr>
  </property>
  <property fmtid="{D5CDD505-2E9C-101B-9397-08002B2CF9AE}" pid="34" name="tnufa_judge.tnufa_courtrole">
    <vt:lpwstr/>
  </property>
  <property fmtid="{D5CDD505-2E9C-101B-9397-08002B2CF9AE}" pid="35" name="tnufa_judge.tnufa_title">
    <vt:lpwstr/>
  </property>
  <property fmtid="{D5CDD505-2E9C-101B-9397-08002B2CF9AE}" pid="36" name="businessunit.tnufa_nameforsigning">
    <vt:lpwstr>מרכז - אזרחי</vt:lpwstr>
  </property>
  <property fmtid="{D5CDD505-2E9C-101B-9397-08002B2CF9AE}" pid="37" name="cs1_documentid">
    <vt:lpwstr>87a19fa5-a94e-e811-887e-005056aa7d62</vt:lpwstr>
  </property>
</Properties>
</file>