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90905A" w14:textId="6F089DCB" w:rsidR="005A60D3" w:rsidRPr="00527525" w:rsidRDefault="005A60D3" w:rsidP="005A60D3">
      <w:pPr>
        <w:jc w:val="center"/>
        <w:rPr>
          <w:rFonts w:ascii="David" w:hAnsi="David" w:cs="David"/>
          <w:b/>
          <w:bCs/>
          <w:sz w:val="28"/>
          <w:szCs w:val="28"/>
        </w:rPr>
      </w:pPr>
      <w:r w:rsidRPr="00527525">
        <w:rPr>
          <w:rFonts w:ascii="David" w:hAnsi="David" w:cs="David"/>
          <w:b/>
          <w:bCs/>
          <w:sz w:val="28"/>
          <w:szCs w:val="28"/>
          <w:rtl/>
        </w:rPr>
        <w:t>השוואת חקיקה מדינתית – חיפוש חוץ-טריטוריאלי</w:t>
      </w:r>
      <w:r w:rsidRPr="00527525">
        <w:rPr>
          <w:rFonts w:ascii="David" w:hAnsi="David" w:cs="David" w:hint="cs"/>
          <w:b/>
          <w:bCs/>
          <w:sz w:val="28"/>
          <w:szCs w:val="28"/>
          <w:rtl/>
        </w:rPr>
        <w:t xml:space="preserve"> / </w:t>
      </w:r>
      <w:r w:rsidRPr="00527525">
        <w:rPr>
          <w:rFonts w:ascii="David" w:hAnsi="David" w:cs="David"/>
          <w:b/>
          <w:bCs/>
          <w:sz w:val="28"/>
          <w:szCs w:val="28"/>
          <w:u w:val="single"/>
          <w:rtl/>
        </w:rPr>
        <w:t xml:space="preserve">גרסה </w:t>
      </w:r>
      <w:r w:rsidRPr="00527525">
        <w:rPr>
          <w:rFonts w:ascii="David" w:hAnsi="David" w:cs="David" w:hint="cs"/>
          <w:b/>
          <w:bCs/>
          <w:sz w:val="28"/>
          <w:szCs w:val="28"/>
          <w:u w:val="single"/>
          <w:rtl/>
        </w:rPr>
        <w:t>קצרה</w:t>
      </w:r>
    </w:p>
    <w:tbl>
      <w:tblPr>
        <w:tblStyle w:val="a3"/>
        <w:bidiVisual/>
        <w:tblW w:w="5000" w:type="pct"/>
        <w:tblLook w:val="04A0" w:firstRow="1" w:lastRow="0" w:firstColumn="1" w:lastColumn="0" w:noHBand="0" w:noVBand="1"/>
      </w:tblPr>
      <w:tblGrid>
        <w:gridCol w:w="1839"/>
        <w:gridCol w:w="2409"/>
        <w:gridCol w:w="3119"/>
        <w:gridCol w:w="2268"/>
        <w:gridCol w:w="2268"/>
        <w:gridCol w:w="3677"/>
      </w:tblGrid>
      <w:tr w:rsidR="00527525" w:rsidRPr="00527525" w14:paraId="4D746B50" w14:textId="62322850" w:rsidTr="00527525">
        <w:tc>
          <w:tcPr>
            <w:tcW w:w="590" w:type="pct"/>
            <w:vAlign w:val="center"/>
          </w:tcPr>
          <w:p w14:paraId="09A5C94D" w14:textId="77777777" w:rsidR="0073175B" w:rsidRPr="00527525" w:rsidRDefault="0073175B" w:rsidP="003C7743">
            <w:pPr>
              <w:jc w:val="center"/>
              <w:rPr>
                <w:rFonts w:ascii="David" w:hAnsi="David" w:cs="David"/>
                <w:sz w:val="23"/>
                <w:szCs w:val="23"/>
              </w:rPr>
            </w:pPr>
          </w:p>
        </w:tc>
        <w:tc>
          <w:tcPr>
            <w:tcW w:w="773" w:type="pct"/>
            <w:shd w:val="clear" w:color="auto" w:fill="D9D9D9" w:themeFill="background1" w:themeFillShade="D9"/>
            <w:vAlign w:val="center"/>
          </w:tcPr>
          <w:p w14:paraId="3828527C" w14:textId="77777777" w:rsidR="0073175B" w:rsidRPr="00527525" w:rsidRDefault="0073175B" w:rsidP="003C7743">
            <w:pPr>
              <w:jc w:val="center"/>
              <w:rPr>
                <w:rFonts w:ascii="David" w:hAnsi="David" w:cs="David"/>
                <w:b/>
                <w:bCs/>
                <w:sz w:val="23"/>
                <w:szCs w:val="23"/>
                <w:rtl/>
              </w:rPr>
            </w:pPr>
            <w:r w:rsidRPr="00527525">
              <w:rPr>
                <w:rFonts w:ascii="David" w:hAnsi="David" w:cs="David" w:hint="cs"/>
                <w:b/>
                <w:bCs/>
                <w:sz w:val="23"/>
                <w:szCs w:val="23"/>
                <w:rtl/>
              </w:rPr>
              <w:t>אוסטרליה</w:t>
            </w:r>
          </w:p>
        </w:tc>
        <w:tc>
          <w:tcPr>
            <w:tcW w:w="1001" w:type="pct"/>
            <w:shd w:val="clear" w:color="auto" w:fill="D9D9D9" w:themeFill="background1" w:themeFillShade="D9"/>
            <w:vAlign w:val="center"/>
          </w:tcPr>
          <w:p w14:paraId="7DF12BC5" w14:textId="77777777" w:rsidR="0073175B" w:rsidRPr="00527525" w:rsidRDefault="0073175B" w:rsidP="003C7743">
            <w:pPr>
              <w:jc w:val="center"/>
              <w:rPr>
                <w:rFonts w:ascii="David" w:hAnsi="David" w:cs="David"/>
                <w:b/>
                <w:bCs/>
                <w:sz w:val="23"/>
                <w:szCs w:val="23"/>
                <w:rtl/>
              </w:rPr>
            </w:pPr>
            <w:r w:rsidRPr="00527525">
              <w:rPr>
                <w:rFonts w:ascii="David" w:hAnsi="David" w:cs="David" w:hint="cs"/>
                <w:b/>
                <w:bCs/>
                <w:sz w:val="23"/>
                <w:szCs w:val="23"/>
                <w:rtl/>
              </w:rPr>
              <w:t>הולנד</w:t>
            </w:r>
          </w:p>
        </w:tc>
        <w:tc>
          <w:tcPr>
            <w:tcW w:w="728" w:type="pct"/>
            <w:shd w:val="clear" w:color="auto" w:fill="D9D9D9" w:themeFill="background1" w:themeFillShade="D9"/>
            <w:vAlign w:val="center"/>
          </w:tcPr>
          <w:p w14:paraId="282924C5" w14:textId="77777777" w:rsidR="0073175B" w:rsidRPr="00527525" w:rsidRDefault="0073175B" w:rsidP="003C7743">
            <w:pPr>
              <w:jc w:val="center"/>
              <w:rPr>
                <w:rFonts w:ascii="David" w:hAnsi="David" w:cs="David"/>
                <w:b/>
                <w:bCs/>
                <w:sz w:val="23"/>
                <w:szCs w:val="23"/>
              </w:rPr>
            </w:pPr>
            <w:r w:rsidRPr="00527525">
              <w:rPr>
                <w:rFonts w:ascii="David" w:hAnsi="David" w:cs="David" w:hint="cs"/>
                <w:b/>
                <w:bCs/>
                <w:sz w:val="23"/>
                <w:szCs w:val="23"/>
                <w:rtl/>
              </w:rPr>
              <w:t>בלגיה</w:t>
            </w:r>
          </w:p>
        </w:tc>
        <w:tc>
          <w:tcPr>
            <w:tcW w:w="728" w:type="pct"/>
            <w:shd w:val="clear" w:color="auto" w:fill="D9D9D9" w:themeFill="background1" w:themeFillShade="D9"/>
            <w:vAlign w:val="center"/>
          </w:tcPr>
          <w:p w14:paraId="4B6BD32E" w14:textId="3ABE3AC3" w:rsidR="0073175B" w:rsidRPr="00527525" w:rsidRDefault="0073175B" w:rsidP="003C7743">
            <w:pPr>
              <w:jc w:val="center"/>
              <w:rPr>
                <w:rFonts w:ascii="David" w:hAnsi="David" w:cs="David"/>
                <w:b/>
                <w:bCs/>
                <w:sz w:val="23"/>
                <w:szCs w:val="23"/>
                <w:rtl/>
              </w:rPr>
            </w:pPr>
            <w:r w:rsidRPr="00527525">
              <w:rPr>
                <w:rFonts w:ascii="David" w:hAnsi="David" w:cs="David" w:hint="cs"/>
                <w:b/>
                <w:bCs/>
                <w:sz w:val="23"/>
                <w:szCs w:val="23"/>
                <w:rtl/>
              </w:rPr>
              <w:t>פורטוגל</w:t>
            </w:r>
          </w:p>
        </w:tc>
        <w:tc>
          <w:tcPr>
            <w:tcW w:w="1180" w:type="pct"/>
            <w:shd w:val="clear" w:color="auto" w:fill="D9D9D9" w:themeFill="background1" w:themeFillShade="D9"/>
            <w:vAlign w:val="center"/>
          </w:tcPr>
          <w:p w14:paraId="39417AC7" w14:textId="55E65087" w:rsidR="0073175B" w:rsidRPr="00527525" w:rsidRDefault="0073175B" w:rsidP="003C7743">
            <w:pPr>
              <w:jc w:val="center"/>
              <w:rPr>
                <w:rFonts w:ascii="David" w:hAnsi="David" w:cs="David"/>
                <w:b/>
                <w:bCs/>
                <w:sz w:val="23"/>
                <w:szCs w:val="23"/>
                <w:rtl/>
              </w:rPr>
            </w:pPr>
            <w:r w:rsidRPr="00527525">
              <w:rPr>
                <w:rFonts w:ascii="David" w:hAnsi="David" w:cs="David" w:hint="cs"/>
                <w:b/>
                <w:bCs/>
                <w:sz w:val="23"/>
                <w:szCs w:val="23"/>
                <w:rtl/>
              </w:rPr>
              <w:t>ארה"ב</w:t>
            </w:r>
          </w:p>
        </w:tc>
      </w:tr>
      <w:tr w:rsidR="00527525" w:rsidRPr="00527525" w14:paraId="42409C97" w14:textId="200FE57C" w:rsidTr="00527525">
        <w:trPr>
          <w:trHeight w:val="1778"/>
        </w:trPr>
        <w:tc>
          <w:tcPr>
            <w:tcW w:w="590" w:type="pct"/>
            <w:shd w:val="clear" w:color="auto" w:fill="D9D9D9" w:themeFill="background1" w:themeFillShade="D9"/>
            <w:vAlign w:val="center"/>
          </w:tcPr>
          <w:p w14:paraId="0645BC6D" w14:textId="3256B49D" w:rsidR="00EA28F6" w:rsidRPr="00527525" w:rsidRDefault="00EA28F6" w:rsidP="00EA28F6">
            <w:pPr>
              <w:jc w:val="center"/>
              <w:rPr>
                <w:rFonts w:ascii="David" w:hAnsi="David" w:cs="David"/>
                <w:sz w:val="23"/>
                <w:szCs w:val="23"/>
                <w:rtl/>
              </w:rPr>
            </w:pPr>
            <w:r w:rsidRPr="00527525">
              <w:rPr>
                <w:rFonts w:ascii="David" w:hAnsi="David" w:cs="David"/>
                <w:sz w:val="23"/>
                <w:szCs w:val="23"/>
                <w:rtl/>
              </w:rPr>
              <w:t xml:space="preserve">האם </w:t>
            </w:r>
            <w:r w:rsidRPr="00527525">
              <w:rPr>
                <w:rFonts w:ascii="David" w:hAnsi="David" w:cs="David" w:hint="cs"/>
                <w:sz w:val="23"/>
                <w:szCs w:val="23"/>
                <w:rtl/>
              </w:rPr>
              <w:t>קיימת הסמכה בחקיקה ל</w:t>
            </w:r>
            <w:r w:rsidRPr="00527525">
              <w:rPr>
                <w:rFonts w:ascii="David" w:hAnsi="David" w:cs="David"/>
                <w:sz w:val="23"/>
                <w:szCs w:val="23"/>
                <w:rtl/>
              </w:rPr>
              <w:t>חיפוש מידע באופן חוץ-טריטוריאלי</w:t>
            </w:r>
            <w:r w:rsidRPr="00527525">
              <w:rPr>
                <w:rFonts w:ascii="David" w:hAnsi="David" w:cs="David" w:hint="cs"/>
                <w:sz w:val="23"/>
                <w:szCs w:val="23"/>
                <w:rtl/>
              </w:rPr>
              <w:t>?</w:t>
            </w:r>
          </w:p>
        </w:tc>
        <w:tc>
          <w:tcPr>
            <w:tcW w:w="773" w:type="pct"/>
            <w:vAlign w:val="center"/>
          </w:tcPr>
          <w:p w14:paraId="6E22E6BB" w14:textId="0D421DB9" w:rsidR="00EA28F6" w:rsidRPr="00527525" w:rsidRDefault="00EA28F6" w:rsidP="00EA28F6">
            <w:pPr>
              <w:jc w:val="center"/>
              <w:rPr>
                <w:rFonts w:ascii="David" w:hAnsi="David" w:cs="David"/>
                <w:sz w:val="23"/>
                <w:szCs w:val="23"/>
                <w:rtl/>
              </w:rPr>
            </w:pPr>
            <w:r w:rsidRPr="00527525">
              <w:rPr>
                <w:rFonts w:ascii="David" w:hAnsi="David" w:cs="David" w:hint="cs"/>
                <w:sz w:val="23"/>
                <w:szCs w:val="23"/>
                <w:rtl/>
              </w:rPr>
              <w:t>כן</w:t>
            </w:r>
          </w:p>
        </w:tc>
        <w:tc>
          <w:tcPr>
            <w:tcW w:w="1001" w:type="pct"/>
            <w:vAlign w:val="center"/>
          </w:tcPr>
          <w:p w14:paraId="4BFA82C1" w14:textId="4EA3FB41" w:rsidR="00EA28F6" w:rsidRPr="00527525" w:rsidRDefault="00EA28F6" w:rsidP="00EA28F6">
            <w:pPr>
              <w:jc w:val="center"/>
              <w:rPr>
                <w:rFonts w:ascii="David" w:hAnsi="David" w:cs="David"/>
                <w:sz w:val="23"/>
                <w:szCs w:val="23"/>
                <w:rtl/>
              </w:rPr>
            </w:pPr>
            <w:r w:rsidRPr="00527525">
              <w:rPr>
                <w:rFonts w:ascii="David" w:hAnsi="David" w:cs="David" w:hint="cs"/>
                <w:sz w:val="23"/>
                <w:szCs w:val="23"/>
                <w:rtl/>
              </w:rPr>
              <w:t>כן</w:t>
            </w:r>
          </w:p>
        </w:tc>
        <w:tc>
          <w:tcPr>
            <w:tcW w:w="728" w:type="pct"/>
            <w:vAlign w:val="center"/>
          </w:tcPr>
          <w:p w14:paraId="6476F277" w14:textId="54D61DD5" w:rsidR="00EA28F6" w:rsidRPr="00527525" w:rsidRDefault="00EA28F6" w:rsidP="00EA28F6">
            <w:pPr>
              <w:jc w:val="center"/>
              <w:rPr>
                <w:rFonts w:ascii="David" w:hAnsi="David" w:cs="David"/>
                <w:sz w:val="23"/>
                <w:szCs w:val="23"/>
              </w:rPr>
            </w:pPr>
            <w:r w:rsidRPr="00527525">
              <w:rPr>
                <w:rFonts w:ascii="David" w:hAnsi="David" w:cs="David" w:hint="cs"/>
                <w:sz w:val="23"/>
                <w:szCs w:val="23"/>
                <w:rtl/>
              </w:rPr>
              <w:t>כן</w:t>
            </w:r>
          </w:p>
        </w:tc>
        <w:tc>
          <w:tcPr>
            <w:tcW w:w="728" w:type="pct"/>
            <w:vAlign w:val="center"/>
          </w:tcPr>
          <w:p w14:paraId="1EEBE428" w14:textId="47DC8C2D" w:rsidR="00EA28F6" w:rsidRPr="00527525" w:rsidRDefault="00EA28F6" w:rsidP="00EA28F6">
            <w:pPr>
              <w:bidi w:val="0"/>
              <w:jc w:val="center"/>
              <w:rPr>
                <w:rFonts w:ascii="David" w:hAnsi="David" w:cs="David"/>
                <w:sz w:val="23"/>
                <w:szCs w:val="23"/>
              </w:rPr>
            </w:pPr>
            <w:r w:rsidRPr="00527525">
              <w:rPr>
                <w:rFonts w:ascii="David" w:hAnsi="David" w:cs="David" w:hint="cs"/>
                <w:sz w:val="23"/>
                <w:szCs w:val="23"/>
                <w:rtl/>
              </w:rPr>
              <w:t>הסמכות אינה כתובה בחקיקה, אלא מתבססת על פרשנות גורמים מדינתיים.</w:t>
            </w:r>
          </w:p>
        </w:tc>
        <w:tc>
          <w:tcPr>
            <w:tcW w:w="1180" w:type="pct"/>
            <w:shd w:val="clear" w:color="auto" w:fill="auto"/>
            <w:vAlign w:val="center"/>
          </w:tcPr>
          <w:p w14:paraId="1CE37A93" w14:textId="0CF08481" w:rsidR="00EA28F6" w:rsidRPr="00527525" w:rsidRDefault="00EA28F6" w:rsidP="00F24173">
            <w:pPr>
              <w:jc w:val="center"/>
              <w:rPr>
                <w:rFonts w:ascii="David" w:hAnsi="David" w:cs="David"/>
                <w:sz w:val="23"/>
                <w:szCs w:val="23"/>
              </w:rPr>
            </w:pPr>
            <w:r w:rsidRPr="00527525">
              <w:rPr>
                <w:rFonts w:ascii="David" w:hAnsi="David" w:cs="David" w:hint="cs"/>
                <w:sz w:val="23"/>
                <w:szCs w:val="23"/>
                <w:rtl/>
              </w:rPr>
              <w:t xml:space="preserve">החוק מסמיך את </w:t>
            </w:r>
            <w:r w:rsidR="00F24173" w:rsidRPr="00527525">
              <w:rPr>
                <w:rFonts w:ascii="David" w:hAnsi="David" w:cs="David" w:hint="cs"/>
                <w:sz w:val="23"/>
                <w:szCs w:val="23"/>
                <w:rtl/>
              </w:rPr>
              <w:t>בית המשפט לאשר</w:t>
            </w:r>
            <w:r w:rsidRPr="00527525">
              <w:rPr>
                <w:rFonts w:ascii="David" w:hAnsi="David" w:cs="David" w:hint="cs"/>
                <w:sz w:val="23"/>
                <w:szCs w:val="23"/>
                <w:rtl/>
              </w:rPr>
              <w:t xml:space="preserve"> חיפוש</w:t>
            </w:r>
            <w:r w:rsidR="00584E8E" w:rsidRPr="00527525">
              <w:rPr>
                <w:rFonts w:ascii="David" w:hAnsi="David" w:cs="David" w:hint="cs"/>
                <w:sz w:val="23"/>
                <w:szCs w:val="23"/>
                <w:rtl/>
              </w:rPr>
              <w:t xml:space="preserve"> </w:t>
            </w:r>
            <w:r w:rsidR="00BB1503" w:rsidRPr="00527525">
              <w:rPr>
                <w:rFonts w:ascii="David" w:hAnsi="David" w:cs="David" w:hint="cs"/>
                <w:sz w:val="23"/>
                <w:szCs w:val="23"/>
                <w:rtl/>
              </w:rPr>
              <w:t>"בתוך ומחוץ למחוז"</w:t>
            </w:r>
            <w:r w:rsidRPr="00527525">
              <w:rPr>
                <w:rFonts w:ascii="David" w:hAnsi="David" w:cs="David" w:hint="cs"/>
                <w:sz w:val="23"/>
                <w:szCs w:val="23"/>
                <w:rtl/>
              </w:rPr>
              <w:t xml:space="preserve"> במצבים בהם המיקום אינו ידוע או הוסתר בכוונה. משרד המשפטים הבהיר שהסמכה זאת אינה מכשירה חיפושים מחוץ לשטח ארה"ב. עם זאת, מלומדים הביעו עמדה לפיה אי ידיעת מיקום המכשיר יכולה להביא למצב שבו החיפוש יתבצע מחוץ לאדמת ארה"ב.</w:t>
            </w:r>
          </w:p>
        </w:tc>
      </w:tr>
      <w:tr w:rsidR="00527525" w:rsidRPr="00527525" w14:paraId="53954484" w14:textId="77777777" w:rsidTr="00527525">
        <w:trPr>
          <w:trHeight w:val="1213"/>
        </w:trPr>
        <w:tc>
          <w:tcPr>
            <w:tcW w:w="590" w:type="pct"/>
            <w:shd w:val="clear" w:color="auto" w:fill="D9D9D9" w:themeFill="background1" w:themeFillShade="D9"/>
            <w:vAlign w:val="center"/>
          </w:tcPr>
          <w:p w14:paraId="49400378" w14:textId="5A52102B"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האם הדין המקומי דורש</w:t>
            </w:r>
            <w:r w:rsidRPr="00527525">
              <w:rPr>
                <w:rFonts w:ascii="David" w:hAnsi="David" w:cs="David" w:hint="cs"/>
                <w:sz w:val="23"/>
                <w:szCs w:val="23"/>
                <w:rtl/>
              </w:rPr>
              <w:t xml:space="preserve"> את</w:t>
            </w:r>
            <w:r w:rsidRPr="00527525">
              <w:rPr>
                <w:rFonts w:ascii="David" w:hAnsi="David" w:cs="David" w:hint="cs"/>
                <w:sz w:val="23"/>
                <w:szCs w:val="23"/>
                <w:rtl/>
              </w:rPr>
              <w:t xml:space="preserve"> הסכמת המדינה בה מתבצע החיפוש או שדי בידוע</w:t>
            </w:r>
            <w:r w:rsidRPr="00527525">
              <w:rPr>
                <w:rFonts w:ascii="David" w:hAnsi="David" w:cs="David" w:hint="cs"/>
                <w:sz w:val="23"/>
                <w:szCs w:val="23"/>
                <w:rtl/>
              </w:rPr>
              <w:t xml:space="preserve"> שלה</w:t>
            </w:r>
            <w:r w:rsidRPr="00527525">
              <w:rPr>
                <w:rFonts w:ascii="David" w:hAnsi="David" w:cs="David" w:hint="cs"/>
                <w:sz w:val="23"/>
                <w:szCs w:val="23"/>
                <w:rtl/>
              </w:rPr>
              <w:t>, ככל שזהותה ידועה?</w:t>
            </w:r>
          </w:p>
        </w:tc>
        <w:tc>
          <w:tcPr>
            <w:tcW w:w="773" w:type="pct"/>
            <w:vAlign w:val="center"/>
          </w:tcPr>
          <w:p w14:paraId="37D1EBD6" w14:textId="7F35A11B"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נדרשת הסכמה</w:t>
            </w:r>
          </w:p>
        </w:tc>
        <w:tc>
          <w:tcPr>
            <w:tcW w:w="1001" w:type="pct"/>
            <w:vAlign w:val="center"/>
          </w:tcPr>
          <w:p w14:paraId="0B513109" w14:textId="3EE01B00"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 xml:space="preserve">נדרשת </w:t>
            </w:r>
            <w:r w:rsidRPr="00527525">
              <w:rPr>
                <w:rFonts w:ascii="David" w:hAnsi="David" w:cs="David" w:hint="cs"/>
                <w:sz w:val="23"/>
                <w:szCs w:val="23"/>
                <w:rtl/>
              </w:rPr>
              <w:t>הסכמה</w:t>
            </w:r>
          </w:p>
        </w:tc>
        <w:tc>
          <w:tcPr>
            <w:tcW w:w="728" w:type="pct"/>
            <w:vAlign w:val="center"/>
          </w:tcPr>
          <w:p w14:paraId="44D2D3E7" w14:textId="33CD2734"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 xml:space="preserve">נדרש </w:t>
            </w:r>
            <w:r w:rsidRPr="00527525">
              <w:rPr>
                <w:rFonts w:ascii="David" w:hAnsi="David" w:cs="David" w:hint="cs"/>
                <w:sz w:val="23"/>
                <w:szCs w:val="23"/>
                <w:rtl/>
              </w:rPr>
              <w:t>יידוע</w:t>
            </w:r>
            <w:r w:rsidRPr="00527525">
              <w:rPr>
                <w:rFonts w:ascii="David" w:hAnsi="David" w:cs="David" w:hint="cs"/>
                <w:sz w:val="23"/>
                <w:szCs w:val="23"/>
                <w:rtl/>
              </w:rPr>
              <w:t xml:space="preserve"> בלבד, בהינתן שזהות המדינה יידועה</w:t>
            </w:r>
          </w:p>
        </w:tc>
        <w:tc>
          <w:tcPr>
            <w:tcW w:w="728" w:type="pct"/>
            <w:vAlign w:val="center"/>
          </w:tcPr>
          <w:p w14:paraId="67181025" w14:textId="5AAB06EA"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אין התייחסות מפורשת בחקיקה.</w:t>
            </w:r>
          </w:p>
        </w:tc>
        <w:tc>
          <w:tcPr>
            <w:tcW w:w="1180" w:type="pct"/>
            <w:shd w:val="clear" w:color="auto" w:fill="auto"/>
            <w:vAlign w:val="center"/>
          </w:tcPr>
          <w:p w14:paraId="2130435F" w14:textId="41D99E2B" w:rsidR="00BB1503" w:rsidRPr="00527525" w:rsidRDefault="00BB1503" w:rsidP="00BB1503">
            <w:pPr>
              <w:jc w:val="center"/>
              <w:rPr>
                <w:rFonts w:ascii="David" w:hAnsi="David" w:cs="David"/>
                <w:sz w:val="23"/>
                <w:szCs w:val="23"/>
              </w:rPr>
            </w:pPr>
            <w:r w:rsidRPr="00527525">
              <w:rPr>
                <w:rFonts w:ascii="David" w:hAnsi="David" w:cs="David" w:hint="cs"/>
                <w:sz w:val="23"/>
                <w:szCs w:val="23"/>
                <w:rtl/>
              </w:rPr>
              <w:t xml:space="preserve">אין דרישה להסכמה או יידוע, אך נהלים אחרים דורשים הסכמה של מדינה זרה לביצוע חקירות של ספקי אינטרנט בשטחה. </w:t>
            </w:r>
          </w:p>
        </w:tc>
      </w:tr>
      <w:tr w:rsidR="00527525" w:rsidRPr="00527525" w14:paraId="5F3F8EFB" w14:textId="3DDD86C0" w:rsidTr="00527525">
        <w:tc>
          <w:tcPr>
            <w:tcW w:w="590" w:type="pct"/>
            <w:shd w:val="clear" w:color="auto" w:fill="D9D9D9" w:themeFill="background1" w:themeFillShade="D9"/>
            <w:vAlign w:val="center"/>
          </w:tcPr>
          <w:p w14:paraId="6B5A0944" w14:textId="49DC0586" w:rsidR="002E010C" w:rsidRPr="00527525" w:rsidRDefault="002E010C" w:rsidP="002E010C">
            <w:pPr>
              <w:jc w:val="center"/>
              <w:rPr>
                <w:rFonts w:ascii="David" w:hAnsi="David" w:cs="David"/>
                <w:sz w:val="23"/>
                <w:szCs w:val="23"/>
                <w:rtl/>
              </w:rPr>
            </w:pPr>
            <w:r w:rsidRPr="00527525">
              <w:rPr>
                <w:rFonts w:ascii="David" w:hAnsi="David" w:cs="David"/>
                <w:sz w:val="23"/>
                <w:szCs w:val="23"/>
                <w:rtl/>
              </w:rPr>
              <w:t xml:space="preserve">האם קיימת סמכות להמשיך את החיפוש במצב </w:t>
            </w:r>
            <w:r w:rsidRPr="00527525">
              <w:rPr>
                <w:rFonts w:ascii="David" w:hAnsi="David" w:cs="David" w:hint="cs"/>
                <w:sz w:val="23"/>
                <w:szCs w:val="23"/>
                <w:rtl/>
              </w:rPr>
              <w:t>שמיקום המידע אינו ידוע?</w:t>
            </w:r>
          </w:p>
        </w:tc>
        <w:tc>
          <w:tcPr>
            <w:tcW w:w="773" w:type="pct"/>
            <w:vAlign w:val="center"/>
          </w:tcPr>
          <w:p w14:paraId="4D914053" w14:textId="7C66E80D" w:rsidR="002E010C" w:rsidRPr="00527525" w:rsidRDefault="002E010C" w:rsidP="002E010C">
            <w:pPr>
              <w:jc w:val="center"/>
              <w:rPr>
                <w:rFonts w:ascii="David" w:hAnsi="David" w:cs="David"/>
                <w:sz w:val="23"/>
                <w:szCs w:val="23"/>
                <w:rtl/>
              </w:rPr>
            </w:pPr>
            <w:r w:rsidRPr="00527525">
              <w:rPr>
                <w:rFonts w:ascii="David" w:hAnsi="David" w:cs="David"/>
                <w:sz w:val="23"/>
                <w:szCs w:val="23"/>
                <w:rtl/>
              </w:rPr>
              <w:t>כן</w:t>
            </w:r>
            <w:r w:rsidRPr="00527525">
              <w:rPr>
                <w:rFonts w:ascii="David" w:hAnsi="David" w:cs="David" w:hint="cs"/>
                <w:sz w:val="23"/>
                <w:szCs w:val="23"/>
                <w:rtl/>
              </w:rPr>
              <w:t>, בהינתן שלא ניתן לקבוע את המיקום בצורה סבירה</w:t>
            </w:r>
            <w:r w:rsidRPr="00527525">
              <w:rPr>
                <w:rFonts w:ascii="David" w:hAnsi="David" w:cs="David" w:hint="cs"/>
                <w:sz w:val="23"/>
                <w:szCs w:val="23"/>
                <w:rtl/>
              </w:rPr>
              <w:t>.</w:t>
            </w:r>
          </w:p>
        </w:tc>
        <w:tc>
          <w:tcPr>
            <w:tcW w:w="1001" w:type="pct"/>
            <w:vAlign w:val="center"/>
          </w:tcPr>
          <w:p w14:paraId="1797C60B" w14:textId="70976E14" w:rsidR="002E010C" w:rsidRPr="00527525" w:rsidRDefault="002E010C" w:rsidP="002E010C">
            <w:pPr>
              <w:tabs>
                <w:tab w:val="left" w:pos="2613"/>
              </w:tabs>
              <w:jc w:val="center"/>
              <w:rPr>
                <w:rFonts w:ascii="David" w:hAnsi="David" w:cs="David"/>
                <w:sz w:val="23"/>
                <w:szCs w:val="23"/>
              </w:rPr>
            </w:pPr>
            <w:r w:rsidRPr="00527525">
              <w:rPr>
                <w:rFonts w:ascii="David" w:hAnsi="David" w:cs="David"/>
                <w:sz w:val="23"/>
                <w:szCs w:val="23"/>
                <w:rtl/>
              </w:rPr>
              <w:t>כן</w:t>
            </w:r>
            <w:r w:rsidRPr="00527525">
              <w:rPr>
                <w:rFonts w:ascii="David" w:hAnsi="David" w:cs="David" w:hint="cs"/>
                <w:sz w:val="23"/>
                <w:szCs w:val="23"/>
                <w:rtl/>
              </w:rPr>
              <w:t>, בהינתן שלא ניתן לקבוע את המיקום בצורה סבירה</w:t>
            </w:r>
            <w:r w:rsidRPr="00527525">
              <w:rPr>
                <w:rFonts w:ascii="David" w:hAnsi="David" w:cs="David" w:hint="cs"/>
                <w:sz w:val="23"/>
                <w:szCs w:val="23"/>
                <w:rtl/>
              </w:rPr>
              <w:t>.</w:t>
            </w:r>
          </w:p>
        </w:tc>
        <w:tc>
          <w:tcPr>
            <w:tcW w:w="728" w:type="pct"/>
            <w:shd w:val="clear" w:color="auto" w:fill="auto"/>
            <w:vAlign w:val="center"/>
          </w:tcPr>
          <w:p w14:paraId="3495508A" w14:textId="6065CE4E" w:rsidR="002E010C" w:rsidRPr="00527525" w:rsidRDefault="002E010C" w:rsidP="002E010C">
            <w:pPr>
              <w:jc w:val="center"/>
              <w:rPr>
                <w:rFonts w:ascii="David" w:hAnsi="David" w:cs="David"/>
                <w:sz w:val="23"/>
                <w:szCs w:val="23"/>
              </w:rPr>
            </w:pPr>
            <w:r w:rsidRPr="00527525">
              <w:rPr>
                <w:rFonts w:ascii="David" w:hAnsi="David" w:cs="David" w:hint="cs"/>
                <w:sz w:val="23"/>
                <w:szCs w:val="23"/>
                <w:rtl/>
              </w:rPr>
              <w:t>אין התייחסות</w:t>
            </w:r>
            <w:r w:rsidR="008313F5" w:rsidRPr="00527525">
              <w:rPr>
                <w:rFonts w:ascii="David" w:hAnsi="David" w:cs="David" w:hint="cs"/>
                <w:sz w:val="23"/>
                <w:szCs w:val="23"/>
                <w:rtl/>
              </w:rPr>
              <w:t xml:space="preserve"> מפורשת</w:t>
            </w:r>
            <w:r w:rsidRPr="00527525">
              <w:rPr>
                <w:rFonts w:ascii="David" w:hAnsi="David" w:cs="David" w:hint="cs"/>
                <w:sz w:val="23"/>
                <w:szCs w:val="23"/>
                <w:rtl/>
              </w:rPr>
              <w:t xml:space="preserve"> בחקיקה</w:t>
            </w:r>
            <w:r w:rsidR="008313F5" w:rsidRPr="00527525">
              <w:rPr>
                <w:rFonts w:ascii="David" w:hAnsi="David" w:cs="David" w:hint="cs"/>
                <w:sz w:val="23"/>
                <w:szCs w:val="23"/>
                <w:rtl/>
              </w:rPr>
              <w:t>.</w:t>
            </w:r>
          </w:p>
        </w:tc>
        <w:tc>
          <w:tcPr>
            <w:tcW w:w="728" w:type="pct"/>
            <w:vAlign w:val="center"/>
          </w:tcPr>
          <w:p w14:paraId="2676F169" w14:textId="615D560A" w:rsidR="002E010C" w:rsidRPr="00527525" w:rsidRDefault="00EA28F6" w:rsidP="002E010C">
            <w:pPr>
              <w:jc w:val="center"/>
              <w:rPr>
                <w:rFonts w:ascii="David" w:hAnsi="David" w:cs="David" w:hint="cs"/>
                <w:sz w:val="23"/>
                <w:szCs w:val="23"/>
                <w:rtl/>
              </w:rPr>
            </w:pPr>
            <w:r w:rsidRPr="00527525">
              <w:rPr>
                <w:rFonts w:ascii="David" w:hAnsi="David" w:cs="David" w:hint="cs"/>
                <w:sz w:val="23"/>
                <w:szCs w:val="23"/>
                <w:rtl/>
              </w:rPr>
              <w:t>הסמכות אינה כתובה בחקיקה, אלא מתבססת על פרשנות גורמים מדינתיים.</w:t>
            </w:r>
          </w:p>
        </w:tc>
        <w:tc>
          <w:tcPr>
            <w:tcW w:w="1180" w:type="pct"/>
            <w:vAlign w:val="center"/>
          </w:tcPr>
          <w:p w14:paraId="7687487E" w14:textId="1D0B93B4" w:rsidR="002E010C" w:rsidRPr="00527525" w:rsidRDefault="00584E8E" w:rsidP="002E010C">
            <w:pPr>
              <w:jc w:val="center"/>
              <w:rPr>
                <w:rFonts w:ascii="David" w:hAnsi="David" w:cs="David"/>
                <w:sz w:val="23"/>
                <w:szCs w:val="23"/>
                <w:rtl/>
              </w:rPr>
            </w:pPr>
            <w:r w:rsidRPr="00527525">
              <w:rPr>
                <w:rFonts w:ascii="David" w:hAnsi="David" w:cs="David" w:hint="cs"/>
                <w:sz w:val="23"/>
                <w:szCs w:val="23"/>
                <w:rtl/>
              </w:rPr>
              <w:t xml:space="preserve">לשון החוק מתירה חיפוש חוץ טריטוריאלי במצבים </w:t>
            </w:r>
            <w:r w:rsidRPr="00527525">
              <w:rPr>
                <w:rFonts w:ascii="David" w:hAnsi="David" w:cs="David" w:hint="cs"/>
                <w:sz w:val="23"/>
                <w:szCs w:val="23"/>
                <w:rtl/>
              </w:rPr>
              <w:t>בהם המיקום אינו ידוע או הוסתר בכוונה</w:t>
            </w:r>
            <w:r w:rsidRPr="00527525">
              <w:rPr>
                <w:rFonts w:ascii="David" w:hAnsi="David" w:cs="David" w:hint="cs"/>
                <w:sz w:val="23"/>
                <w:szCs w:val="23"/>
                <w:rtl/>
              </w:rPr>
              <w:t>. עם זאת, קיימת מחלוקת ביחס למשמעות המעשית של הסמכות (ראו מעלה).</w:t>
            </w:r>
          </w:p>
        </w:tc>
      </w:tr>
      <w:tr w:rsidR="00527525" w:rsidRPr="00527525" w14:paraId="6A1BC98C" w14:textId="77777777" w:rsidTr="00527525">
        <w:trPr>
          <w:trHeight w:val="1450"/>
        </w:trPr>
        <w:tc>
          <w:tcPr>
            <w:tcW w:w="590" w:type="pct"/>
            <w:shd w:val="clear" w:color="auto" w:fill="D9D9D9" w:themeFill="background1" w:themeFillShade="D9"/>
            <w:vAlign w:val="center"/>
          </w:tcPr>
          <w:p w14:paraId="2C6B24CE" w14:textId="702FDEB1"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 xml:space="preserve"> האם קיימת הגבלה על החיפוש כך שיחול רק בעבירות עם עונש מסוים?</w:t>
            </w:r>
          </w:p>
        </w:tc>
        <w:tc>
          <w:tcPr>
            <w:tcW w:w="773" w:type="pct"/>
            <w:vAlign w:val="center"/>
          </w:tcPr>
          <w:p w14:paraId="256FB78C" w14:textId="3A093034"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החיפוש חל ביחס לעבירות</w:t>
            </w:r>
            <w:r w:rsidRPr="00527525">
              <w:rPr>
                <w:rFonts w:ascii="David" w:hAnsi="David" w:cs="David"/>
                <w:sz w:val="23"/>
                <w:szCs w:val="23"/>
                <w:rtl/>
              </w:rPr>
              <w:t xml:space="preserve">  </w:t>
            </w:r>
            <w:r w:rsidRPr="00527525">
              <w:rPr>
                <w:rFonts w:ascii="David" w:hAnsi="David" w:cs="David" w:hint="cs"/>
                <w:sz w:val="23"/>
                <w:szCs w:val="23"/>
                <w:rtl/>
              </w:rPr>
              <w:t>שעונש המאסר המירבי בגינן הוא 3 שנים; או</w:t>
            </w:r>
            <w:r w:rsidRPr="00527525">
              <w:rPr>
                <w:rFonts w:ascii="David" w:hAnsi="David" w:cs="David" w:hint="cs"/>
                <w:sz w:val="23"/>
                <w:szCs w:val="23"/>
                <w:rtl/>
              </w:rPr>
              <w:t xml:space="preserve"> שהעבירה מנויה ב</w:t>
            </w:r>
            <w:r w:rsidRPr="00527525">
              <w:rPr>
                <w:rFonts w:ascii="David" w:hAnsi="David" w:cs="David" w:hint="cs"/>
                <w:sz w:val="23"/>
                <w:szCs w:val="23"/>
                <w:rtl/>
              </w:rPr>
              <w:t>רשימה</w:t>
            </w:r>
            <w:r w:rsidRPr="00527525">
              <w:rPr>
                <w:rFonts w:ascii="David" w:hAnsi="David" w:cs="David"/>
                <w:sz w:val="23"/>
                <w:szCs w:val="23"/>
                <w:rtl/>
              </w:rPr>
              <w:t xml:space="preserve"> עבירות סגורה (למשל, בהלבנת כספים, מימון טרור).</w:t>
            </w:r>
          </w:p>
        </w:tc>
        <w:tc>
          <w:tcPr>
            <w:tcW w:w="1001" w:type="pct"/>
            <w:vAlign w:val="center"/>
          </w:tcPr>
          <w:p w14:paraId="49E13EFD" w14:textId="07ABC2A0" w:rsidR="00BB1503" w:rsidRPr="00527525" w:rsidRDefault="00BB1503" w:rsidP="00BB1503">
            <w:pPr>
              <w:tabs>
                <w:tab w:val="left" w:pos="2613"/>
              </w:tabs>
              <w:jc w:val="center"/>
              <w:rPr>
                <w:rFonts w:ascii="David" w:hAnsi="David" w:cs="David"/>
                <w:sz w:val="23"/>
                <w:szCs w:val="23"/>
                <w:rtl/>
              </w:rPr>
            </w:pPr>
            <w:r w:rsidRPr="00527525">
              <w:rPr>
                <w:rFonts w:ascii="David" w:hAnsi="David" w:cs="David" w:hint="cs"/>
                <w:sz w:val="23"/>
                <w:szCs w:val="23"/>
                <w:rtl/>
              </w:rPr>
              <w:t>החיפוש חל ביחס לעבירות שעונש המאסר בגינן הוא לפחות 4 שנים; או שהעבירה מנויה ברשימת עבירות סגורה.</w:t>
            </w:r>
          </w:p>
        </w:tc>
        <w:tc>
          <w:tcPr>
            <w:tcW w:w="728" w:type="pct"/>
            <w:shd w:val="clear" w:color="auto" w:fill="auto"/>
            <w:vAlign w:val="center"/>
          </w:tcPr>
          <w:p w14:paraId="613A548A" w14:textId="730A1D81" w:rsidR="00BB1503" w:rsidRPr="00527525" w:rsidRDefault="00BB1503" w:rsidP="00BB1503">
            <w:pPr>
              <w:jc w:val="center"/>
              <w:rPr>
                <w:rFonts w:ascii="David" w:hAnsi="David" w:cs="David" w:hint="cs"/>
                <w:sz w:val="23"/>
                <w:szCs w:val="23"/>
                <w:rtl/>
              </w:rPr>
            </w:pPr>
            <w:r w:rsidRPr="00527525">
              <w:rPr>
                <w:rFonts w:ascii="David" w:hAnsi="David" w:cs="David" w:hint="cs"/>
                <w:sz w:val="23"/>
                <w:szCs w:val="23"/>
                <w:rtl/>
              </w:rPr>
              <w:t>לא נמצאה התייחסות מפורשת בחקיקה.</w:t>
            </w:r>
          </w:p>
        </w:tc>
        <w:tc>
          <w:tcPr>
            <w:tcW w:w="728" w:type="pct"/>
            <w:vAlign w:val="center"/>
          </w:tcPr>
          <w:p w14:paraId="15CA09CD" w14:textId="0C575F7F" w:rsidR="00BB1503" w:rsidRPr="00527525" w:rsidRDefault="00BB1503" w:rsidP="00BB1503">
            <w:pPr>
              <w:jc w:val="center"/>
              <w:rPr>
                <w:rFonts w:ascii="David" w:hAnsi="David" w:cs="David" w:hint="cs"/>
                <w:sz w:val="23"/>
                <w:szCs w:val="23"/>
                <w:rtl/>
              </w:rPr>
            </w:pPr>
            <w:r w:rsidRPr="00527525">
              <w:rPr>
                <w:rFonts w:ascii="David" w:hAnsi="David" w:cs="David" w:hint="cs"/>
                <w:sz w:val="23"/>
                <w:szCs w:val="23"/>
                <w:rtl/>
              </w:rPr>
              <w:t>לא נמצאה התייחסות מפורשת בחקיקה.</w:t>
            </w:r>
          </w:p>
        </w:tc>
        <w:tc>
          <w:tcPr>
            <w:tcW w:w="1180" w:type="pct"/>
            <w:vAlign w:val="center"/>
          </w:tcPr>
          <w:p w14:paraId="02E6C4E2" w14:textId="038CA6EB" w:rsidR="00BB1503" w:rsidRPr="00527525" w:rsidRDefault="00BB1503" w:rsidP="00BB1503">
            <w:pPr>
              <w:jc w:val="center"/>
              <w:rPr>
                <w:rFonts w:ascii="David" w:hAnsi="David" w:cs="David" w:hint="cs"/>
                <w:sz w:val="23"/>
                <w:szCs w:val="23"/>
                <w:rtl/>
              </w:rPr>
            </w:pPr>
            <w:r w:rsidRPr="00527525">
              <w:rPr>
                <w:rFonts w:ascii="David" w:hAnsi="David" w:cs="David" w:hint="cs"/>
                <w:sz w:val="23"/>
                <w:szCs w:val="23"/>
                <w:rtl/>
              </w:rPr>
              <w:t>לא נמצאה התייחסות מפורשת בחקיקה.</w:t>
            </w:r>
          </w:p>
        </w:tc>
      </w:tr>
      <w:tr w:rsidR="00527525" w:rsidRPr="00527525" w14:paraId="532525C0" w14:textId="3EF4F452" w:rsidTr="00527525">
        <w:trPr>
          <w:trHeight w:val="2119"/>
        </w:trPr>
        <w:tc>
          <w:tcPr>
            <w:tcW w:w="590" w:type="pct"/>
            <w:shd w:val="clear" w:color="auto" w:fill="D9D9D9" w:themeFill="background1" w:themeFillShade="D9"/>
            <w:vAlign w:val="center"/>
          </w:tcPr>
          <w:p w14:paraId="245D0CA6" w14:textId="63CDCA7B" w:rsidR="00BB1503" w:rsidRPr="00527525" w:rsidRDefault="00BB1503" w:rsidP="00BB1503">
            <w:pPr>
              <w:jc w:val="center"/>
              <w:rPr>
                <w:rFonts w:ascii="David" w:hAnsi="David" w:cs="David" w:hint="cs"/>
                <w:sz w:val="23"/>
                <w:szCs w:val="23"/>
                <w:rtl/>
              </w:rPr>
            </w:pPr>
            <w:r w:rsidRPr="00527525">
              <w:rPr>
                <w:rFonts w:ascii="David" w:hAnsi="David" w:cs="David" w:hint="cs"/>
                <w:sz w:val="23"/>
                <w:szCs w:val="23"/>
                <w:rtl/>
              </w:rPr>
              <w:t>מהן הפעולות שנכללות במסגרת החיפוש?</w:t>
            </w:r>
          </w:p>
        </w:tc>
        <w:tc>
          <w:tcPr>
            <w:tcW w:w="773" w:type="pct"/>
            <w:shd w:val="clear" w:color="auto" w:fill="auto"/>
            <w:vAlign w:val="center"/>
          </w:tcPr>
          <w:p w14:paraId="1F3B3CB1" w14:textId="6839F7BE" w:rsidR="00BB1503" w:rsidRPr="00527525" w:rsidRDefault="00BB1503" w:rsidP="00BB1503">
            <w:pPr>
              <w:jc w:val="center"/>
              <w:rPr>
                <w:rFonts w:ascii="David" w:hAnsi="David" w:cs="David"/>
                <w:sz w:val="23"/>
                <w:szCs w:val="23"/>
              </w:rPr>
            </w:pPr>
            <w:r w:rsidRPr="00527525">
              <w:rPr>
                <w:rFonts w:ascii="David" w:hAnsi="David" w:cs="David" w:hint="cs"/>
                <w:sz w:val="23"/>
                <w:szCs w:val="23"/>
                <w:rtl/>
              </w:rPr>
              <w:t>אין התייחסות בחקיקה</w:t>
            </w:r>
          </w:p>
        </w:tc>
        <w:tc>
          <w:tcPr>
            <w:tcW w:w="1001" w:type="pct"/>
            <w:vAlign w:val="center"/>
          </w:tcPr>
          <w:p w14:paraId="439B2322" w14:textId="2037990A" w:rsidR="00BB1503" w:rsidRPr="00527525" w:rsidRDefault="00BB1503" w:rsidP="00BB1503">
            <w:pPr>
              <w:autoSpaceDE w:val="0"/>
              <w:autoSpaceDN w:val="0"/>
              <w:adjustRightInd w:val="0"/>
              <w:jc w:val="center"/>
              <w:rPr>
                <w:rFonts w:ascii="David" w:hAnsi="David" w:cs="David"/>
                <w:i/>
                <w:iCs/>
                <w:color w:val="333333"/>
                <w:sz w:val="23"/>
                <w:szCs w:val="23"/>
                <w:shd w:val="clear" w:color="auto" w:fill="FFFFFF"/>
              </w:rPr>
            </w:pPr>
            <w:r w:rsidRPr="00527525">
              <w:rPr>
                <w:rFonts w:ascii="David" w:hAnsi="David" w:cs="David"/>
                <w:sz w:val="23"/>
                <w:szCs w:val="23"/>
                <w:rtl/>
              </w:rPr>
              <w:t xml:space="preserve">ביחס לעבירות עם עונש מאסר מירבי של </w:t>
            </w:r>
            <w:r w:rsidRPr="00527525">
              <w:rPr>
                <w:rFonts w:ascii="David" w:hAnsi="David" w:cs="David" w:hint="cs"/>
                <w:sz w:val="23"/>
                <w:szCs w:val="23"/>
                <w:rtl/>
              </w:rPr>
              <w:t>4</w:t>
            </w:r>
            <w:r w:rsidRPr="00527525">
              <w:rPr>
                <w:rFonts w:ascii="David" w:hAnsi="David" w:cs="David"/>
                <w:sz w:val="23"/>
                <w:szCs w:val="23"/>
                <w:rtl/>
              </w:rPr>
              <w:t xml:space="preserve"> שנים ויותר</w:t>
            </w:r>
            <w:r w:rsidRPr="00527525">
              <w:rPr>
                <w:rFonts w:ascii="David" w:hAnsi="David" w:cs="David" w:hint="cs"/>
                <w:sz w:val="23"/>
                <w:szCs w:val="23"/>
                <w:rtl/>
              </w:rPr>
              <w:t xml:space="preserve">; או </w:t>
            </w:r>
            <w:r w:rsidRPr="00527525">
              <w:rPr>
                <w:rFonts w:ascii="David" w:hAnsi="David" w:cs="David"/>
                <w:sz w:val="23"/>
                <w:szCs w:val="23"/>
                <w:rtl/>
              </w:rPr>
              <w:t>רשימת עבירות סגורה – ניתן לקבוע את מיקום המכשיר ומאפיינים נוספים שלו. ביחס לעבירות עם עונש מאסר מירבי של 8 שנים ויותר, ניתן להעתיק את המידע השמור ולהופכו ל-לא זמין.</w:t>
            </w:r>
          </w:p>
        </w:tc>
        <w:tc>
          <w:tcPr>
            <w:tcW w:w="728" w:type="pct"/>
            <w:vAlign w:val="center"/>
          </w:tcPr>
          <w:p w14:paraId="319F9BB4" w14:textId="691CD324" w:rsidR="00BB1503" w:rsidRPr="00527525" w:rsidRDefault="00BB1503" w:rsidP="00BB1503">
            <w:pPr>
              <w:jc w:val="center"/>
              <w:rPr>
                <w:rFonts w:ascii="David" w:hAnsi="David" w:cs="David" w:hint="cs"/>
                <w:sz w:val="23"/>
                <w:szCs w:val="23"/>
                <w:rtl/>
              </w:rPr>
            </w:pPr>
            <w:r w:rsidRPr="00527525">
              <w:rPr>
                <w:rFonts w:ascii="David" w:hAnsi="David" w:cs="David"/>
                <w:sz w:val="23"/>
                <w:szCs w:val="23"/>
                <w:rtl/>
              </w:rPr>
              <w:t>ניתן להעתיק את המידע בלבד</w:t>
            </w:r>
          </w:p>
        </w:tc>
        <w:tc>
          <w:tcPr>
            <w:tcW w:w="728" w:type="pct"/>
            <w:vAlign w:val="center"/>
          </w:tcPr>
          <w:p w14:paraId="016278FF" w14:textId="426C2C2C"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אין התייחסות</w:t>
            </w:r>
          </w:p>
        </w:tc>
        <w:tc>
          <w:tcPr>
            <w:tcW w:w="1180" w:type="pct"/>
            <w:shd w:val="clear" w:color="auto" w:fill="auto"/>
            <w:vAlign w:val="center"/>
          </w:tcPr>
          <w:p w14:paraId="564DD304" w14:textId="2B9890DE" w:rsidR="00BB1503" w:rsidRPr="00527525" w:rsidRDefault="00BB1503" w:rsidP="00BB1503">
            <w:pPr>
              <w:jc w:val="center"/>
              <w:rPr>
                <w:rFonts w:ascii="David" w:hAnsi="David" w:cs="David"/>
                <w:sz w:val="23"/>
                <w:szCs w:val="23"/>
                <w:rtl/>
              </w:rPr>
            </w:pPr>
            <w:r w:rsidRPr="00527525">
              <w:rPr>
                <w:rFonts w:ascii="David" w:hAnsi="David" w:cs="David" w:hint="cs"/>
                <w:sz w:val="23"/>
                <w:szCs w:val="23"/>
                <w:rtl/>
              </w:rPr>
              <w:t>גישה, חיפוש ותפיסה של מידע</w:t>
            </w:r>
          </w:p>
        </w:tc>
      </w:tr>
      <w:tr w:rsidR="00527525" w:rsidRPr="00527525" w14:paraId="58F71BD2" w14:textId="54AA8891" w:rsidTr="00527525">
        <w:tc>
          <w:tcPr>
            <w:tcW w:w="590" w:type="pct"/>
            <w:shd w:val="clear" w:color="auto" w:fill="D9D9D9" w:themeFill="background1" w:themeFillShade="D9"/>
            <w:vAlign w:val="center"/>
          </w:tcPr>
          <w:p w14:paraId="63E94D59" w14:textId="5AC847F1" w:rsidR="001A26D7" w:rsidRPr="00527525" w:rsidRDefault="001A26D7" w:rsidP="00527525">
            <w:pPr>
              <w:jc w:val="center"/>
              <w:rPr>
                <w:rFonts w:ascii="David" w:hAnsi="David" w:cs="David"/>
                <w:sz w:val="23"/>
                <w:szCs w:val="23"/>
                <w:rtl/>
              </w:rPr>
            </w:pPr>
            <w:r w:rsidRPr="00527525">
              <w:rPr>
                <w:rFonts w:ascii="David" w:hAnsi="David" w:cs="David"/>
                <w:sz w:val="23"/>
                <w:szCs w:val="23"/>
                <w:rtl/>
              </w:rPr>
              <w:t>האם קיימת דרישה לגישה כדין של האדם למידע נשוא החיפוש</w:t>
            </w:r>
            <w:r w:rsidRPr="00527525">
              <w:rPr>
                <w:rFonts w:ascii="David" w:hAnsi="David" w:cs="David" w:hint="cs"/>
                <w:sz w:val="23"/>
                <w:szCs w:val="23"/>
                <w:rtl/>
              </w:rPr>
              <w:t>?</w:t>
            </w:r>
          </w:p>
        </w:tc>
        <w:tc>
          <w:tcPr>
            <w:tcW w:w="773" w:type="pct"/>
            <w:shd w:val="clear" w:color="auto" w:fill="auto"/>
            <w:vAlign w:val="center"/>
          </w:tcPr>
          <w:p w14:paraId="08493BC2" w14:textId="7E82E90C" w:rsidR="001A26D7" w:rsidRPr="00527525" w:rsidRDefault="001A26D7" w:rsidP="001A26D7">
            <w:pPr>
              <w:jc w:val="center"/>
              <w:rPr>
                <w:rFonts w:ascii="David" w:hAnsi="David" w:cs="David"/>
                <w:sz w:val="23"/>
                <w:szCs w:val="23"/>
              </w:rPr>
            </w:pPr>
            <w:r w:rsidRPr="00527525">
              <w:rPr>
                <w:rFonts w:ascii="David" w:hAnsi="David" w:cs="David" w:hint="cs"/>
                <w:sz w:val="23"/>
                <w:szCs w:val="23"/>
                <w:rtl/>
              </w:rPr>
              <w:t>אין התייחסות</w:t>
            </w:r>
          </w:p>
        </w:tc>
        <w:tc>
          <w:tcPr>
            <w:tcW w:w="1001" w:type="pct"/>
            <w:shd w:val="clear" w:color="auto" w:fill="auto"/>
            <w:vAlign w:val="center"/>
          </w:tcPr>
          <w:p w14:paraId="7C862E94" w14:textId="299DB6D7" w:rsidR="001A26D7" w:rsidRPr="00527525" w:rsidRDefault="001A26D7" w:rsidP="001A26D7">
            <w:pPr>
              <w:jc w:val="center"/>
              <w:rPr>
                <w:rFonts w:ascii="David" w:hAnsi="David" w:cs="David"/>
                <w:sz w:val="23"/>
                <w:szCs w:val="23"/>
                <w:rtl/>
              </w:rPr>
            </w:pPr>
            <w:r w:rsidRPr="00527525">
              <w:rPr>
                <w:rFonts w:ascii="David" w:hAnsi="David" w:cs="David" w:hint="cs"/>
                <w:sz w:val="23"/>
                <w:szCs w:val="23"/>
                <w:rtl/>
              </w:rPr>
              <w:t>נדרשת גישה כדין של בעלי המידע אל החומר אותו מחפשים.</w:t>
            </w:r>
          </w:p>
        </w:tc>
        <w:tc>
          <w:tcPr>
            <w:tcW w:w="728" w:type="pct"/>
            <w:shd w:val="clear" w:color="auto" w:fill="auto"/>
            <w:vAlign w:val="center"/>
          </w:tcPr>
          <w:p w14:paraId="42B5F14E" w14:textId="702EC09C" w:rsidR="001A26D7" w:rsidRPr="00527525" w:rsidRDefault="001A26D7" w:rsidP="001A26D7">
            <w:pPr>
              <w:jc w:val="center"/>
              <w:rPr>
                <w:rFonts w:ascii="David" w:hAnsi="David" w:cs="David"/>
                <w:sz w:val="23"/>
                <w:szCs w:val="23"/>
              </w:rPr>
            </w:pPr>
            <w:r w:rsidRPr="00527525">
              <w:rPr>
                <w:rFonts w:ascii="David" w:hAnsi="David" w:cs="David" w:hint="cs"/>
                <w:sz w:val="23"/>
                <w:szCs w:val="23"/>
                <w:rtl/>
              </w:rPr>
              <w:t>נדרשת גישה כדין של בעלי המידע אל החומר אותו מחפשים.</w:t>
            </w:r>
          </w:p>
        </w:tc>
        <w:tc>
          <w:tcPr>
            <w:tcW w:w="728" w:type="pct"/>
            <w:shd w:val="clear" w:color="auto" w:fill="auto"/>
            <w:vAlign w:val="center"/>
          </w:tcPr>
          <w:p w14:paraId="255EC9BC" w14:textId="1372B11C" w:rsidR="001A26D7" w:rsidRPr="00527525" w:rsidRDefault="001A26D7" w:rsidP="001A26D7">
            <w:pPr>
              <w:jc w:val="center"/>
              <w:rPr>
                <w:rFonts w:ascii="David" w:hAnsi="David" w:cs="David"/>
                <w:sz w:val="23"/>
                <w:szCs w:val="23"/>
                <w:rtl/>
              </w:rPr>
            </w:pPr>
            <w:r w:rsidRPr="00527525">
              <w:rPr>
                <w:rFonts w:ascii="David" w:hAnsi="David" w:cs="David" w:hint="cs"/>
                <w:sz w:val="23"/>
                <w:szCs w:val="23"/>
                <w:rtl/>
              </w:rPr>
              <w:t>לא נמצאה התייחסות מפורשת בחקיקה.</w:t>
            </w:r>
          </w:p>
        </w:tc>
        <w:tc>
          <w:tcPr>
            <w:tcW w:w="1180" w:type="pct"/>
            <w:shd w:val="clear" w:color="auto" w:fill="auto"/>
            <w:vAlign w:val="center"/>
          </w:tcPr>
          <w:p w14:paraId="2D46073B" w14:textId="474F20C6" w:rsidR="001A26D7" w:rsidRPr="00527525" w:rsidRDefault="001A26D7" w:rsidP="001A26D7">
            <w:pPr>
              <w:jc w:val="center"/>
              <w:rPr>
                <w:rFonts w:ascii="David" w:hAnsi="David" w:cs="David"/>
                <w:sz w:val="23"/>
                <w:szCs w:val="23"/>
                <w:rtl/>
              </w:rPr>
            </w:pPr>
            <w:r w:rsidRPr="00527525">
              <w:rPr>
                <w:rFonts w:ascii="David" w:hAnsi="David" w:cs="David" w:hint="cs"/>
                <w:sz w:val="23"/>
                <w:szCs w:val="23"/>
                <w:rtl/>
              </w:rPr>
              <w:t>לא נמצאה התייחסות מפורשת בחקיקה.</w:t>
            </w:r>
          </w:p>
        </w:tc>
      </w:tr>
    </w:tbl>
    <w:p w14:paraId="40BF4D76" w14:textId="77777777" w:rsidR="005A60D3" w:rsidRDefault="005A60D3" w:rsidP="005A60D3">
      <w:pPr>
        <w:jc w:val="center"/>
        <w:rPr>
          <w:rFonts w:ascii="David" w:hAnsi="David" w:cs="David"/>
          <w:b/>
          <w:bCs/>
          <w:sz w:val="28"/>
          <w:szCs w:val="28"/>
        </w:rPr>
      </w:pPr>
      <w:r>
        <w:rPr>
          <w:rFonts w:ascii="David" w:hAnsi="David" w:cs="David"/>
          <w:b/>
          <w:bCs/>
          <w:sz w:val="28"/>
          <w:szCs w:val="28"/>
          <w:rtl/>
        </w:rPr>
        <w:lastRenderedPageBreak/>
        <w:t>השוואת חקיקה מדינתית – חיפוש חוץ-טריטוריאלי</w:t>
      </w:r>
      <w:r>
        <w:rPr>
          <w:rFonts w:ascii="David" w:hAnsi="David" w:cs="David"/>
          <w:b/>
          <w:bCs/>
          <w:sz w:val="28"/>
          <w:szCs w:val="28"/>
          <w:rtl/>
        </w:rPr>
        <w:br/>
      </w:r>
      <w:r>
        <w:rPr>
          <w:rFonts w:ascii="David" w:hAnsi="David" w:cs="David"/>
          <w:b/>
          <w:bCs/>
          <w:sz w:val="28"/>
          <w:szCs w:val="28"/>
          <w:u w:val="single"/>
          <w:rtl/>
        </w:rPr>
        <w:t>גרסה מלאה</w:t>
      </w:r>
    </w:p>
    <w:tbl>
      <w:tblPr>
        <w:tblStyle w:val="a3"/>
        <w:bidiVisual/>
        <w:tblW w:w="0" w:type="auto"/>
        <w:tblLook w:val="04A0" w:firstRow="1" w:lastRow="0" w:firstColumn="1" w:lastColumn="0" w:noHBand="0" w:noVBand="1"/>
      </w:tblPr>
      <w:tblGrid>
        <w:gridCol w:w="1502"/>
        <w:gridCol w:w="3119"/>
        <w:gridCol w:w="2693"/>
        <w:gridCol w:w="2835"/>
        <w:gridCol w:w="2268"/>
        <w:gridCol w:w="2971"/>
      </w:tblGrid>
      <w:tr w:rsidR="005A60D3" w14:paraId="352949A0"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60B86A8" w14:textId="77777777" w:rsidR="005A60D3" w:rsidRDefault="005A60D3">
            <w:pPr>
              <w:jc w:val="both"/>
              <w:rPr>
                <w:rFonts w:ascii="David" w:hAnsi="David" w:cs="David"/>
                <w:b/>
                <w:bCs/>
                <w:sz w:val="24"/>
                <w:szCs w:val="24"/>
              </w:rPr>
            </w:pPr>
            <w:r>
              <w:rPr>
                <w:rFonts w:ascii="David" w:hAnsi="David" w:cs="David"/>
                <w:b/>
                <w:bCs/>
                <w:sz w:val="24"/>
                <w:szCs w:val="24"/>
                <w:rtl/>
              </w:rPr>
              <w:t>קריטריון / מדינה</w:t>
            </w:r>
          </w:p>
        </w:tc>
        <w:tc>
          <w:tcPr>
            <w:tcW w:w="31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33985E5" w14:textId="77777777" w:rsidR="005A60D3" w:rsidRDefault="005A60D3">
            <w:pPr>
              <w:bidi w:val="0"/>
              <w:jc w:val="center"/>
              <w:rPr>
                <w:rFonts w:ascii="David" w:hAnsi="David" w:cs="David"/>
                <w:b/>
                <w:bCs/>
                <w:sz w:val="24"/>
                <w:szCs w:val="24"/>
              </w:rPr>
            </w:pPr>
            <w:r>
              <w:rPr>
                <w:rFonts w:ascii="David" w:hAnsi="David" w:cs="David"/>
                <w:b/>
                <w:bCs/>
                <w:sz w:val="24"/>
                <w:szCs w:val="24"/>
                <w:rtl/>
              </w:rPr>
              <w:t>אוסטרליה</w:t>
            </w:r>
          </w:p>
        </w:tc>
        <w:tc>
          <w:tcPr>
            <w:tcW w:w="269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0D251C5" w14:textId="77777777" w:rsidR="005A60D3" w:rsidRDefault="005A60D3">
            <w:pPr>
              <w:bidi w:val="0"/>
              <w:jc w:val="center"/>
              <w:rPr>
                <w:rFonts w:ascii="David" w:hAnsi="David" w:cs="David"/>
                <w:b/>
                <w:bCs/>
                <w:sz w:val="24"/>
                <w:szCs w:val="24"/>
                <w:rtl/>
              </w:rPr>
            </w:pPr>
            <w:r>
              <w:rPr>
                <w:rFonts w:ascii="David" w:hAnsi="David" w:cs="David"/>
                <w:b/>
                <w:bCs/>
                <w:sz w:val="24"/>
                <w:szCs w:val="24"/>
                <w:rtl/>
              </w:rPr>
              <w:t>הולנד</w:t>
            </w:r>
          </w:p>
        </w:tc>
        <w:tc>
          <w:tcPr>
            <w:tcW w:w="2835"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F97D986" w14:textId="77777777" w:rsidR="005A60D3" w:rsidRDefault="005A60D3">
            <w:pPr>
              <w:bidi w:val="0"/>
              <w:jc w:val="center"/>
              <w:rPr>
                <w:rFonts w:ascii="David" w:hAnsi="David" w:cs="David"/>
                <w:b/>
                <w:bCs/>
                <w:sz w:val="24"/>
                <w:szCs w:val="24"/>
                <w:rtl/>
              </w:rPr>
            </w:pPr>
            <w:r>
              <w:rPr>
                <w:rFonts w:ascii="David" w:hAnsi="David" w:cs="David"/>
                <w:b/>
                <w:bCs/>
                <w:sz w:val="24"/>
                <w:szCs w:val="24"/>
                <w:rtl/>
              </w:rPr>
              <w:t>בלגיה</w:t>
            </w:r>
          </w:p>
        </w:tc>
        <w:tc>
          <w:tcPr>
            <w:tcW w:w="22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F80A3D2" w14:textId="77777777" w:rsidR="005A60D3" w:rsidRDefault="005A60D3">
            <w:pPr>
              <w:bidi w:val="0"/>
              <w:jc w:val="center"/>
              <w:rPr>
                <w:rFonts w:ascii="David" w:hAnsi="David" w:cs="David"/>
                <w:b/>
                <w:bCs/>
                <w:sz w:val="24"/>
                <w:szCs w:val="24"/>
              </w:rPr>
            </w:pPr>
            <w:r>
              <w:rPr>
                <w:rFonts w:ascii="David" w:hAnsi="David" w:cs="David"/>
                <w:b/>
                <w:bCs/>
                <w:sz w:val="24"/>
                <w:szCs w:val="24"/>
                <w:rtl/>
              </w:rPr>
              <w:t>פורטוגל</w:t>
            </w:r>
          </w:p>
        </w:tc>
        <w:tc>
          <w:tcPr>
            <w:tcW w:w="297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519ADB2" w14:textId="77777777" w:rsidR="005A60D3" w:rsidRDefault="005A60D3">
            <w:pPr>
              <w:bidi w:val="0"/>
              <w:jc w:val="center"/>
              <w:rPr>
                <w:rFonts w:ascii="David" w:hAnsi="David" w:cs="David"/>
                <w:b/>
                <w:bCs/>
                <w:sz w:val="24"/>
                <w:szCs w:val="24"/>
                <w:rtl/>
              </w:rPr>
            </w:pPr>
            <w:r>
              <w:rPr>
                <w:rFonts w:ascii="David" w:hAnsi="David" w:cs="David"/>
                <w:b/>
                <w:bCs/>
                <w:sz w:val="24"/>
                <w:szCs w:val="24"/>
                <w:rtl/>
              </w:rPr>
              <w:t>ארה</w:t>
            </w:r>
            <w:r>
              <w:rPr>
                <w:rFonts w:ascii="David" w:hAnsi="David" w:cs="David"/>
                <w:bCs/>
                <w:sz w:val="24"/>
                <w:szCs w:val="24"/>
                <w:rtl/>
              </w:rPr>
              <w:t>"</w:t>
            </w:r>
            <w:r>
              <w:rPr>
                <w:rFonts w:ascii="David" w:hAnsi="David" w:cs="David"/>
                <w:b/>
                <w:bCs/>
                <w:sz w:val="24"/>
                <w:szCs w:val="24"/>
                <w:rtl/>
              </w:rPr>
              <w:t>ב</w:t>
            </w:r>
          </w:p>
        </w:tc>
      </w:tr>
      <w:tr w:rsidR="005A60D3" w14:paraId="332440F9"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BFA4F4D" w14:textId="77777777" w:rsidR="005A60D3" w:rsidRDefault="005A60D3">
            <w:pPr>
              <w:bidi w:val="0"/>
              <w:jc w:val="right"/>
              <w:rPr>
                <w:rFonts w:ascii="David" w:hAnsi="David" w:cs="David"/>
                <w:sz w:val="24"/>
                <w:szCs w:val="24"/>
                <w:rtl/>
              </w:rPr>
            </w:pPr>
            <w:r>
              <w:rPr>
                <w:rFonts w:ascii="David" w:hAnsi="David" w:cs="David"/>
                <w:sz w:val="24"/>
                <w:szCs w:val="24"/>
                <w:rtl/>
              </w:rPr>
              <w:t>מקור הסמכות לחיפוש במידע באופן חוץ-טריטוריאלי</w:t>
            </w:r>
          </w:p>
        </w:tc>
        <w:tc>
          <w:tcPr>
            <w:tcW w:w="3119" w:type="dxa"/>
            <w:tcBorders>
              <w:top w:val="single" w:sz="4" w:space="0" w:color="auto"/>
              <w:left w:val="single" w:sz="4" w:space="0" w:color="auto"/>
              <w:bottom w:val="single" w:sz="4" w:space="0" w:color="auto"/>
              <w:right w:val="single" w:sz="4" w:space="0" w:color="auto"/>
            </w:tcBorders>
            <w:hideMark/>
          </w:tcPr>
          <w:p w14:paraId="1CC0FE16" w14:textId="77777777" w:rsidR="005A60D3" w:rsidRDefault="005A60D3">
            <w:pPr>
              <w:pStyle w:val="Default"/>
              <w:jc w:val="both"/>
              <w:rPr>
                <w:rFonts w:asciiTheme="majorBidi" w:hAnsiTheme="majorBidi" w:cstheme="majorBidi"/>
                <w:i/>
                <w:iCs/>
                <w:color w:val="auto"/>
                <w:rtl/>
              </w:rPr>
            </w:pPr>
            <w:r>
              <w:rPr>
                <w:rFonts w:asciiTheme="majorBidi" w:hAnsiTheme="majorBidi" w:cstheme="majorBidi"/>
                <w:color w:val="auto"/>
              </w:rPr>
              <w:t xml:space="preserve">Section 43A of the Surveillance Devices Act 2004: </w:t>
            </w:r>
            <w:r>
              <w:rPr>
                <w:rFonts w:asciiTheme="majorBidi" w:hAnsiTheme="majorBidi" w:cstheme="majorBidi"/>
                <w:iCs/>
                <w:color w:val="auto"/>
              </w:rPr>
              <w:t>"</w:t>
            </w:r>
            <w:r>
              <w:rPr>
                <w:rFonts w:asciiTheme="majorBidi" w:hAnsiTheme="majorBidi" w:cstheme="majorBidi"/>
                <w:i/>
                <w:iCs/>
                <w:color w:val="auto"/>
              </w:rPr>
              <w:t>(1) If, before the issue of a computer access warrant [...] , it becomes apparent to the applicant that there will be a need for access to data held in a computer:</w:t>
            </w:r>
          </w:p>
          <w:p w14:paraId="32E065EA" w14:textId="77777777" w:rsidR="005A60D3" w:rsidRDefault="005A60D3">
            <w:pPr>
              <w:bidi w:val="0"/>
              <w:jc w:val="both"/>
              <w:rPr>
                <w:rFonts w:ascii="David" w:hAnsi="David" w:cs="David"/>
                <w:sz w:val="24"/>
                <w:szCs w:val="24"/>
              </w:rPr>
            </w:pPr>
            <w:r>
              <w:rPr>
                <w:rFonts w:asciiTheme="majorBidi" w:hAnsiTheme="majorBidi" w:cstheme="majorBidi"/>
                <w:i/>
                <w:iCs/>
                <w:sz w:val="24"/>
                <w:szCs w:val="24"/>
              </w:rPr>
              <w:t>(a) in a foreign country; or [...]</w:t>
            </w:r>
            <w:r>
              <w:rPr>
                <w:rFonts w:asciiTheme="majorBidi" w:hAnsiTheme="majorBidi" w:cstheme="majorBidi"/>
                <w:iCs/>
                <w:sz w:val="24"/>
                <w:szCs w:val="24"/>
              </w:rPr>
              <w:t>"</w:t>
            </w:r>
          </w:p>
        </w:tc>
        <w:tc>
          <w:tcPr>
            <w:tcW w:w="2693" w:type="dxa"/>
            <w:tcBorders>
              <w:top w:val="single" w:sz="4" w:space="0" w:color="auto"/>
              <w:left w:val="single" w:sz="4" w:space="0" w:color="auto"/>
              <w:bottom w:val="single" w:sz="4" w:space="0" w:color="auto"/>
              <w:right w:val="single" w:sz="4" w:space="0" w:color="auto"/>
            </w:tcBorders>
          </w:tcPr>
          <w:p w14:paraId="65B28644" w14:textId="77777777" w:rsidR="005A60D3" w:rsidRDefault="005A60D3">
            <w:pPr>
              <w:bidi w:val="0"/>
              <w:jc w:val="both"/>
              <w:rPr>
                <w:rFonts w:asciiTheme="majorBidi" w:hAnsiTheme="majorBidi" w:cstheme="majorBidi"/>
                <w:sz w:val="24"/>
                <w:szCs w:val="24"/>
              </w:rPr>
            </w:pPr>
            <w:hyperlink r:id="rId7" w:history="1">
              <w:r>
                <w:rPr>
                  <w:rStyle w:val="Hyperlink"/>
                  <w:rFonts w:asciiTheme="majorBidi" w:hAnsiTheme="majorBidi" w:cstheme="majorBidi"/>
                  <w:sz w:val="24"/>
                  <w:szCs w:val="24"/>
                </w:rPr>
                <w:t>Article 126nba of the Code of Criminal Procedure</w:t>
              </w:r>
            </w:hyperlink>
            <w:r>
              <w:rPr>
                <w:rFonts w:asciiTheme="majorBidi" w:hAnsiTheme="majorBidi" w:cstheme="majorBidi"/>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shd w:val="clear" w:color="auto" w:fill="FFFFFF"/>
              </w:rPr>
              <w:t>In the event of a suspicion of a crime as described [...] the public prosecutor may, [...] , order that a designated investigating officer enters an automated work that is in use by the suspect and conducts an investigation, with or without a technical aid, [...]</w:t>
            </w:r>
            <w:r>
              <w:rPr>
                <w:rFonts w:asciiTheme="majorBidi" w:hAnsiTheme="majorBidi" w:cstheme="majorBidi"/>
                <w:iCs/>
                <w:sz w:val="24"/>
                <w:szCs w:val="24"/>
                <w:shd w:val="clear" w:color="auto" w:fill="FFFFFF"/>
              </w:rPr>
              <w:t>"</w:t>
            </w:r>
          </w:p>
          <w:p w14:paraId="0CD5CAC1" w14:textId="77777777" w:rsidR="005A60D3" w:rsidRDefault="005A60D3">
            <w:pPr>
              <w:bidi w:val="0"/>
              <w:jc w:val="both"/>
              <w:rPr>
                <w:rFonts w:asciiTheme="majorBidi" w:hAnsiTheme="majorBidi" w:cstheme="majorBidi"/>
                <w:sz w:val="24"/>
                <w:szCs w:val="24"/>
              </w:rPr>
            </w:pPr>
          </w:p>
          <w:p w14:paraId="00CFFEBF" w14:textId="77777777" w:rsidR="005A60D3" w:rsidRDefault="005A60D3">
            <w:pPr>
              <w:bidi w:val="0"/>
              <w:jc w:val="both"/>
              <w:rPr>
                <w:rFonts w:asciiTheme="majorBidi" w:hAnsiTheme="majorBidi" w:cstheme="majorBidi"/>
                <w:sz w:val="24"/>
                <w:szCs w:val="24"/>
              </w:rPr>
            </w:pPr>
            <w:hyperlink r:id="rId8" w:history="1">
              <w:r>
                <w:rPr>
                  <w:rStyle w:val="Hyperlink"/>
                  <w:rFonts w:asciiTheme="majorBidi" w:hAnsiTheme="majorBidi" w:cstheme="majorBidi"/>
                  <w:sz w:val="24"/>
                  <w:szCs w:val="24"/>
                </w:rPr>
                <w:t>Explanatory Statement</w:t>
              </w:r>
            </w:hyperlink>
            <w:r>
              <w:rPr>
                <w:rFonts w:asciiTheme="majorBidi" w:hAnsiTheme="majorBidi" w:cstheme="majorBidi"/>
                <w:sz w:val="24"/>
                <w:szCs w:val="24"/>
              </w:rPr>
              <w:t xml:space="preserve"> [free translation]: </w:t>
            </w:r>
            <w:r>
              <w:rPr>
                <w:rFonts w:asciiTheme="majorBidi" w:hAnsiTheme="majorBidi" w:cstheme="majorBidi"/>
                <w:iCs/>
                <w:sz w:val="24"/>
                <w:szCs w:val="24"/>
              </w:rPr>
              <w:t>"</w:t>
            </w:r>
            <w:r>
              <w:rPr>
                <w:rFonts w:asciiTheme="majorBidi" w:hAnsiTheme="majorBidi" w:cstheme="majorBidi"/>
                <w:i/>
                <w:iCs/>
                <w:sz w:val="24"/>
                <w:szCs w:val="24"/>
                <w:shd w:val="clear" w:color="auto" w:fill="FFFFFF"/>
              </w:rPr>
              <w:t>Under certain circumstances, this power can also be applied to data that may not be located on Dutch territory, while the consequences of the criminal offense are occurring in the Netherlands.</w:t>
            </w:r>
            <w:r>
              <w:rPr>
                <w:rFonts w:asciiTheme="majorBidi" w:hAnsiTheme="majorBidi" w:cstheme="majorBidi"/>
                <w:iCs/>
                <w:sz w:val="24"/>
                <w:szCs w:val="24"/>
              </w:rPr>
              <w:t>"</w:t>
            </w:r>
          </w:p>
        </w:tc>
        <w:tc>
          <w:tcPr>
            <w:tcW w:w="2835" w:type="dxa"/>
            <w:tcBorders>
              <w:top w:val="single" w:sz="4" w:space="0" w:color="auto"/>
              <w:left w:val="single" w:sz="4" w:space="0" w:color="auto"/>
              <w:bottom w:val="single" w:sz="4" w:space="0" w:color="auto"/>
              <w:right w:val="single" w:sz="4" w:space="0" w:color="auto"/>
            </w:tcBorders>
            <w:hideMark/>
          </w:tcPr>
          <w:p w14:paraId="466C9471" w14:textId="77777777" w:rsidR="005A60D3" w:rsidRDefault="005A60D3">
            <w:pPr>
              <w:bidi w:val="0"/>
              <w:jc w:val="both"/>
              <w:rPr>
                <w:rFonts w:asciiTheme="majorBidi" w:hAnsiTheme="majorBidi" w:cstheme="majorBidi"/>
                <w:sz w:val="24"/>
                <w:szCs w:val="24"/>
              </w:rPr>
            </w:pPr>
            <w:hyperlink r:id="rId9" w:history="1">
              <w:r>
                <w:rPr>
                  <w:rStyle w:val="Hyperlink"/>
                  <w:rFonts w:asciiTheme="majorBidi" w:hAnsiTheme="majorBidi" w:cstheme="majorBidi"/>
                  <w:sz w:val="24"/>
                  <w:szCs w:val="24"/>
                </w:rPr>
                <w:t>Article 39bis(3) of the Criminal Code</w:t>
              </w:r>
            </w:hyperlink>
            <w:r>
              <w:rPr>
                <w:rFonts w:asciiTheme="majorBidi" w:hAnsiTheme="majorBidi" w:cstheme="majorBidi"/>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rPr>
              <w:t>§ 3. The public prosecutor may extend the search in a computer system [...] to a computer system or a part of it located in another place than where the research is carried out</w:t>
            </w:r>
            <w:r>
              <w:rPr>
                <w:rFonts w:asciiTheme="majorBidi" w:hAnsiTheme="majorBidi" w:cstheme="majorBidi"/>
                <w:iCs/>
                <w:sz w:val="24"/>
                <w:szCs w:val="24"/>
              </w:rPr>
              <w:t>"</w:t>
            </w:r>
            <w:r>
              <w:rPr>
                <w:rFonts w:asciiTheme="majorBidi" w:hAnsiTheme="majorBidi" w:cstheme="majorBidi"/>
                <w:i/>
                <w:iCs/>
                <w:sz w:val="24"/>
                <w:szCs w:val="24"/>
              </w:rPr>
              <w:t>.</w:t>
            </w:r>
          </w:p>
        </w:tc>
        <w:tc>
          <w:tcPr>
            <w:tcW w:w="2268" w:type="dxa"/>
            <w:tcBorders>
              <w:top w:val="single" w:sz="4" w:space="0" w:color="auto"/>
              <w:left w:val="single" w:sz="4" w:space="0" w:color="auto"/>
              <w:bottom w:val="single" w:sz="4" w:space="0" w:color="auto"/>
              <w:right w:val="single" w:sz="4" w:space="0" w:color="auto"/>
            </w:tcBorders>
          </w:tcPr>
          <w:p w14:paraId="4E878F96" w14:textId="77777777" w:rsidR="005A60D3" w:rsidRDefault="005A60D3">
            <w:pPr>
              <w:bidi w:val="0"/>
              <w:jc w:val="both"/>
              <w:rPr>
                <w:rFonts w:asciiTheme="majorBidi" w:hAnsiTheme="majorBidi" w:cstheme="majorBidi"/>
                <w:sz w:val="24"/>
                <w:szCs w:val="24"/>
              </w:rPr>
            </w:pPr>
            <w:hyperlink r:id="rId10" w:history="1">
              <w:r>
                <w:rPr>
                  <w:rStyle w:val="Hyperlink"/>
                  <w:rFonts w:asciiTheme="majorBidi" w:hAnsiTheme="majorBidi" w:cstheme="majorBidi"/>
                  <w:sz w:val="24"/>
                  <w:szCs w:val="24"/>
                </w:rPr>
                <w:t>Article 15(5) of The Cybercrime Law</w:t>
              </w:r>
            </w:hyperlink>
            <w:r>
              <w:rPr>
                <w:rFonts w:asciiTheme="majorBidi" w:hAnsiTheme="majorBidi" w:cstheme="majorBidi"/>
                <w:sz w:val="24"/>
                <w:szCs w:val="24"/>
              </w:rPr>
              <w:t>:</w:t>
            </w:r>
          </w:p>
          <w:p w14:paraId="419C5F4F" w14:textId="77777777" w:rsidR="005A60D3" w:rsidRDefault="005A60D3">
            <w:pPr>
              <w:bidi w:val="0"/>
              <w:jc w:val="both"/>
              <w:rPr>
                <w:rFonts w:asciiTheme="majorBidi" w:hAnsiTheme="majorBidi" w:cstheme="majorBidi"/>
                <w:i/>
                <w:iCs/>
                <w:sz w:val="24"/>
                <w:szCs w:val="24"/>
              </w:rPr>
            </w:pPr>
            <w:r>
              <w:rPr>
                <w:rFonts w:asciiTheme="majorBidi" w:hAnsiTheme="majorBidi" w:cstheme="majorBidi"/>
                <w:iCs/>
                <w:sz w:val="24"/>
                <w:szCs w:val="24"/>
              </w:rPr>
              <w:t>"</w:t>
            </w:r>
            <w:r>
              <w:rPr>
                <w:rFonts w:asciiTheme="majorBidi" w:hAnsiTheme="majorBidi" w:cstheme="majorBidi"/>
                <w:i/>
                <w:iCs/>
                <w:sz w:val="24"/>
                <w:szCs w:val="24"/>
              </w:rPr>
              <w:t>Where, in the course of the search, there are grounds to believe that the data sought is stored in another computer system or part of it, and such data is lawfully accessible from the initial system, the search may be extended to the other system, by means of an authorization or order from the competent authority, pursuant to paragraphs 1 and 2.</w:t>
            </w:r>
            <w:r>
              <w:rPr>
                <w:rFonts w:asciiTheme="majorBidi" w:hAnsiTheme="majorBidi" w:cstheme="majorBidi"/>
                <w:iCs/>
                <w:sz w:val="24"/>
                <w:szCs w:val="24"/>
              </w:rPr>
              <w:t>"</w:t>
            </w:r>
          </w:p>
          <w:p w14:paraId="2701302B" w14:textId="77777777" w:rsidR="005A60D3" w:rsidRDefault="005A60D3">
            <w:pPr>
              <w:bidi w:val="0"/>
              <w:jc w:val="both"/>
              <w:rPr>
                <w:rFonts w:asciiTheme="majorBidi" w:hAnsiTheme="majorBidi" w:cstheme="majorBidi"/>
                <w:sz w:val="24"/>
                <w:szCs w:val="24"/>
              </w:rPr>
            </w:pPr>
          </w:p>
        </w:tc>
        <w:tc>
          <w:tcPr>
            <w:tcW w:w="2971" w:type="dxa"/>
            <w:tcBorders>
              <w:top w:val="single" w:sz="4" w:space="0" w:color="auto"/>
              <w:left w:val="single" w:sz="4" w:space="0" w:color="auto"/>
              <w:bottom w:val="single" w:sz="4" w:space="0" w:color="auto"/>
              <w:right w:val="single" w:sz="4" w:space="0" w:color="auto"/>
            </w:tcBorders>
          </w:tcPr>
          <w:p w14:paraId="73A1AC9F" w14:textId="77777777" w:rsidR="005A60D3" w:rsidRDefault="005A60D3">
            <w:pPr>
              <w:bidi w:val="0"/>
              <w:jc w:val="both"/>
              <w:rPr>
                <w:rFonts w:asciiTheme="majorBidi" w:hAnsiTheme="majorBidi" w:cs="Times New Roman"/>
                <w:i/>
                <w:iCs/>
                <w:sz w:val="24"/>
                <w:szCs w:val="24"/>
              </w:rPr>
            </w:pPr>
            <w:hyperlink r:id="rId11" w:history="1">
              <w:r>
                <w:rPr>
                  <w:rStyle w:val="Hyperlink"/>
                  <w:rFonts w:asciiTheme="majorBidi" w:hAnsiTheme="majorBidi" w:cs="Times New Roman"/>
                  <w:sz w:val="24"/>
                  <w:szCs w:val="24"/>
                </w:rPr>
                <w:t>Rule 41 (6) (Search and Seizure) of the Federal Rules of Criminal Procedure</w:t>
              </w:r>
            </w:hyperlink>
            <w:r>
              <w:rPr>
                <w:rFonts w:asciiTheme="majorBidi" w:hAnsiTheme="majorBidi" w:cs="Times New Roman"/>
                <w:sz w:val="24"/>
                <w:szCs w:val="24"/>
              </w:rPr>
              <w:t xml:space="preserve">: </w:t>
            </w:r>
            <w:r>
              <w:rPr>
                <w:rFonts w:asciiTheme="majorBidi" w:hAnsiTheme="majorBidi" w:cs="Times New Roman"/>
                <w:iCs/>
                <w:sz w:val="24"/>
                <w:szCs w:val="24"/>
              </w:rPr>
              <w:t>"</w:t>
            </w:r>
            <w:r>
              <w:rPr>
                <w:rFonts w:asciiTheme="majorBidi" w:hAnsiTheme="majorBidi" w:cs="Times New Roman"/>
                <w:i/>
                <w:iCs/>
                <w:sz w:val="24"/>
                <w:szCs w:val="24"/>
              </w:rPr>
              <w:t>A</w:t>
            </w:r>
            <w:r>
              <w:rPr>
                <w:rFonts w:asciiTheme="majorBidi" w:hAnsiTheme="majorBidi" w:cstheme="majorBidi"/>
                <w:i/>
                <w:iCs/>
                <w:sz w:val="24"/>
                <w:szCs w:val="24"/>
              </w:rPr>
              <w:t xml:space="preserve"> magistrate judge with authority in any district where activities related to a crime may have occurred has authority to issue a warrant to use remote access to search electronic storage media and to seize or copy electronically stored information located within or outside that district if</w:t>
            </w:r>
            <w:r>
              <w:rPr>
                <w:rFonts w:asciiTheme="majorBidi" w:hAnsiTheme="majorBidi" w:cs="Times New Roman"/>
                <w:i/>
                <w:iCs/>
                <w:sz w:val="24"/>
                <w:szCs w:val="24"/>
                <w:rtl/>
              </w:rPr>
              <w:t>:</w:t>
            </w:r>
          </w:p>
          <w:p w14:paraId="1C684926" w14:textId="77777777" w:rsidR="005A60D3" w:rsidRDefault="005A60D3">
            <w:pPr>
              <w:bidi w:val="0"/>
              <w:jc w:val="both"/>
              <w:rPr>
                <w:rFonts w:asciiTheme="majorBidi" w:hAnsiTheme="majorBidi" w:cstheme="majorBidi"/>
                <w:i/>
                <w:iCs/>
                <w:sz w:val="24"/>
                <w:szCs w:val="24"/>
              </w:rPr>
            </w:pPr>
          </w:p>
          <w:p w14:paraId="67CAF42B" w14:textId="77777777" w:rsidR="005A60D3" w:rsidRDefault="005A60D3">
            <w:pPr>
              <w:bidi w:val="0"/>
              <w:jc w:val="both"/>
              <w:rPr>
                <w:rFonts w:asciiTheme="majorBidi" w:hAnsiTheme="majorBidi" w:cstheme="majorBidi"/>
                <w:sz w:val="24"/>
                <w:szCs w:val="24"/>
              </w:rPr>
            </w:pPr>
            <w:r>
              <w:rPr>
                <w:rFonts w:asciiTheme="majorBidi" w:hAnsiTheme="majorBidi" w:cstheme="majorBidi"/>
                <w:i/>
                <w:iCs/>
                <w:sz w:val="24"/>
                <w:szCs w:val="24"/>
              </w:rPr>
              <w:t>(A) the district where the media or information is located has been concealed through technological means</w:t>
            </w:r>
            <w:r>
              <w:rPr>
                <w:rFonts w:asciiTheme="majorBidi" w:hAnsiTheme="majorBidi" w:cstheme="majorBidi"/>
                <w:iCs/>
                <w:sz w:val="24"/>
                <w:szCs w:val="24"/>
              </w:rPr>
              <w:t>"</w:t>
            </w:r>
          </w:p>
          <w:p w14:paraId="70060CC1" w14:textId="77777777" w:rsidR="005A60D3" w:rsidRDefault="005A60D3">
            <w:pPr>
              <w:bidi w:val="0"/>
              <w:jc w:val="both"/>
              <w:rPr>
                <w:rFonts w:asciiTheme="majorBidi" w:hAnsiTheme="majorBidi" w:cstheme="majorBidi"/>
                <w:i/>
                <w:iCs/>
                <w:sz w:val="24"/>
                <w:szCs w:val="24"/>
              </w:rPr>
            </w:pPr>
            <w:r>
              <w:rPr>
                <w:rFonts w:asciiTheme="majorBidi" w:hAnsiTheme="majorBidi" w:cstheme="majorBidi"/>
                <w:sz w:val="24"/>
                <w:szCs w:val="24"/>
              </w:rPr>
              <w:t xml:space="preserve"> </w:t>
            </w:r>
            <w:r>
              <w:rPr>
                <w:rFonts w:asciiTheme="majorBidi" w:hAnsiTheme="majorBidi" w:cstheme="majorBidi"/>
                <w:i/>
                <w:iCs/>
                <w:sz w:val="24"/>
                <w:szCs w:val="24"/>
              </w:rPr>
              <w:t>(B) [...]</w:t>
            </w:r>
          </w:p>
        </w:tc>
      </w:tr>
      <w:tr w:rsidR="005A60D3" w14:paraId="1F894C2E"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10DD69DA" w14:textId="77777777" w:rsidR="005A60D3" w:rsidRDefault="005A60D3">
            <w:pPr>
              <w:bidi w:val="0"/>
              <w:jc w:val="right"/>
              <w:rPr>
                <w:rFonts w:ascii="David" w:hAnsi="David" w:cs="David"/>
                <w:sz w:val="24"/>
                <w:szCs w:val="24"/>
              </w:rPr>
            </w:pPr>
            <w:r>
              <w:rPr>
                <w:rFonts w:ascii="David" w:hAnsi="David" w:cs="David"/>
                <w:sz w:val="24"/>
                <w:szCs w:val="24"/>
                <w:rtl/>
              </w:rPr>
              <w:t>מקור הדרישה להסכמת המדינה בה מתבצע החיפוש</w:t>
            </w:r>
          </w:p>
        </w:tc>
        <w:tc>
          <w:tcPr>
            <w:tcW w:w="3119" w:type="dxa"/>
            <w:tcBorders>
              <w:top w:val="single" w:sz="4" w:space="0" w:color="auto"/>
              <w:left w:val="single" w:sz="4" w:space="0" w:color="auto"/>
              <w:bottom w:val="single" w:sz="4" w:space="0" w:color="auto"/>
              <w:right w:val="single" w:sz="4" w:space="0" w:color="auto"/>
            </w:tcBorders>
            <w:hideMark/>
          </w:tcPr>
          <w:p w14:paraId="1932780F" w14:textId="77777777" w:rsidR="005A60D3" w:rsidRDefault="005A60D3">
            <w:pPr>
              <w:bidi w:val="0"/>
              <w:jc w:val="both"/>
              <w:rPr>
                <w:rFonts w:asciiTheme="majorBidi" w:hAnsiTheme="majorBidi" w:cstheme="majorBidi"/>
                <w:sz w:val="24"/>
                <w:szCs w:val="24"/>
                <w:rtl/>
              </w:rPr>
            </w:pPr>
            <w:r>
              <w:rPr>
                <w:rFonts w:asciiTheme="majorBidi" w:hAnsiTheme="majorBidi" w:cstheme="majorBidi"/>
                <w:sz w:val="24"/>
                <w:szCs w:val="24"/>
              </w:rPr>
              <w:t xml:space="preserve">Section 43A (Subsections (1), (2) and (3)) of the Surveillance Devices Act 2004: </w:t>
            </w:r>
            <w:r>
              <w:rPr>
                <w:rFonts w:asciiTheme="majorBidi" w:hAnsiTheme="majorBidi" w:cstheme="majorBidi"/>
                <w:iCs/>
                <w:sz w:val="24"/>
                <w:szCs w:val="24"/>
              </w:rPr>
              <w:t>"</w:t>
            </w:r>
            <w:r>
              <w:rPr>
                <w:rFonts w:asciiTheme="majorBidi" w:hAnsiTheme="majorBidi" w:cstheme="majorBidi"/>
                <w:i/>
                <w:iCs/>
                <w:sz w:val="24"/>
                <w:szCs w:val="24"/>
              </w:rPr>
              <w:t xml:space="preserve">the eligible Judge [...] must not permit the warrant to </w:t>
            </w:r>
            <w:r>
              <w:rPr>
                <w:rFonts w:asciiTheme="majorBidi" w:hAnsiTheme="majorBidi" w:cstheme="majorBidi"/>
                <w:i/>
                <w:iCs/>
                <w:sz w:val="24"/>
                <w:szCs w:val="24"/>
              </w:rPr>
              <w:lastRenderedPageBreak/>
              <w:t>authorise that access unless [...] [he] is satisfied that the access has been agreed to by an appropriate consenting official of the foreign country</w:t>
            </w:r>
            <w:r>
              <w:rPr>
                <w:rFonts w:asciiTheme="majorBidi" w:hAnsiTheme="majorBidi" w:cstheme="majorBidi"/>
                <w:iCs/>
                <w:sz w:val="24"/>
                <w:szCs w:val="24"/>
              </w:rPr>
              <w:t>"</w:t>
            </w:r>
            <w:r>
              <w:rPr>
                <w:rFonts w:asciiTheme="majorBidi" w:hAnsiTheme="majorBidi" w:cstheme="majorBidi"/>
                <w:i/>
                <w:iCs/>
                <w:sz w:val="24"/>
                <w:szCs w:val="24"/>
              </w:rPr>
              <w:t>.</w:t>
            </w:r>
          </w:p>
        </w:tc>
        <w:tc>
          <w:tcPr>
            <w:tcW w:w="2693" w:type="dxa"/>
            <w:tcBorders>
              <w:top w:val="single" w:sz="4" w:space="0" w:color="auto"/>
              <w:left w:val="single" w:sz="4" w:space="0" w:color="auto"/>
              <w:bottom w:val="single" w:sz="4" w:space="0" w:color="auto"/>
              <w:right w:val="single" w:sz="4" w:space="0" w:color="auto"/>
            </w:tcBorders>
            <w:hideMark/>
          </w:tcPr>
          <w:p w14:paraId="4034A334" w14:textId="77777777" w:rsidR="005A60D3" w:rsidRDefault="005A60D3">
            <w:pPr>
              <w:bidi w:val="0"/>
              <w:jc w:val="both"/>
              <w:rPr>
                <w:rFonts w:asciiTheme="majorBidi" w:hAnsiTheme="majorBidi" w:cstheme="majorBidi"/>
                <w:sz w:val="24"/>
                <w:szCs w:val="24"/>
                <w:rtl/>
              </w:rPr>
            </w:pPr>
            <w:hyperlink r:id="rId12" w:history="1">
              <w:r>
                <w:rPr>
                  <w:rStyle w:val="Hyperlink"/>
                  <w:rFonts w:asciiTheme="majorBidi" w:hAnsiTheme="majorBidi" w:cstheme="majorBidi"/>
                  <w:sz w:val="24"/>
                  <w:szCs w:val="24"/>
                </w:rPr>
                <w:t>Explanatory Statement</w:t>
              </w:r>
            </w:hyperlink>
            <w:r>
              <w:rPr>
                <w:rFonts w:asciiTheme="majorBidi" w:hAnsiTheme="majorBidi" w:cstheme="majorBidi"/>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shd w:val="clear" w:color="auto" w:fill="FFFFFF"/>
              </w:rPr>
              <w:t xml:space="preserve">When carrying out investigative acts with regard to data that appear to be located in </w:t>
            </w:r>
            <w:r>
              <w:rPr>
                <w:rFonts w:asciiTheme="majorBidi" w:hAnsiTheme="majorBidi" w:cstheme="majorBidi"/>
                <w:i/>
                <w:iCs/>
                <w:sz w:val="24"/>
                <w:szCs w:val="24"/>
                <w:shd w:val="clear" w:color="auto" w:fill="FFFFFF"/>
              </w:rPr>
              <w:lastRenderedPageBreak/>
              <w:t>the territory of another state, it is important that permission is requested from the country concerned as soon as possible.</w:t>
            </w:r>
            <w:r>
              <w:rPr>
                <w:rFonts w:asciiTheme="majorBidi" w:hAnsiTheme="majorBidi" w:cstheme="majorBidi"/>
                <w:iCs/>
                <w:sz w:val="24"/>
                <w:szCs w:val="24"/>
                <w:shd w:val="clear" w:color="auto" w:fill="FFFFFF"/>
              </w:rPr>
              <w:t>"</w:t>
            </w:r>
          </w:p>
        </w:tc>
        <w:tc>
          <w:tcPr>
            <w:tcW w:w="2835" w:type="dxa"/>
            <w:tcBorders>
              <w:top w:val="single" w:sz="4" w:space="0" w:color="auto"/>
              <w:left w:val="single" w:sz="4" w:space="0" w:color="auto"/>
              <w:bottom w:val="single" w:sz="4" w:space="0" w:color="auto"/>
              <w:right w:val="single" w:sz="4" w:space="0" w:color="auto"/>
            </w:tcBorders>
          </w:tcPr>
          <w:p w14:paraId="3E65CDDE" w14:textId="77777777" w:rsidR="005A60D3" w:rsidRDefault="005A60D3">
            <w:pPr>
              <w:bidi w:val="0"/>
              <w:jc w:val="both"/>
              <w:rPr>
                <w:rFonts w:ascii="David" w:hAnsi="David" w:cs="David"/>
                <w:sz w:val="24"/>
                <w:szCs w:val="24"/>
                <w:rtl/>
              </w:rPr>
            </w:pPr>
          </w:p>
        </w:tc>
        <w:tc>
          <w:tcPr>
            <w:tcW w:w="2268" w:type="dxa"/>
            <w:tcBorders>
              <w:top w:val="single" w:sz="4" w:space="0" w:color="auto"/>
              <w:left w:val="single" w:sz="4" w:space="0" w:color="auto"/>
              <w:bottom w:val="single" w:sz="4" w:space="0" w:color="auto"/>
              <w:right w:val="single" w:sz="4" w:space="0" w:color="auto"/>
            </w:tcBorders>
          </w:tcPr>
          <w:p w14:paraId="62979E87" w14:textId="77777777" w:rsidR="005A60D3" w:rsidRDefault="005A60D3">
            <w:pPr>
              <w:bidi w:val="0"/>
              <w:jc w:val="both"/>
              <w:rPr>
                <w:rFonts w:ascii="David" w:hAnsi="David" w:cs="David"/>
                <w:sz w:val="24"/>
                <w:szCs w:val="24"/>
                <w:rtl/>
              </w:rPr>
            </w:pPr>
          </w:p>
        </w:tc>
        <w:tc>
          <w:tcPr>
            <w:tcW w:w="2971" w:type="dxa"/>
            <w:tcBorders>
              <w:top w:val="single" w:sz="4" w:space="0" w:color="auto"/>
              <w:left w:val="single" w:sz="4" w:space="0" w:color="auto"/>
              <w:bottom w:val="single" w:sz="4" w:space="0" w:color="auto"/>
              <w:right w:val="single" w:sz="4" w:space="0" w:color="auto"/>
            </w:tcBorders>
            <w:hideMark/>
          </w:tcPr>
          <w:p w14:paraId="6DA99BEC" w14:textId="77777777" w:rsidR="005A60D3" w:rsidRDefault="005A60D3">
            <w:pPr>
              <w:autoSpaceDE w:val="0"/>
              <w:autoSpaceDN w:val="0"/>
              <w:bidi w:val="0"/>
              <w:adjustRightInd w:val="0"/>
              <w:rPr>
                <w:rFonts w:ascii="Times New Roman" w:hAnsi="Times New Roman" w:cs="Times New Roman"/>
                <w:i/>
                <w:iCs/>
              </w:rPr>
            </w:pPr>
            <w:hyperlink r:id="rId13" w:history="1">
              <w:r>
                <w:rPr>
                  <w:rStyle w:val="Hyperlink"/>
                  <w:rFonts w:ascii="Times New Roman" w:hAnsi="Times New Roman" w:cs="Times New Roman"/>
                </w:rPr>
                <w:t>Department of Justice policies</w:t>
              </w:r>
            </w:hyperlink>
            <w:r>
              <w:rPr>
                <w:rFonts w:ascii="Times New Roman" w:hAnsi="Times New Roman" w:cs="Times New Roman"/>
              </w:rPr>
              <w:t xml:space="preserve"> instruct law enforcement officers to: "</w:t>
            </w:r>
            <w:r>
              <w:rPr>
                <w:rFonts w:ascii="Times New Roman" w:hAnsi="Times New Roman" w:cs="Times New Roman"/>
                <w:i/>
                <w:iCs/>
              </w:rPr>
              <w:t>exercise their functions in the territory of another country only with</w:t>
            </w:r>
          </w:p>
          <w:p w14:paraId="1ECFA8BE" w14:textId="77777777" w:rsidR="005A60D3" w:rsidRDefault="005A60D3">
            <w:pPr>
              <w:autoSpaceDE w:val="0"/>
              <w:autoSpaceDN w:val="0"/>
              <w:bidi w:val="0"/>
              <w:adjustRightInd w:val="0"/>
              <w:rPr>
                <w:rFonts w:ascii="David" w:hAnsi="David" w:cs="David"/>
                <w:sz w:val="24"/>
                <w:szCs w:val="24"/>
              </w:rPr>
            </w:pPr>
            <w:r>
              <w:rPr>
                <w:rFonts w:ascii="Times New Roman" w:hAnsi="Times New Roman" w:cs="Times New Roman"/>
                <w:i/>
                <w:iCs/>
              </w:rPr>
              <w:lastRenderedPageBreak/>
              <w:t>the consent of that country [...] Moreover U.S. law enforcement should only make direct contact with an ISP located in [a foreign country] with (1) prior permission of the foreign government; (2) approval of [the Department of Justice’s] Office of International Affairs . . . ; or (3) other clear indicia that such practice would not be objectionable in [the foreign country]</w:t>
            </w:r>
            <w:r>
              <w:rPr>
                <w:rFonts w:ascii="David" w:hAnsi="David" w:cs="David"/>
                <w:sz w:val="24"/>
                <w:szCs w:val="24"/>
              </w:rPr>
              <w:t>"</w:t>
            </w:r>
            <w:r>
              <w:rPr>
                <w:rFonts w:ascii="David" w:hAnsi="David" w:cs="David"/>
                <w:i/>
                <w:iCs/>
                <w:sz w:val="24"/>
                <w:szCs w:val="24"/>
              </w:rPr>
              <w:t>.</w:t>
            </w:r>
          </w:p>
        </w:tc>
      </w:tr>
      <w:tr w:rsidR="005A60D3" w14:paraId="355F46FA"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13C3B4D" w14:textId="77777777" w:rsidR="005A60D3" w:rsidRDefault="005A60D3">
            <w:pPr>
              <w:bidi w:val="0"/>
              <w:jc w:val="right"/>
              <w:rPr>
                <w:rFonts w:ascii="David" w:hAnsi="David" w:cs="David"/>
                <w:sz w:val="24"/>
                <w:szCs w:val="24"/>
              </w:rPr>
            </w:pPr>
            <w:r>
              <w:rPr>
                <w:rFonts w:ascii="David" w:hAnsi="David" w:cs="David"/>
                <w:sz w:val="24"/>
                <w:szCs w:val="24"/>
                <w:rtl/>
              </w:rPr>
              <w:lastRenderedPageBreak/>
              <w:t>דרישה ליידוע בלבד (ללא הסכמה) של המדינה בה מתבצע החיפוש</w:t>
            </w:r>
          </w:p>
        </w:tc>
        <w:tc>
          <w:tcPr>
            <w:tcW w:w="3119" w:type="dxa"/>
            <w:tcBorders>
              <w:top w:val="single" w:sz="4" w:space="0" w:color="auto"/>
              <w:left w:val="single" w:sz="4" w:space="0" w:color="auto"/>
              <w:bottom w:val="single" w:sz="4" w:space="0" w:color="auto"/>
              <w:right w:val="single" w:sz="4" w:space="0" w:color="auto"/>
            </w:tcBorders>
            <w:hideMark/>
          </w:tcPr>
          <w:p w14:paraId="2EBBFAD3" w14:textId="77777777" w:rsidR="005A60D3" w:rsidRDefault="005A60D3">
            <w:pPr>
              <w:bidi w:val="0"/>
              <w:jc w:val="both"/>
              <w:rPr>
                <w:rFonts w:asciiTheme="majorBidi" w:hAnsiTheme="majorBidi" w:cstheme="majorBidi"/>
                <w:sz w:val="24"/>
                <w:szCs w:val="24"/>
                <w:rtl/>
              </w:rPr>
            </w:pPr>
            <w:r>
              <w:rPr>
                <w:rFonts w:asciiTheme="majorBidi" w:hAnsiTheme="majorBidi" w:cstheme="majorBidi"/>
                <w:sz w:val="24"/>
                <w:szCs w:val="24"/>
              </w:rPr>
              <w:t xml:space="preserve">A Consent is required. See above. </w:t>
            </w:r>
          </w:p>
        </w:tc>
        <w:tc>
          <w:tcPr>
            <w:tcW w:w="2693" w:type="dxa"/>
            <w:tcBorders>
              <w:top w:val="single" w:sz="4" w:space="0" w:color="auto"/>
              <w:left w:val="single" w:sz="4" w:space="0" w:color="auto"/>
              <w:bottom w:val="single" w:sz="4" w:space="0" w:color="auto"/>
              <w:right w:val="single" w:sz="4" w:space="0" w:color="auto"/>
            </w:tcBorders>
            <w:hideMark/>
          </w:tcPr>
          <w:p w14:paraId="7C92423F" w14:textId="77777777" w:rsidR="005A60D3" w:rsidRDefault="005A60D3">
            <w:pPr>
              <w:bidi w:val="0"/>
              <w:jc w:val="both"/>
              <w:rPr>
                <w:rFonts w:asciiTheme="majorBidi" w:hAnsiTheme="majorBidi" w:cstheme="majorBidi"/>
                <w:sz w:val="24"/>
                <w:szCs w:val="24"/>
              </w:rPr>
            </w:pPr>
            <w:r>
              <w:rPr>
                <w:rFonts w:asciiTheme="majorBidi" w:hAnsiTheme="majorBidi" w:cstheme="majorBidi"/>
                <w:sz w:val="24"/>
                <w:szCs w:val="24"/>
              </w:rPr>
              <w:t xml:space="preserve">A Consent is required. See above. </w:t>
            </w:r>
          </w:p>
        </w:tc>
        <w:tc>
          <w:tcPr>
            <w:tcW w:w="2835" w:type="dxa"/>
            <w:tcBorders>
              <w:top w:val="single" w:sz="4" w:space="0" w:color="auto"/>
              <w:left w:val="single" w:sz="4" w:space="0" w:color="auto"/>
              <w:bottom w:val="single" w:sz="4" w:space="0" w:color="auto"/>
              <w:right w:val="single" w:sz="4" w:space="0" w:color="auto"/>
            </w:tcBorders>
            <w:hideMark/>
          </w:tcPr>
          <w:p w14:paraId="120463AD" w14:textId="77777777" w:rsidR="005A60D3" w:rsidRDefault="005A60D3">
            <w:pPr>
              <w:bidi w:val="0"/>
              <w:jc w:val="both"/>
              <w:rPr>
                <w:rFonts w:asciiTheme="majorBidi" w:hAnsiTheme="majorBidi" w:cstheme="majorBidi"/>
                <w:sz w:val="24"/>
                <w:szCs w:val="24"/>
              </w:rPr>
            </w:pPr>
            <w:hyperlink r:id="rId14" w:history="1">
              <w:r>
                <w:rPr>
                  <w:rStyle w:val="Hyperlink"/>
                  <w:rFonts w:asciiTheme="majorBidi" w:hAnsiTheme="majorBidi" w:cstheme="majorBidi"/>
                  <w:sz w:val="24"/>
                  <w:szCs w:val="24"/>
                </w:rPr>
                <w:t>Article 39bis(3) of the Criminal Code</w:t>
              </w:r>
            </w:hyperlink>
            <w:r>
              <w:rPr>
                <w:rFonts w:asciiTheme="majorBidi" w:hAnsiTheme="majorBidi" w:cstheme="majorBidi"/>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rPr>
              <w:t>When it turns out that this data is not in Kingdom territory [...] the public prosecutor immediately communicates this information to the Federal Public Justice Service, which informs the competent authorities of the state concerned, if this can reasonably be determined.</w:t>
            </w:r>
            <w:r>
              <w:rPr>
                <w:rFonts w:asciiTheme="majorBidi" w:hAnsiTheme="majorBidi" w:cstheme="majorBidi"/>
                <w:iCs/>
                <w:sz w:val="24"/>
                <w:szCs w:val="24"/>
              </w:rPr>
              <w:t>"</w:t>
            </w:r>
          </w:p>
        </w:tc>
        <w:tc>
          <w:tcPr>
            <w:tcW w:w="2268" w:type="dxa"/>
            <w:tcBorders>
              <w:top w:val="single" w:sz="4" w:space="0" w:color="auto"/>
              <w:left w:val="single" w:sz="4" w:space="0" w:color="auto"/>
              <w:bottom w:val="single" w:sz="4" w:space="0" w:color="auto"/>
              <w:right w:val="single" w:sz="4" w:space="0" w:color="auto"/>
            </w:tcBorders>
          </w:tcPr>
          <w:p w14:paraId="4D708FD4" w14:textId="77777777" w:rsidR="005A60D3" w:rsidRDefault="005A60D3">
            <w:pPr>
              <w:bidi w:val="0"/>
              <w:jc w:val="both"/>
              <w:rPr>
                <w:rFonts w:asciiTheme="majorBidi" w:hAnsiTheme="majorBidi" w:cstheme="majorBidi"/>
                <w:sz w:val="24"/>
                <w:szCs w:val="24"/>
              </w:rPr>
            </w:pPr>
          </w:p>
        </w:tc>
        <w:tc>
          <w:tcPr>
            <w:tcW w:w="2971" w:type="dxa"/>
            <w:tcBorders>
              <w:top w:val="single" w:sz="4" w:space="0" w:color="auto"/>
              <w:left w:val="single" w:sz="4" w:space="0" w:color="auto"/>
              <w:bottom w:val="single" w:sz="4" w:space="0" w:color="auto"/>
              <w:right w:val="single" w:sz="4" w:space="0" w:color="auto"/>
            </w:tcBorders>
          </w:tcPr>
          <w:p w14:paraId="724AA9C1" w14:textId="77777777" w:rsidR="005A60D3" w:rsidRDefault="005A60D3">
            <w:pPr>
              <w:bidi w:val="0"/>
              <w:jc w:val="both"/>
              <w:rPr>
                <w:rFonts w:asciiTheme="majorBidi" w:hAnsiTheme="majorBidi" w:cstheme="majorBidi"/>
                <w:sz w:val="24"/>
                <w:szCs w:val="24"/>
              </w:rPr>
            </w:pPr>
          </w:p>
        </w:tc>
      </w:tr>
      <w:tr w:rsidR="005A60D3" w14:paraId="2B04A786"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332B406" w14:textId="77777777" w:rsidR="005A60D3" w:rsidRDefault="005A60D3">
            <w:pPr>
              <w:bidi w:val="0"/>
              <w:jc w:val="right"/>
              <w:rPr>
                <w:rFonts w:ascii="David" w:hAnsi="David" w:cs="David"/>
                <w:sz w:val="24"/>
                <w:szCs w:val="24"/>
                <w:rtl/>
              </w:rPr>
            </w:pPr>
            <w:r>
              <w:rPr>
                <w:rFonts w:ascii="David" w:hAnsi="David" w:cs="David"/>
                <w:sz w:val="24"/>
                <w:szCs w:val="24"/>
                <w:rtl/>
              </w:rPr>
              <w:t>מקור הסמכות לבצע חיפוש במצב שבו מיקום המידע אינו ידוע</w:t>
            </w:r>
          </w:p>
        </w:tc>
        <w:tc>
          <w:tcPr>
            <w:tcW w:w="3119" w:type="dxa"/>
            <w:tcBorders>
              <w:top w:val="single" w:sz="4" w:space="0" w:color="auto"/>
              <w:left w:val="single" w:sz="4" w:space="0" w:color="auto"/>
              <w:bottom w:val="single" w:sz="4" w:space="0" w:color="auto"/>
              <w:right w:val="single" w:sz="4" w:space="0" w:color="auto"/>
            </w:tcBorders>
          </w:tcPr>
          <w:p w14:paraId="6B30FD6E" w14:textId="77777777" w:rsidR="005A60D3" w:rsidRDefault="005A60D3">
            <w:pPr>
              <w:pStyle w:val="Default"/>
              <w:jc w:val="both"/>
              <w:rPr>
                <w:rFonts w:asciiTheme="majorBidi" w:hAnsiTheme="majorBidi" w:cstheme="majorBidi"/>
                <w:i/>
                <w:iCs/>
                <w:color w:val="auto"/>
              </w:rPr>
            </w:pPr>
            <w:r>
              <w:rPr>
                <w:rFonts w:asciiTheme="majorBidi" w:hAnsiTheme="majorBidi" w:cstheme="majorBidi"/>
                <w:color w:val="auto"/>
              </w:rPr>
              <w:t xml:space="preserve">Section 43A(4) of the Surveillance Devices Act 2004: </w:t>
            </w:r>
            <w:r>
              <w:rPr>
                <w:rFonts w:asciiTheme="majorBidi" w:hAnsiTheme="majorBidi" w:cstheme="majorBidi"/>
                <w:iCs/>
                <w:color w:val="auto"/>
              </w:rPr>
              <w:t>"</w:t>
            </w:r>
            <w:r>
              <w:rPr>
                <w:rFonts w:asciiTheme="majorBidi" w:hAnsiTheme="majorBidi" w:cstheme="majorBidi"/>
                <w:i/>
                <w:iCs/>
                <w:color w:val="auto"/>
              </w:rPr>
              <w:t>Subsections (1), (2) and (3) do not apply to a computer access warrant authorising access to data if:</w:t>
            </w:r>
          </w:p>
          <w:p w14:paraId="51774817" w14:textId="77777777" w:rsidR="005A60D3" w:rsidRDefault="005A60D3">
            <w:pPr>
              <w:autoSpaceDE w:val="0"/>
              <w:autoSpaceDN w:val="0"/>
              <w:bidi w:val="0"/>
              <w:adjustRightInd w:val="0"/>
              <w:jc w:val="both"/>
              <w:rPr>
                <w:rFonts w:asciiTheme="majorBidi" w:hAnsiTheme="majorBidi" w:cstheme="majorBidi"/>
                <w:i/>
                <w:iCs/>
                <w:sz w:val="24"/>
                <w:szCs w:val="24"/>
              </w:rPr>
            </w:pPr>
            <w:r>
              <w:rPr>
                <w:rFonts w:asciiTheme="majorBidi" w:hAnsiTheme="majorBidi" w:cstheme="majorBidi"/>
                <w:i/>
                <w:iCs/>
                <w:sz w:val="24"/>
                <w:szCs w:val="24"/>
              </w:rPr>
              <w:t>(a[...]; and</w:t>
            </w:r>
          </w:p>
          <w:p w14:paraId="6815802E" w14:textId="77777777" w:rsidR="005A60D3" w:rsidRDefault="005A60D3">
            <w:pPr>
              <w:bidi w:val="0"/>
              <w:jc w:val="both"/>
              <w:rPr>
                <w:rFonts w:ascii="David" w:hAnsi="David" w:cs="David"/>
                <w:sz w:val="24"/>
                <w:szCs w:val="24"/>
              </w:rPr>
            </w:pPr>
            <w:r>
              <w:rPr>
                <w:rFonts w:asciiTheme="majorBidi" w:hAnsiTheme="majorBidi" w:cstheme="majorBidi"/>
                <w:i/>
                <w:iCs/>
                <w:sz w:val="24"/>
                <w:szCs w:val="24"/>
              </w:rPr>
              <w:lastRenderedPageBreak/>
              <w:t>(b) the location where the data is held is unknown or cannot reasonably be determined.</w:t>
            </w:r>
            <w:r>
              <w:rPr>
                <w:rFonts w:asciiTheme="majorBidi" w:hAnsiTheme="majorBidi" w:cstheme="majorBidi"/>
                <w:iCs/>
                <w:sz w:val="24"/>
                <w:szCs w:val="24"/>
              </w:rPr>
              <w:t>"</w:t>
            </w:r>
          </w:p>
          <w:p w14:paraId="1BE35F25" w14:textId="77777777" w:rsidR="005A60D3" w:rsidRDefault="005A60D3">
            <w:pPr>
              <w:bidi w:val="0"/>
              <w:jc w:val="both"/>
              <w:rPr>
                <w:rFonts w:ascii="David" w:hAnsi="David" w:cs="David"/>
                <w:sz w:val="24"/>
                <w:szCs w:val="24"/>
                <w:rtl/>
              </w:rPr>
            </w:pPr>
          </w:p>
          <w:p w14:paraId="7CC5E0A2" w14:textId="77777777" w:rsidR="005A60D3" w:rsidRDefault="005A60D3">
            <w:pPr>
              <w:shd w:val="clear" w:color="auto" w:fill="FFFFFF"/>
              <w:bidi w:val="0"/>
              <w:spacing w:before="240"/>
              <w:ind w:hanging="11"/>
              <w:jc w:val="both"/>
              <w:rPr>
                <w:rFonts w:ascii="Times New Roman" w:eastAsia="Times New Roman" w:hAnsi="Times New Roman" w:cs="Times New Roman"/>
                <w:rtl/>
              </w:rPr>
            </w:pPr>
            <w:hyperlink r:id="rId15" w:history="1">
              <w:r>
                <w:rPr>
                  <w:rStyle w:val="Hyperlink"/>
                  <w:rFonts w:ascii="David" w:hAnsi="David" w:cs="David"/>
                  <w:sz w:val="24"/>
                  <w:szCs w:val="24"/>
                </w:rPr>
                <w:t>Explanatory Memorandum</w:t>
              </w:r>
            </w:hyperlink>
            <w:r>
              <w:rPr>
                <w:rFonts w:ascii="David" w:hAnsi="David" w:cs="David"/>
                <w:sz w:val="24"/>
                <w:szCs w:val="24"/>
              </w:rPr>
              <w:t>: "</w:t>
            </w:r>
            <w:r>
              <w:rPr>
                <w:rFonts w:ascii="Times New Roman" w:eastAsia="Times New Roman" w:hAnsi="Times New Roman" w:cs="Times New Roman"/>
                <w:i/>
                <w:iCs/>
                <w:sz w:val="24"/>
                <w:szCs w:val="24"/>
              </w:rPr>
              <w:t>In some instances the consent of a foreign official is not required notwithstanding the fact that the data may be held in a computer offshore. Where the person executing the warrant is physically present in Australia and the location of the data is unknown, or cannot reasonably be determined, the consent of a foreign official is not required</w:t>
            </w:r>
            <w:r>
              <w:rPr>
                <w:rFonts w:ascii="Times New Roman" w:eastAsia="Times New Roman" w:hAnsi="Times New Roman" w:cs="Times New Roman"/>
                <w:sz w:val="24"/>
                <w:szCs w:val="24"/>
              </w:rPr>
              <w:t>.</w:t>
            </w:r>
            <w:r>
              <w:rPr>
                <w:rFonts w:ascii="Times New Roman" w:eastAsia="Times New Roman" w:hAnsi="Times New Roman" w:cs="Times New Roman"/>
              </w:rPr>
              <w:t>"</w:t>
            </w:r>
          </w:p>
        </w:tc>
        <w:tc>
          <w:tcPr>
            <w:tcW w:w="2693" w:type="dxa"/>
            <w:tcBorders>
              <w:top w:val="single" w:sz="4" w:space="0" w:color="auto"/>
              <w:left w:val="single" w:sz="4" w:space="0" w:color="auto"/>
              <w:bottom w:val="single" w:sz="4" w:space="0" w:color="auto"/>
              <w:right w:val="single" w:sz="4" w:space="0" w:color="auto"/>
            </w:tcBorders>
            <w:hideMark/>
          </w:tcPr>
          <w:p w14:paraId="4E47B105" w14:textId="77777777" w:rsidR="005A60D3" w:rsidRDefault="005A60D3">
            <w:pPr>
              <w:tabs>
                <w:tab w:val="left" w:pos="2613"/>
              </w:tabs>
              <w:bidi w:val="0"/>
              <w:jc w:val="both"/>
              <w:rPr>
                <w:rFonts w:asciiTheme="majorBidi" w:hAnsiTheme="majorBidi" w:cstheme="majorBidi"/>
                <w:sz w:val="24"/>
                <w:szCs w:val="24"/>
                <w:rtl/>
              </w:rPr>
            </w:pPr>
            <w:hyperlink r:id="rId16" w:history="1">
              <w:r>
                <w:rPr>
                  <w:rStyle w:val="Hyperlink"/>
                  <w:rFonts w:asciiTheme="majorBidi" w:hAnsiTheme="majorBidi" w:cstheme="majorBidi"/>
                  <w:sz w:val="24"/>
                  <w:szCs w:val="24"/>
                </w:rPr>
                <w:t>Explanatory Statement</w:t>
              </w:r>
            </w:hyperlink>
            <w:r>
              <w:rPr>
                <w:rFonts w:asciiTheme="majorBidi" w:hAnsiTheme="majorBidi" w:cstheme="majorBidi"/>
                <w:sz w:val="24"/>
                <w:szCs w:val="24"/>
                <w:shd w:val="clear" w:color="auto" w:fill="FFFFFF"/>
              </w:rPr>
              <w:t xml:space="preserve">: </w:t>
            </w:r>
            <w:r>
              <w:rPr>
                <w:rFonts w:asciiTheme="majorBidi" w:hAnsiTheme="majorBidi" w:cstheme="majorBidi"/>
                <w:iCs/>
                <w:sz w:val="24"/>
                <w:szCs w:val="24"/>
                <w:shd w:val="clear" w:color="auto" w:fill="FFFFFF"/>
              </w:rPr>
              <w:t>"</w:t>
            </w:r>
            <w:r>
              <w:rPr>
                <w:rFonts w:asciiTheme="majorBidi" w:hAnsiTheme="majorBidi" w:cstheme="majorBidi"/>
                <w:i/>
                <w:iCs/>
                <w:sz w:val="24"/>
                <w:szCs w:val="24"/>
                <w:shd w:val="clear" w:color="auto" w:fill="FFFFFF"/>
              </w:rPr>
              <w:t xml:space="preserve">In these cases, a piece of data is not always traceable to an IP address and there is not always knowledge of the location of the data </w:t>
            </w:r>
            <w:r>
              <w:rPr>
                <w:rFonts w:asciiTheme="majorBidi" w:hAnsiTheme="majorBidi" w:cstheme="majorBidi"/>
                <w:i/>
                <w:iCs/>
                <w:sz w:val="24"/>
                <w:szCs w:val="24"/>
                <w:shd w:val="clear" w:color="auto" w:fill="FFFFFF"/>
              </w:rPr>
              <w:lastRenderedPageBreak/>
              <w:t>[...]. This may mean that remote access is secretly made to an automated work of which it is not known where it is located, for example a server [...].</w:t>
            </w:r>
            <w:r>
              <w:rPr>
                <w:rFonts w:asciiTheme="majorBidi" w:hAnsiTheme="majorBidi" w:cstheme="majorBidi"/>
                <w:iCs/>
                <w:sz w:val="24"/>
                <w:szCs w:val="24"/>
                <w:shd w:val="clear" w:color="auto" w:fill="FFFFFF"/>
              </w:rPr>
              <w:t>"</w:t>
            </w:r>
          </w:p>
        </w:tc>
        <w:tc>
          <w:tcPr>
            <w:tcW w:w="2835" w:type="dxa"/>
            <w:tcBorders>
              <w:top w:val="single" w:sz="4" w:space="0" w:color="auto"/>
              <w:left w:val="single" w:sz="4" w:space="0" w:color="auto"/>
              <w:bottom w:val="single" w:sz="4" w:space="0" w:color="auto"/>
              <w:right w:val="single" w:sz="4" w:space="0" w:color="auto"/>
            </w:tcBorders>
          </w:tcPr>
          <w:p w14:paraId="2F5EE48F" w14:textId="77777777" w:rsidR="005A60D3" w:rsidRDefault="005A60D3">
            <w:pPr>
              <w:bidi w:val="0"/>
              <w:jc w:val="both"/>
              <w:rPr>
                <w:rFonts w:ascii="David" w:hAnsi="David" w:cs="David"/>
                <w:sz w:val="24"/>
                <w:szCs w:val="24"/>
              </w:rPr>
            </w:pPr>
          </w:p>
        </w:tc>
        <w:tc>
          <w:tcPr>
            <w:tcW w:w="2268" w:type="dxa"/>
            <w:tcBorders>
              <w:top w:val="single" w:sz="4" w:space="0" w:color="auto"/>
              <w:left w:val="single" w:sz="4" w:space="0" w:color="auto"/>
              <w:bottom w:val="single" w:sz="4" w:space="0" w:color="auto"/>
              <w:right w:val="single" w:sz="4" w:space="0" w:color="auto"/>
            </w:tcBorders>
            <w:hideMark/>
          </w:tcPr>
          <w:p w14:paraId="66731052" w14:textId="77777777" w:rsidR="005A60D3" w:rsidRDefault="005A60D3">
            <w:pPr>
              <w:pStyle w:val="Default"/>
              <w:jc w:val="both"/>
              <w:rPr>
                <w:rFonts w:asciiTheme="majorBidi" w:hAnsiTheme="majorBidi" w:cstheme="majorBidi"/>
                <w:color w:val="auto"/>
                <w:rtl/>
              </w:rPr>
            </w:pPr>
            <w:r>
              <w:rPr>
                <w:rFonts w:asciiTheme="majorBidi" w:hAnsiTheme="majorBidi" w:cstheme="majorBidi"/>
                <w:color w:val="auto"/>
              </w:rPr>
              <w:t>According to a Public Prosecutor at the Prosecutor General’s Office of Portugal,</w:t>
            </w:r>
            <w:r>
              <w:rPr>
                <w:rStyle w:val="ad"/>
                <w:rFonts w:asciiTheme="majorBidi" w:hAnsiTheme="majorBidi" w:cstheme="majorBidi"/>
                <w:color w:val="auto"/>
              </w:rPr>
              <w:footnoteReference w:id="1"/>
            </w:r>
            <w:r>
              <w:rPr>
                <w:rFonts w:asciiTheme="majorBidi" w:hAnsiTheme="majorBidi" w:cstheme="majorBidi"/>
                <w:color w:val="auto"/>
              </w:rPr>
              <w:t xml:space="preserve"> </w:t>
            </w:r>
            <w:r>
              <w:rPr>
                <w:rFonts w:asciiTheme="majorBidi" w:hAnsiTheme="majorBidi" w:cstheme="majorBidi"/>
                <w:iCs/>
                <w:color w:val="auto"/>
              </w:rPr>
              <w:t>"</w:t>
            </w:r>
            <w:r>
              <w:rPr>
                <w:rFonts w:asciiTheme="majorBidi" w:hAnsiTheme="majorBidi" w:cstheme="majorBidi"/>
                <w:i/>
                <w:iCs/>
                <w:color w:val="auto"/>
              </w:rPr>
              <w:t xml:space="preserve">the search can be extended to either </w:t>
            </w:r>
            <w:r>
              <w:rPr>
                <w:rFonts w:asciiTheme="majorBidi" w:hAnsiTheme="majorBidi" w:cstheme="majorBidi"/>
                <w:i/>
                <w:iCs/>
                <w:color w:val="auto"/>
              </w:rPr>
              <w:lastRenderedPageBreak/>
              <w:t>systems located within the Portuguese territory or to systems located elsewhere, abroad or even in an unknown location.</w:t>
            </w:r>
            <w:r>
              <w:rPr>
                <w:rFonts w:asciiTheme="majorBidi" w:hAnsiTheme="majorBidi" w:cstheme="majorBidi"/>
                <w:iCs/>
                <w:color w:val="auto"/>
              </w:rPr>
              <w:t>"</w:t>
            </w:r>
          </w:p>
        </w:tc>
        <w:tc>
          <w:tcPr>
            <w:tcW w:w="2971" w:type="dxa"/>
            <w:tcBorders>
              <w:top w:val="single" w:sz="4" w:space="0" w:color="auto"/>
              <w:left w:val="single" w:sz="4" w:space="0" w:color="auto"/>
              <w:bottom w:val="single" w:sz="4" w:space="0" w:color="auto"/>
              <w:right w:val="single" w:sz="4" w:space="0" w:color="auto"/>
            </w:tcBorders>
            <w:hideMark/>
          </w:tcPr>
          <w:p w14:paraId="674619D7" w14:textId="77777777" w:rsidR="005A60D3" w:rsidRDefault="005A60D3">
            <w:pPr>
              <w:autoSpaceDE w:val="0"/>
              <w:autoSpaceDN w:val="0"/>
              <w:bidi w:val="0"/>
              <w:adjustRightInd w:val="0"/>
              <w:rPr>
                <w:rFonts w:ascii="Times New Roman" w:hAnsi="Times New Roman" w:cs="Times New Roman"/>
                <w:i/>
                <w:iCs/>
              </w:rPr>
            </w:pPr>
            <w:r>
              <w:rPr>
                <w:rFonts w:asciiTheme="majorBidi" w:hAnsiTheme="majorBidi" w:cstheme="majorBidi"/>
              </w:rPr>
              <w:lastRenderedPageBreak/>
              <w:t>According to Rauschecker,</w:t>
            </w:r>
            <w:r>
              <w:rPr>
                <w:rStyle w:val="ad"/>
                <w:rFonts w:asciiTheme="majorBidi" w:hAnsiTheme="majorBidi" w:cstheme="majorBidi"/>
              </w:rPr>
              <w:footnoteReference w:id="2"/>
            </w:r>
            <w:r>
              <w:rPr>
                <w:rFonts w:asciiTheme="majorBidi" w:hAnsiTheme="majorBidi" w:cstheme="majorBidi"/>
              </w:rPr>
              <w:t xml:space="preserve"> </w:t>
            </w:r>
            <w:r>
              <w:rPr>
                <w:rFonts w:asciiTheme="majorBidi" w:hAnsiTheme="majorBidi" w:cstheme="majorBidi"/>
                <w:i/>
                <w:iCs/>
              </w:rPr>
              <w:t>"</w:t>
            </w:r>
            <w:r>
              <w:rPr>
                <w:rFonts w:ascii="Times New Roman" w:hAnsi="Times New Roman" w:cs="Times New Roman"/>
                <w:i/>
                <w:iCs/>
              </w:rPr>
              <w:t>Nevertheless, if law enforcement does not actually know where a computer</w:t>
            </w:r>
          </w:p>
          <w:p w14:paraId="075A3735" w14:textId="77777777" w:rsidR="005A60D3" w:rsidRDefault="005A60D3">
            <w:pPr>
              <w:autoSpaceDE w:val="0"/>
              <w:autoSpaceDN w:val="0"/>
              <w:bidi w:val="0"/>
              <w:adjustRightInd w:val="0"/>
              <w:rPr>
                <w:rFonts w:asciiTheme="majorBidi" w:hAnsiTheme="majorBidi" w:cstheme="majorBidi"/>
              </w:rPr>
            </w:pPr>
            <w:r>
              <w:rPr>
                <w:rFonts w:ascii="Times New Roman" w:hAnsi="Times New Roman" w:cs="Times New Roman"/>
                <w:i/>
                <w:iCs/>
              </w:rPr>
              <w:t>is located, it may very well end up searching a computer that is located in another country."</w:t>
            </w:r>
          </w:p>
        </w:tc>
      </w:tr>
      <w:tr w:rsidR="005A60D3" w14:paraId="77AD0506"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9B8D27" w14:textId="77777777" w:rsidR="005A60D3" w:rsidRDefault="005A60D3">
            <w:pPr>
              <w:bidi w:val="0"/>
              <w:jc w:val="right"/>
              <w:rPr>
                <w:rFonts w:ascii="David" w:hAnsi="David" w:cs="David"/>
                <w:sz w:val="24"/>
                <w:szCs w:val="24"/>
              </w:rPr>
            </w:pPr>
            <w:r>
              <w:rPr>
                <w:rFonts w:ascii="David" w:hAnsi="David" w:cs="David"/>
                <w:sz w:val="24"/>
                <w:szCs w:val="24"/>
                <w:rtl/>
              </w:rPr>
              <w:lastRenderedPageBreak/>
              <w:t>אופי סמכות החיפוש</w:t>
            </w:r>
          </w:p>
        </w:tc>
        <w:tc>
          <w:tcPr>
            <w:tcW w:w="3119" w:type="dxa"/>
            <w:tcBorders>
              <w:top w:val="single" w:sz="4" w:space="0" w:color="auto"/>
              <w:left w:val="single" w:sz="4" w:space="0" w:color="auto"/>
              <w:bottom w:val="single" w:sz="4" w:space="0" w:color="auto"/>
              <w:right w:val="single" w:sz="4" w:space="0" w:color="auto"/>
            </w:tcBorders>
          </w:tcPr>
          <w:p w14:paraId="26830A54" w14:textId="77777777" w:rsidR="005A60D3" w:rsidRDefault="005A60D3">
            <w:pPr>
              <w:bidi w:val="0"/>
              <w:jc w:val="both"/>
              <w:rPr>
                <w:rFonts w:ascii="David" w:hAnsi="David" w:cs="David"/>
                <w:sz w:val="24"/>
                <w:szCs w:val="24"/>
                <w:rtl/>
              </w:rPr>
            </w:pPr>
          </w:p>
        </w:tc>
        <w:tc>
          <w:tcPr>
            <w:tcW w:w="2693" w:type="dxa"/>
            <w:tcBorders>
              <w:top w:val="single" w:sz="4" w:space="0" w:color="auto"/>
              <w:left w:val="single" w:sz="4" w:space="0" w:color="auto"/>
              <w:bottom w:val="single" w:sz="4" w:space="0" w:color="auto"/>
              <w:right w:val="single" w:sz="4" w:space="0" w:color="auto"/>
            </w:tcBorders>
          </w:tcPr>
          <w:p w14:paraId="0C30076B" w14:textId="77777777" w:rsidR="005A60D3" w:rsidRDefault="005A60D3">
            <w:pPr>
              <w:autoSpaceDE w:val="0"/>
              <w:autoSpaceDN w:val="0"/>
              <w:bidi w:val="0"/>
              <w:adjustRightInd w:val="0"/>
              <w:jc w:val="both"/>
              <w:rPr>
                <w:rFonts w:asciiTheme="majorBidi" w:hAnsiTheme="majorBidi" w:cstheme="majorBidi"/>
                <w:sz w:val="24"/>
                <w:szCs w:val="24"/>
                <w:shd w:val="clear" w:color="auto" w:fill="FFFFFF"/>
              </w:rPr>
            </w:pPr>
            <w:r>
              <w:rPr>
                <w:rFonts w:asciiTheme="majorBidi" w:hAnsiTheme="majorBidi" w:cstheme="majorBidi"/>
                <w:sz w:val="24"/>
                <w:szCs w:val="24"/>
              </w:rPr>
              <w:t xml:space="preserve">For "basic" offences, </w:t>
            </w:r>
            <w:hyperlink r:id="rId17" w:history="1">
              <w:r>
                <w:rPr>
                  <w:rStyle w:val="Hyperlink"/>
                  <w:rFonts w:asciiTheme="majorBidi" w:hAnsiTheme="majorBidi" w:cstheme="majorBidi"/>
                  <w:sz w:val="24"/>
                  <w:szCs w:val="24"/>
                </w:rPr>
                <w:t>article 126nba(1) of the Code of Criminal Procedure</w:t>
              </w:r>
            </w:hyperlink>
            <w:r>
              <w:rPr>
                <w:rFonts w:asciiTheme="majorBidi" w:hAnsiTheme="majorBidi" w:cstheme="majorBidi"/>
                <w:sz w:val="24"/>
                <w:szCs w:val="24"/>
              </w:rPr>
              <w:t xml:space="preserve"> provides that</w:t>
            </w:r>
            <w:r>
              <w:rPr>
                <w:rFonts w:asciiTheme="majorBidi" w:hAnsiTheme="majorBidi" w:cstheme="majorBidi"/>
                <w:sz w:val="24"/>
                <w:szCs w:val="24"/>
                <w:shd w:val="clear" w:color="auto" w:fill="FFFFFF"/>
              </w:rPr>
              <w:t xml:space="preserve"> enters an automated work can be made in a view to:</w:t>
            </w:r>
          </w:p>
          <w:p w14:paraId="2999519D" w14:textId="77777777" w:rsidR="005A60D3" w:rsidRDefault="005A60D3">
            <w:pPr>
              <w:autoSpaceDE w:val="0"/>
              <w:autoSpaceDN w:val="0"/>
              <w:bidi w:val="0"/>
              <w:adjustRightInd w:val="0"/>
              <w:jc w:val="both"/>
              <w:rPr>
                <w:rFonts w:asciiTheme="majorBidi" w:hAnsiTheme="majorBidi" w:cstheme="majorBidi"/>
                <w:i/>
                <w:iCs/>
                <w:sz w:val="24"/>
                <w:szCs w:val="24"/>
                <w:shd w:val="clear" w:color="auto" w:fill="FFFFFF"/>
              </w:rPr>
            </w:pPr>
            <w:r>
              <w:rPr>
                <w:rFonts w:asciiTheme="majorBidi" w:hAnsiTheme="majorBidi" w:cstheme="majorBidi"/>
                <w:iCs/>
                <w:sz w:val="24"/>
                <w:szCs w:val="24"/>
                <w:shd w:val="clear" w:color="auto" w:fill="FFFFFF"/>
              </w:rPr>
              <w:t>"</w:t>
            </w:r>
            <w:r>
              <w:rPr>
                <w:rFonts w:asciiTheme="majorBidi" w:hAnsiTheme="majorBidi" w:cstheme="majorBidi"/>
                <w:i/>
                <w:iCs/>
                <w:sz w:val="24"/>
                <w:szCs w:val="24"/>
                <w:shd w:val="clear" w:color="auto" w:fill="FFFFFF"/>
              </w:rPr>
              <w:t>a. the determination of certain characteristics of the automated work or the user, such as the identity or location, and the recording thereof</w:t>
            </w:r>
            <w:r>
              <w:rPr>
                <w:rFonts w:asciiTheme="majorBidi" w:hAnsiTheme="majorBidi" w:cstheme="majorBidi"/>
                <w:i/>
                <w:iCs/>
                <w:sz w:val="24"/>
                <w:szCs w:val="24"/>
                <w:shd w:val="clear" w:color="auto" w:fill="FFFFFF"/>
                <w:rtl/>
              </w:rPr>
              <w:t>;</w:t>
            </w:r>
          </w:p>
          <w:p w14:paraId="79DCC148" w14:textId="77777777" w:rsidR="005A60D3" w:rsidRDefault="005A60D3">
            <w:pPr>
              <w:autoSpaceDE w:val="0"/>
              <w:autoSpaceDN w:val="0"/>
              <w:bidi w:val="0"/>
              <w:adjustRightInd w:val="0"/>
              <w:jc w:val="both"/>
              <w:rPr>
                <w:rFonts w:asciiTheme="majorBidi" w:hAnsiTheme="majorBidi" w:cstheme="majorBidi"/>
                <w:i/>
                <w:iCs/>
                <w:sz w:val="24"/>
                <w:szCs w:val="24"/>
                <w:shd w:val="clear" w:color="auto" w:fill="FFFFFF"/>
              </w:rPr>
            </w:pPr>
            <w:r>
              <w:rPr>
                <w:rFonts w:asciiTheme="majorBidi" w:hAnsiTheme="majorBidi" w:cstheme="majorBidi"/>
                <w:i/>
                <w:iCs/>
                <w:sz w:val="24"/>
                <w:szCs w:val="24"/>
                <w:shd w:val="clear" w:color="auto" w:fill="FFFFFF"/>
              </w:rPr>
              <w:t>b. the execution of an order as referred to in Articles 126l or 126m</w:t>
            </w:r>
            <w:r>
              <w:rPr>
                <w:rFonts w:asciiTheme="majorBidi" w:hAnsiTheme="majorBidi" w:cstheme="majorBidi"/>
                <w:i/>
                <w:iCs/>
                <w:sz w:val="24"/>
                <w:szCs w:val="24"/>
                <w:shd w:val="clear" w:color="auto" w:fill="FFFFFF"/>
                <w:rtl/>
              </w:rPr>
              <w:t>;</w:t>
            </w:r>
          </w:p>
          <w:p w14:paraId="24EFF1C7" w14:textId="77777777" w:rsidR="005A60D3" w:rsidRDefault="005A60D3">
            <w:pPr>
              <w:autoSpaceDE w:val="0"/>
              <w:autoSpaceDN w:val="0"/>
              <w:bidi w:val="0"/>
              <w:adjustRightInd w:val="0"/>
              <w:jc w:val="both"/>
              <w:rPr>
                <w:rFonts w:asciiTheme="majorBidi" w:hAnsiTheme="majorBidi" w:cstheme="majorBidi"/>
                <w:sz w:val="24"/>
                <w:szCs w:val="24"/>
                <w:shd w:val="clear" w:color="auto" w:fill="FFFFFF"/>
              </w:rPr>
            </w:pPr>
            <w:r>
              <w:rPr>
                <w:rFonts w:asciiTheme="majorBidi" w:hAnsiTheme="majorBidi" w:cstheme="majorBidi"/>
                <w:i/>
                <w:iCs/>
                <w:sz w:val="24"/>
                <w:szCs w:val="24"/>
                <w:shd w:val="clear" w:color="auto" w:fill="FFFFFF"/>
              </w:rPr>
              <w:t xml:space="preserve">c. the execution of an order as referred to in Article 126g, whereby the </w:t>
            </w:r>
            <w:r>
              <w:rPr>
                <w:rFonts w:asciiTheme="majorBidi" w:hAnsiTheme="majorBidi" w:cstheme="majorBidi"/>
                <w:i/>
                <w:iCs/>
                <w:sz w:val="24"/>
                <w:szCs w:val="24"/>
                <w:shd w:val="clear" w:color="auto" w:fill="FFFFFF"/>
              </w:rPr>
              <w:lastRenderedPageBreak/>
              <w:t>public prosecutor can determine that a technical aid is attached to a person for the execution of the order</w:t>
            </w:r>
            <w:r>
              <w:rPr>
                <w:rFonts w:asciiTheme="majorBidi" w:hAnsiTheme="majorBidi" w:cstheme="majorBidi"/>
                <w:iCs/>
                <w:sz w:val="24"/>
                <w:szCs w:val="24"/>
                <w:shd w:val="clear" w:color="auto" w:fill="FFFFFF"/>
              </w:rPr>
              <w:t>"</w:t>
            </w:r>
            <w:r>
              <w:rPr>
                <w:rFonts w:asciiTheme="majorBidi" w:hAnsiTheme="majorBidi" w:cstheme="majorBidi"/>
                <w:sz w:val="24"/>
                <w:szCs w:val="24"/>
                <w:shd w:val="clear" w:color="auto" w:fill="FFFFFF"/>
              </w:rPr>
              <w:t>.</w:t>
            </w:r>
          </w:p>
          <w:p w14:paraId="241B1445" w14:textId="77777777" w:rsidR="005A60D3" w:rsidRDefault="005A60D3">
            <w:pPr>
              <w:autoSpaceDE w:val="0"/>
              <w:autoSpaceDN w:val="0"/>
              <w:bidi w:val="0"/>
              <w:adjustRightInd w:val="0"/>
              <w:jc w:val="both"/>
              <w:rPr>
                <w:rFonts w:asciiTheme="majorBidi" w:hAnsiTheme="majorBidi" w:cstheme="majorBidi"/>
                <w:i/>
                <w:iCs/>
                <w:sz w:val="24"/>
                <w:szCs w:val="24"/>
                <w:shd w:val="clear" w:color="auto" w:fill="FFFFFF"/>
              </w:rPr>
            </w:pPr>
          </w:p>
          <w:p w14:paraId="3DE55EA7" w14:textId="77777777" w:rsidR="005A60D3" w:rsidRDefault="005A60D3">
            <w:pPr>
              <w:autoSpaceDE w:val="0"/>
              <w:autoSpaceDN w:val="0"/>
              <w:bidi w:val="0"/>
              <w:adjustRightInd w:val="0"/>
              <w:jc w:val="both"/>
              <w:rPr>
                <w:rFonts w:asciiTheme="majorBidi" w:hAnsiTheme="majorBidi" w:cstheme="majorBidi"/>
                <w:sz w:val="24"/>
                <w:szCs w:val="24"/>
                <w:shd w:val="clear" w:color="auto" w:fill="FFFFFF"/>
              </w:rPr>
            </w:pPr>
            <w:r>
              <w:rPr>
                <w:rFonts w:asciiTheme="majorBidi" w:hAnsiTheme="majorBidi" w:cstheme="majorBidi"/>
                <w:sz w:val="24"/>
                <w:szCs w:val="24"/>
                <w:shd w:val="clear" w:color="auto" w:fill="FFFFFF"/>
              </w:rPr>
              <w:t xml:space="preserve">For more serious offences, </w:t>
            </w:r>
            <w:hyperlink r:id="rId18" w:history="1">
              <w:r>
                <w:rPr>
                  <w:rStyle w:val="Hyperlink"/>
                  <w:rFonts w:asciiTheme="majorBidi" w:hAnsiTheme="majorBidi" w:cstheme="majorBidi"/>
                  <w:sz w:val="24"/>
                  <w:szCs w:val="24"/>
                </w:rPr>
                <w:t>article 126nba(1) of the Code of Criminal Procedure</w:t>
              </w:r>
            </w:hyperlink>
            <w:r>
              <w:rPr>
                <w:rFonts w:asciiTheme="majorBidi" w:hAnsiTheme="majorBidi" w:cstheme="majorBidi"/>
                <w:sz w:val="24"/>
                <w:szCs w:val="24"/>
              </w:rPr>
              <w:t xml:space="preserve"> provides that</w:t>
            </w:r>
            <w:r>
              <w:rPr>
                <w:rFonts w:asciiTheme="majorBidi" w:hAnsiTheme="majorBidi" w:cstheme="majorBidi"/>
                <w:sz w:val="24"/>
                <w:szCs w:val="24"/>
                <w:shd w:val="clear" w:color="auto" w:fill="FFFFFF"/>
              </w:rPr>
              <w:t xml:space="preserve"> enters an automated work can be made in a view to:</w:t>
            </w:r>
          </w:p>
          <w:p w14:paraId="236D005D" w14:textId="77777777" w:rsidR="005A60D3" w:rsidRDefault="005A60D3">
            <w:pPr>
              <w:autoSpaceDE w:val="0"/>
              <w:autoSpaceDN w:val="0"/>
              <w:bidi w:val="0"/>
              <w:adjustRightInd w:val="0"/>
              <w:jc w:val="both"/>
              <w:rPr>
                <w:rFonts w:asciiTheme="majorBidi" w:hAnsiTheme="majorBidi" w:cstheme="majorBidi"/>
                <w:i/>
                <w:iCs/>
                <w:sz w:val="24"/>
                <w:szCs w:val="24"/>
                <w:shd w:val="clear" w:color="auto" w:fill="FFFFFF"/>
              </w:rPr>
            </w:pPr>
            <w:r>
              <w:rPr>
                <w:rFonts w:asciiTheme="majorBidi" w:hAnsiTheme="majorBidi" w:cstheme="majorBidi"/>
                <w:iCs/>
                <w:sz w:val="24"/>
                <w:szCs w:val="24"/>
                <w:shd w:val="clear" w:color="auto" w:fill="FFFFFF"/>
              </w:rPr>
              <w:t>"</w:t>
            </w:r>
            <w:r>
              <w:rPr>
                <w:rFonts w:asciiTheme="majorBidi" w:hAnsiTheme="majorBidi" w:cstheme="majorBidi"/>
                <w:i/>
                <w:iCs/>
                <w:sz w:val="24"/>
                <w:szCs w:val="24"/>
                <w:shd w:val="clear" w:color="auto" w:fill="FFFFFF"/>
              </w:rPr>
              <w:t>d. the recording of data stored in the automated work, or stored only after the time of issue of the warrant, to the extent reasonably necessary to reveal the truth</w:t>
            </w:r>
            <w:r>
              <w:rPr>
                <w:rFonts w:asciiTheme="majorBidi" w:hAnsiTheme="majorBidi" w:cstheme="majorBidi"/>
                <w:i/>
                <w:iCs/>
                <w:sz w:val="24"/>
                <w:szCs w:val="24"/>
                <w:shd w:val="clear" w:color="auto" w:fill="FFFFFF"/>
                <w:rtl/>
              </w:rPr>
              <w:t>;</w:t>
            </w:r>
          </w:p>
          <w:p w14:paraId="27B3C581" w14:textId="77777777" w:rsidR="005A60D3" w:rsidRDefault="005A60D3">
            <w:pPr>
              <w:autoSpaceDE w:val="0"/>
              <w:autoSpaceDN w:val="0"/>
              <w:bidi w:val="0"/>
              <w:adjustRightInd w:val="0"/>
              <w:jc w:val="both"/>
              <w:rPr>
                <w:rFonts w:asciiTheme="majorBidi" w:hAnsiTheme="majorBidi" w:cstheme="majorBidi"/>
                <w:i/>
                <w:iCs/>
                <w:sz w:val="24"/>
                <w:szCs w:val="24"/>
                <w:shd w:val="clear" w:color="auto" w:fill="FFFFFF"/>
              </w:rPr>
            </w:pPr>
            <w:r>
              <w:rPr>
                <w:rFonts w:asciiTheme="majorBidi" w:hAnsiTheme="majorBidi" w:cstheme="majorBidi"/>
                <w:i/>
                <w:iCs/>
                <w:sz w:val="24"/>
                <w:szCs w:val="24"/>
                <w:shd w:val="clear" w:color="auto" w:fill="FFFFFF"/>
              </w:rPr>
              <w:t>e. making data inaccessible [...].</w:t>
            </w:r>
            <w:r>
              <w:rPr>
                <w:rFonts w:asciiTheme="majorBidi" w:hAnsiTheme="majorBidi" w:cstheme="majorBidi"/>
                <w:iCs/>
                <w:sz w:val="24"/>
                <w:szCs w:val="24"/>
                <w:shd w:val="clear" w:color="auto" w:fill="FFFFFF"/>
              </w:rPr>
              <w:t>"</w:t>
            </w:r>
          </w:p>
        </w:tc>
        <w:tc>
          <w:tcPr>
            <w:tcW w:w="2835" w:type="dxa"/>
            <w:tcBorders>
              <w:top w:val="single" w:sz="4" w:space="0" w:color="auto"/>
              <w:left w:val="single" w:sz="4" w:space="0" w:color="auto"/>
              <w:bottom w:val="single" w:sz="4" w:space="0" w:color="auto"/>
              <w:right w:val="single" w:sz="4" w:space="0" w:color="auto"/>
            </w:tcBorders>
            <w:hideMark/>
          </w:tcPr>
          <w:p w14:paraId="36ACB7E9" w14:textId="77777777" w:rsidR="005A60D3" w:rsidRDefault="005A60D3">
            <w:pPr>
              <w:bidi w:val="0"/>
              <w:jc w:val="both"/>
              <w:rPr>
                <w:rFonts w:asciiTheme="majorBidi" w:hAnsiTheme="majorBidi" w:cstheme="majorBidi"/>
                <w:sz w:val="24"/>
                <w:szCs w:val="24"/>
              </w:rPr>
            </w:pPr>
            <w:r>
              <w:rPr>
                <w:rFonts w:asciiTheme="majorBidi" w:hAnsiTheme="majorBidi" w:cstheme="majorBidi"/>
                <w:sz w:val="24"/>
                <w:szCs w:val="24"/>
              </w:rPr>
              <w:lastRenderedPageBreak/>
              <w:t xml:space="preserve">Article 39bis(3) of the Criminal Code: </w:t>
            </w:r>
            <w:r>
              <w:rPr>
                <w:rFonts w:asciiTheme="majorBidi" w:hAnsiTheme="majorBidi" w:cstheme="majorBidi"/>
                <w:iCs/>
                <w:sz w:val="24"/>
                <w:szCs w:val="24"/>
              </w:rPr>
              <w:t>"</w:t>
            </w:r>
            <w:r>
              <w:rPr>
                <w:rFonts w:asciiTheme="majorBidi" w:hAnsiTheme="majorBidi" w:cstheme="majorBidi"/>
                <w:i/>
                <w:iCs/>
                <w:sz w:val="24"/>
                <w:szCs w:val="24"/>
              </w:rPr>
              <w:t>When it turns out that this data is not in Kingdom territory, it can only be copied</w:t>
            </w:r>
            <w:r>
              <w:rPr>
                <w:rFonts w:asciiTheme="majorBidi" w:hAnsiTheme="majorBidi" w:cstheme="majorBidi"/>
                <w:iCs/>
                <w:sz w:val="24"/>
                <w:szCs w:val="24"/>
              </w:rPr>
              <w:t>."</w:t>
            </w:r>
          </w:p>
        </w:tc>
        <w:tc>
          <w:tcPr>
            <w:tcW w:w="2268" w:type="dxa"/>
            <w:tcBorders>
              <w:top w:val="single" w:sz="4" w:space="0" w:color="auto"/>
              <w:left w:val="single" w:sz="4" w:space="0" w:color="auto"/>
              <w:bottom w:val="single" w:sz="4" w:space="0" w:color="auto"/>
              <w:right w:val="single" w:sz="4" w:space="0" w:color="auto"/>
            </w:tcBorders>
          </w:tcPr>
          <w:p w14:paraId="1B183B84" w14:textId="77777777" w:rsidR="005A60D3" w:rsidRDefault="005A60D3">
            <w:pPr>
              <w:bidi w:val="0"/>
              <w:jc w:val="both"/>
              <w:rPr>
                <w:rFonts w:asciiTheme="majorBidi" w:hAnsiTheme="majorBidi" w:cstheme="majorBidi"/>
                <w:sz w:val="24"/>
                <w:szCs w:val="24"/>
              </w:rPr>
            </w:pPr>
          </w:p>
        </w:tc>
        <w:tc>
          <w:tcPr>
            <w:tcW w:w="2971" w:type="dxa"/>
            <w:tcBorders>
              <w:top w:val="single" w:sz="4" w:space="0" w:color="auto"/>
              <w:left w:val="single" w:sz="4" w:space="0" w:color="auto"/>
              <w:bottom w:val="single" w:sz="4" w:space="0" w:color="auto"/>
              <w:right w:val="single" w:sz="4" w:space="0" w:color="auto"/>
            </w:tcBorders>
            <w:hideMark/>
          </w:tcPr>
          <w:p w14:paraId="0BAFF094" w14:textId="77777777" w:rsidR="005A60D3" w:rsidRDefault="005A60D3">
            <w:pPr>
              <w:bidi w:val="0"/>
              <w:jc w:val="both"/>
              <w:rPr>
                <w:rFonts w:asciiTheme="majorBidi" w:hAnsiTheme="majorBidi" w:cstheme="majorBidi"/>
                <w:sz w:val="24"/>
                <w:szCs w:val="24"/>
              </w:rPr>
            </w:pPr>
            <w:hyperlink r:id="rId19" w:history="1">
              <w:r>
                <w:rPr>
                  <w:rStyle w:val="Hyperlink"/>
                  <w:rFonts w:asciiTheme="majorBidi" w:hAnsiTheme="majorBidi" w:cs="Times New Roman"/>
                  <w:sz w:val="24"/>
                  <w:szCs w:val="24"/>
                </w:rPr>
                <w:t>Rule 41 (Search and Seizure) of the Federal Rules of Criminal Procedure</w:t>
              </w:r>
            </w:hyperlink>
            <w:r>
              <w:rPr>
                <w:rFonts w:asciiTheme="majorBidi" w:hAnsiTheme="majorBidi" w:cs="Times New Roman"/>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rPr>
              <w:t>search electronic storage media and to seize or copy electronically stored information</w:t>
            </w:r>
            <w:r>
              <w:rPr>
                <w:rFonts w:asciiTheme="majorBidi" w:hAnsiTheme="majorBidi" w:cstheme="majorBidi"/>
                <w:sz w:val="24"/>
                <w:szCs w:val="24"/>
              </w:rPr>
              <w:t>"</w:t>
            </w:r>
          </w:p>
        </w:tc>
      </w:tr>
      <w:tr w:rsidR="005A60D3" w14:paraId="3E2D0A43"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3A6BE47" w14:textId="77777777" w:rsidR="005A60D3" w:rsidRDefault="005A60D3">
            <w:pPr>
              <w:jc w:val="both"/>
              <w:rPr>
                <w:rFonts w:ascii="David" w:hAnsi="David" w:cs="David"/>
                <w:sz w:val="24"/>
                <w:szCs w:val="24"/>
              </w:rPr>
            </w:pPr>
            <w:r>
              <w:rPr>
                <w:rFonts w:ascii="David" w:hAnsi="David" w:cs="David"/>
                <w:sz w:val="24"/>
                <w:szCs w:val="24"/>
                <w:rtl/>
              </w:rPr>
              <w:t>הגבלת החיפוש כך רק שיחול ביחס לעבירות מסוימות</w:t>
            </w:r>
          </w:p>
        </w:tc>
        <w:tc>
          <w:tcPr>
            <w:tcW w:w="3119" w:type="dxa"/>
            <w:tcBorders>
              <w:top w:val="single" w:sz="4" w:space="0" w:color="auto"/>
              <w:left w:val="single" w:sz="4" w:space="0" w:color="auto"/>
              <w:bottom w:val="single" w:sz="4" w:space="0" w:color="auto"/>
              <w:right w:val="single" w:sz="4" w:space="0" w:color="auto"/>
            </w:tcBorders>
          </w:tcPr>
          <w:p w14:paraId="6EDE7073" w14:textId="77777777" w:rsidR="005A60D3" w:rsidRDefault="005A60D3">
            <w:pPr>
              <w:bidi w:val="0"/>
              <w:jc w:val="both"/>
              <w:rPr>
                <w:rFonts w:ascii="David" w:hAnsi="David" w:cs="David"/>
                <w:sz w:val="24"/>
                <w:szCs w:val="24"/>
                <w:rtl/>
              </w:rPr>
            </w:pPr>
            <w:r>
              <w:rPr>
                <w:rFonts w:asciiTheme="majorBidi" w:hAnsiTheme="majorBidi" w:cstheme="majorBidi"/>
                <w:sz w:val="24"/>
                <w:szCs w:val="24"/>
              </w:rPr>
              <w:t xml:space="preserve">Section 6 of the Surveillance Devices Act 2004: offence that is punishable by a maximum term of imprisonment of 3 years or more or for life; offence against section 15 of the </w:t>
            </w:r>
            <w:r>
              <w:rPr>
                <w:rFonts w:asciiTheme="majorBidi" w:hAnsiTheme="majorBidi" w:cstheme="majorBidi"/>
                <w:i/>
                <w:iCs/>
                <w:sz w:val="24"/>
                <w:szCs w:val="24"/>
              </w:rPr>
              <w:t xml:space="preserve">Financial Transaction Reports Act; </w:t>
            </w:r>
            <w:r>
              <w:rPr>
                <w:rFonts w:asciiTheme="majorBidi" w:hAnsiTheme="majorBidi" w:cstheme="majorBidi"/>
                <w:sz w:val="24"/>
                <w:szCs w:val="24"/>
              </w:rPr>
              <w:t xml:space="preserve">offence against section 53, 59, 139, 140 or 141 of the </w:t>
            </w:r>
            <w:r>
              <w:rPr>
                <w:rFonts w:asciiTheme="majorBidi" w:hAnsiTheme="majorBidi" w:cstheme="majorBidi"/>
                <w:i/>
                <w:iCs/>
                <w:sz w:val="24"/>
                <w:szCs w:val="24"/>
              </w:rPr>
              <w:t xml:space="preserve">Anti-Money Laundering and Counter-Terrorism Financing Act, </w:t>
            </w:r>
            <w:r>
              <w:rPr>
                <w:rFonts w:asciiTheme="majorBidi" w:hAnsiTheme="majorBidi" w:cstheme="majorBidi"/>
                <w:sz w:val="24"/>
                <w:szCs w:val="24"/>
              </w:rPr>
              <w:t>etc</w:t>
            </w:r>
            <w:r>
              <w:rPr>
                <w:i/>
                <w:iCs/>
              </w:rPr>
              <w:t>.</w:t>
            </w:r>
          </w:p>
          <w:p w14:paraId="668CD0A1" w14:textId="77777777" w:rsidR="005A60D3" w:rsidRDefault="005A60D3">
            <w:pPr>
              <w:autoSpaceDE w:val="0"/>
              <w:autoSpaceDN w:val="0"/>
              <w:bidi w:val="0"/>
              <w:adjustRightInd w:val="0"/>
              <w:jc w:val="both"/>
              <w:rPr>
                <w:rFonts w:ascii="David" w:hAnsi="David" w:cs="David"/>
                <w:sz w:val="24"/>
                <w:szCs w:val="24"/>
              </w:rPr>
            </w:pPr>
          </w:p>
        </w:tc>
        <w:tc>
          <w:tcPr>
            <w:tcW w:w="2693" w:type="dxa"/>
            <w:tcBorders>
              <w:top w:val="single" w:sz="4" w:space="0" w:color="auto"/>
              <w:left w:val="single" w:sz="4" w:space="0" w:color="auto"/>
              <w:bottom w:val="single" w:sz="4" w:space="0" w:color="auto"/>
              <w:right w:val="single" w:sz="4" w:space="0" w:color="auto"/>
            </w:tcBorders>
            <w:hideMark/>
          </w:tcPr>
          <w:p w14:paraId="432C9D36" w14:textId="77777777" w:rsidR="005A60D3" w:rsidRDefault="005A60D3">
            <w:pPr>
              <w:autoSpaceDE w:val="0"/>
              <w:autoSpaceDN w:val="0"/>
              <w:bidi w:val="0"/>
              <w:adjustRightInd w:val="0"/>
              <w:jc w:val="both"/>
              <w:rPr>
                <w:rFonts w:asciiTheme="majorBidi" w:hAnsiTheme="majorBidi" w:cstheme="majorBidi"/>
                <w:sz w:val="24"/>
                <w:szCs w:val="24"/>
              </w:rPr>
            </w:pPr>
            <w:hyperlink r:id="rId20" w:history="1">
              <w:r>
                <w:rPr>
                  <w:rStyle w:val="Hyperlink"/>
                  <w:rFonts w:asciiTheme="majorBidi" w:hAnsiTheme="majorBidi" w:cstheme="majorBidi"/>
                  <w:sz w:val="24"/>
                  <w:szCs w:val="24"/>
                </w:rPr>
                <w:t>Articles 126nba(1)</w:t>
              </w:r>
            </w:hyperlink>
            <w:r>
              <w:rPr>
                <w:rFonts w:asciiTheme="majorBidi" w:hAnsiTheme="majorBidi" w:cstheme="majorBidi"/>
                <w:sz w:val="24"/>
                <w:szCs w:val="24"/>
              </w:rPr>
              <w:t xml:space="preserve"> and </w:t>
            </w:r>
            <w:hyperlink r:id="rId21" w:anchor="BoekEerste_TiteldeelIVA" w:history="1">
              <w:r>
                <w:rPr>
                  <w:rStyle w:val="Hyperlink"/>
                  <w:rFonts w:asciiTheme="majorBidi" w:hAnsiTheme="majorBidi" w:cstheme="majorBidi"/>
                  <w:sz w:val="24"/>
                  <w:szCs w:val="24"/>
                </w:rPr>
                <w:t>67 of the Code of Criminal Procedure</w:t>
              </w:r>
            </w:hyperlink>
            <w:r>
              <w:rPr>
                <w:rFonts w:asciiTheme="majorBidi" w:hAnsiTheme="majorBidi" w:cstheme="majorBidi"/>
                <w:sz w:val="24"/>
                <w:szCs w:val="24"/>
              </w:rPr>
              <w:t xml:space="preserve"> provides a minimum threshold of offences punishable by a prison sentence of four years or more, or, alternatively, specific offences such as under the Gambling Act, Opium Act etc.</w:t>
            </w:r>
          </w:p>
        </w:tc>
        <w:tc>
          <w:tcPr>
            <w:tcW w:w="2835" w:type="dxa"/>
            <w:tcBorders>
              <w:top w:val="single" w:sz="4" w:space="0" w:color="auto"/>
              <w:left w:val="single" w:sz="4" w:space="0" w:color="auto"/>
              <w:bottom w:val="single" w:sz="4" w:space="0" w:color="auto"/>
              <w:right w:val="single" w:sz="4" w:space="0" w:color="auto"/>
            </w:tcBorders>
          </w:tcPr>
          <w:p w14:paraId="2197E999" w14:textId="77777777" w:rsidR="005A60D3" w:rsidRDefault="005A60D3">
            <w:pPr>
              <w:bidi w:val="0"/>
              <w:jc w:val="both"/>
              <w:rPr>
                <w:rFonts w:ascii="David" w:hAnsi="David" w:cs="David"/>
                <w:sz w:val="24"/>
                <w:szCs w:val="24"/>
              </w:rPr>
            </w:pPr>
          </w:p>
        </w:tc>
        <w:tc>
          <w:tcPr>
            <w:tcW w:w="2268" w:type="dxa"/>
            <w:tcBorders>
              <w:top w:val="single" w:sz="4" w:space="0" w:color="auto"/>
              <w:left w:val="single" w:sz="4" w:space="0" w:color="auto"/>
              <w:bottom w:val="single" w:sz="4" w:space="0" w:color="auto"/>
              <w:right w:val="single" w:sz="4" w:space="0" w:color="auto"/>
            </w:tcBorders>
          </w:tcPr>
          <w:p w14:paraId="5BE96946" w14:textId="77777777" w:rsidR="005A60D3" w:rsidRDefault="005A60D3">
            <w:pPr>
              <w:bidi w:val="0"/>
              <w:jc w:val="both"/>
              <w:rPr>
                <w:rFonts w:ascii="David" w:hAnsi="David" w:cs="David"/>
                <w:sz w:val="24"/>
                <w:szCs w:val="24"/>
                <w:rtl/>
              </w:rPr>
            </w:pPr>
          </w:p>
        </w:tc>
        <w:tc>
          <w:tcPr>
            <w:tcW w:w="2971" w:type="dxa"/>
            <w:tcBorders>
              <w:top w:val="single" w:sz="4" w:space="0" w:color="auto"/>
              <w:left w:val="single" w:sz="4" w:space="0" w:color="auto"/>
              <w:bottom w:val="single" w:sz="4" w:space="0" w:color="auto"/>
              <w:right w:val="single" w:sz="4" w:space="0" w:color="auto"/>
            </w:tcBorders>
          </w:tcPr>
          <w:p w14:paraId="24788257" w14:textId="77777777" w:rsidR="005A60D3" w:rsidRDefault="005A60D3">
            <w:pPr>
              <w:bidi w:val="0"/>
              <w:jc w:val="both"/>
              <w:rPr>
                <w:rFonts w:ascii="David" w:hAnsi="David" w:cs="David"/>
                <w:sz w:val="24"/>
                <w:szCs w:val="24"/>
                <w:rtl/>
              </w:rPr>
            </w:pPr>
          </w:p>
        </w:tc>
      </w:tr>
      <w:tr w:rsidR="005A60D3" w14:paraId="5274D9C9" w14:textId="77777777" w:rsidTr="005A60D3">
        <w:tc>
          <w:tcPr>
            <w:tcW w:w="150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EF9131" w14:textId="77777777" w:rsidR="005A60D3" w:rsidRDefault="005A60D3">
            <w:pPr>
              <w:jc w:val="both"/>
              <w:rPr>
                <w:rFonts w:ascii="David" w:hAnsi="David" w:cs="David"/>
                <w:sz w:val="24"/>
                <w:szCs w:val="24"/>
                <w:rtl/>
              </w:rPr>
            </w:pPr>
            <w:r>
              <w:rPr>
                <w:rFonts w:ascii="David" w:hAnsi="David" w:cs="David"/>
                <w:sz w:val="24"/>
                <w:szCs w:val="24"/>
                <w:rtl/>
              </w:rPr>
              <w:lastRenderedPageBreak/>
              <w:t>דרישה לגישה כדין של האדם למידע נשוא החיפוש</w:t>
            </w:r>
            <w:bookmarkStart w:id="0" w:name="_GoBack"/>
            <w:bookmarkEnd w:id="0"/>
          </w:p>
        </w:tc>
        <w:tc>
          <w:tcPr>
            <w:tcW w:w="3119" w:type="dxa"/>
            <w:tcBorders>
              <w:top w:val="single" w:sz="4" w:space="0" w:color="auto"/>
              <w:left w:val="single" w:sz="4" w:space="0" w:color="auto"/>
              <w:bottom w:val="single" w:sz="4" w:space="0" w:color="auto"/>
              <w:right w:val="single" w:sz="4" w:space="0" w:color="auto"/>
            </w:tcBorders>
          </w:tcPr>
          <w:p w14:paraId="61A1F15F" w14:textId="77777777" w:rsidR="005A60D3" w:rsidRDefault="005A60D3">
            <w:pPr>
              <w:bidi w:val="0"/>
              <w:jc w:val="both"/>
              <w:rPr>
                <w:rFonts w:ascii="David" w:hAnsi="David" w:cs="David"/>
                <w:sz w:val="24"/>
                <w:szCs w:val="24"/>
                <w:rtl/>
              </w:rPr>
            </w:pPr>
          </w:p>
        </w:tc>
        <w:tc>
          <w:tcPr>
            <w:tcW w:w="2693" w:type="dxa"/>
            <w:tcBorders>
              <w:top w:val="single" w:sz="4" w:space="0" w:color="auto"/>
              <w:left w:val="single" w:sz="4" w:space="0" w:color="auto"/>
              <w:bottom w:val="single" w:sz="4" w:space="0" w:color="auto"/>
              <w:right w:val="single" w:sz="4" w:space="0" w:color="auto"/>
            </w:tcBorders>
            <w:hideMark/>
          </w:tcPr>
          <w:p w14:paraId="1CB5AAEC" w14:textId="77777777" w:rsidR="005A60D3" w:rsidRDefault="005A60D3">
            <w:pPr>
              <w:bidi w:val="0"/>
              <w:jc w:val="both"/>
              <w:rPr>
                <w:rFonts w:asciiTheme="majorBidi" w:hAnsiTheme="majorBidi" w:cstheme="majorBidi"/>
                <w:sz w:val="24"/>
                <w:szCs w:val="24"/>
                <w:rtl/>
              </w:rPr>
            </w:pPr>
            <w:hyperlink r:id="rId22" w:anchor="BoekEerste_TiteldeelIVA" w:history="1">
              <w:r>
                <w:rPr>
                  <w:rStyle w:val="Hyperlink"/>
                  <w:rFonts w:asciiTheme="majorBidi" w:hAnsiTheme="majorBidi" w:cstheme="majorBidi"/>
                  <w:sz w:val="24"/>
                  <w:szCs w:val="24"/>
                </w:rPr>
                <w:t>Article 125j(2) of the Code of Criminal Procedure</w:t>
              </w:r>
            </w:hyperlink>
            <w:r>
              <w:rPr>
                <w:rFonts w:asciiTheme="majorBidi" w:hAnsiTheme="majorBidi" w:cstheme="majorBidi"/>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rPr>
              <w:t>The investigation does not extend further than insofar as the persons who usually work or reside at the place where the search takes place, have access thereto from that place, with the permission of the rightholder to the computerized work.</w:t>
            </w:r>
            <w:r>
              <w:rPr>
                <w:rFonts w:asciiTheme="majorBidi" w:hAnsiTheme="majorBidi" w:cstheme="majorBidi"/>
                <w:iCs/>
                <w:sz w:val="24"/>
                <w:szCs w:val="24"/>
              </w:rPr>
              <w:t>"</w:t>
            </w:r>
          </w:p>
        </w:tc>
        <w:tc>
          <w:tcPr>
            <w:tcW w:w="2835" w:type="dxa"/>
            <w:tcBorders>
              <w:top w:val="single" w:sz="4" w:space="0" w:color="auto"/>
              <w:left w:val="single" w:sz="4" w:space="0" w:color="auto"/>
              <w:bottom w:val="single" w:sz="4" w:space="0" w:color="auto"/>
              <w:right w:val="single" w:sz="4" w:space="0" w:color="auto"/>
            </w:tcBorders>
            <w:hideMark/>
          </w:tcPr>
          <w:p w14:paraId="006AD84F" w14:textId="77777777" w:rsidR="005A60D3" w:rsidRDefault="005A60D3">
            <w:pPr>
              <w:bidi w:val="0"/>
              <w:jc w:val="both"/>
              <w:rPr>
                <w:rFonts w:asciiTheme="majorBidi" w:hAnsiTheme="majorBidi" w:cstheme="majorBidi"/>
                <w:sz w:val="24"/>
                <w:szCs w:val="24"/>
                <w:rtl/>
              </w:rPr>
            </w:pPr>
            <w:hyperlink r:id="rId23" w:history="1">
              <w:r>
                <w:rPr>
                  <w:rStyle w:val="Hyperlink"/>
                  <w:rFonts w:asciiTheme="majorBidi" w:hAnsiTheme="majorBidi" w:cstheme="majorBidi"/>
                  <w:sz w:val="24"/>
                  <w:szCs w:val="24"/>
                </w:rPr>
                <w:t>Article 88ter of the Criminal Code</w:t>
              </w:r>
            </w:hyperlink>
            <w:r>
              <w:rPr>
                <w:rFonts w:asciiTheme="majorBidi" w:hAnsiTheme="majorBidi" w:cstheme="majorBidi"/>
                <w:sz w:val="24"/>
                <w:szCs w:val="24"/>
              </w:rPr>
              <w:t xml:space="preserve">: </w:t>
            </w:r>
            <w:r>
              <w:rPr>
                <w:rFonts w:asciiTheme="majorBidi" w:hAnsiTheme="majorBidi" w:cstheme="majorBidi"/>
                <w:iCs/>
                <w:sz w:val="24"/>
                <w:szCs w:val="24"/>
              </w:rPr>
              <w:t>"</w:t>
            </w:r>
            <w:r>
              <w:rPr>
                <w:rFonts w:asciiTheme="majorBidi" w:hAnsiTheme="majorBidi" w:cstheme="majorBidi"/>
                <w:i/>
                <w:iCs/>
                <w:sz w:val="24"/>
                <w:szCs w:val="24"/>
              </w:rPr>
              <w:t>The extension of the research into a computer system may not exceed the computer systems or parts of such systems to which the persons authorized to use the computer system which is the subject of the measure have specific access</w:t>
            </w:r>
            <w:r>
              <w:rPr>
                <w:rFonts w:asciiTheme="majorBidi" w:hAnsiTheme="majorBidi" w:cstheme="majorBidi"/>
                <w:i/>
                <w:iCs/>
                <w:sz w:val="24"/>
                <w:szCs w:val="24"/>
                <w:rtl/>
              </w:rPr>
              <w:t>.</w:t>
            </w:r>
            <w:r>
              <w:rPr>
                <w:rFonts w:asciiTheme="majorBidi" w:hAnsiTheme="majorBidi" w:cstheme="majorBidi"/>
                <w:iCs/>
                <w:sz w:val="24"/>
                <w:szCs w:val="24"/>
              </w:rPr>
              <w:t>"</w:t>
            </w:r>
          </w:p>
        </w:tc>
        <w:tc>
          <w:tcPr>
            <w:tcW w:w="2268" w:type="dxa"/>
            <w:tcBorders>
              <w:top w:val="single" w:sz="4" w:space="0" w:color="auto"/>
              <w:left w:val="single" w:sz="4" w:space="0" w:color="auto"/>
              <w:bottom w:val="single" w:sz="4" w:space="0" w:color="auto"/>
              <w:right w:val="single" w:sz="4" w:space="0" w:color="auto"/>
            </w:tcBorders>
          </w:tcPr>
          <w:p w14:paraId="1DF9077F" w14:textId="77777777" w:rsidR="005A60D3" w:rsidRDefault="005A60D3">
            <w:pPr>
              <w:bidi w:val="0"/>
              <w:jc w:val="both"/>
              <w:rPr>
                <w:rFonts w:asciiTheme="majorBidi" w:hAnsiTheme="majorBidi" w:cstheme="majorBidi"/>
                <w:sz w:val="24"/>
                <w:szCs w:val="24"/>
                <w:rtl/>
              </w:rPr>
            </w:pPr>
            <w:hyperlink r:id="rId24" w:history="1">
              <w:r>
                <w:rPr>
                  <w:rStyle w:val="Hyperlink"/>
                  <w:rFonts w:asciiTheme="majorBidi" w:hAnsiTheme="majorBidi" w:cstheme="majorBidi"/>
                  <w:sz w:val="24"/>
                  <w:szCs w:val="24"/>
                </w:rPr>
                <w:t>Article 15 of The Cybercrime Law</w:t>
              </w:r>
            </w:hyperlink>
            <w:r>
              <w:rPr>
                <w:rFonts w:asciiTheme="majorBidi" w:hAnsiTheme="majorBidi" w:cstheme="majorBidi"/>
                <w:sz w:val="24"/>
                <w:szCs w:val="24"/>
              </w:rPr>
              <w:t>:</w:t>
            </w:r>
          </w:p>
          <w:p w14:paraId="75A160D6" w14:textId="77777777" w:rsidR="005A60D3" w:rsidRDefault="005A60D3">
            <w:pPr>
              <w:bidi w:val="0"/>
              <w:jc w:val="both"/>
              <w:rPr>
                <w:rFonts w:asciiTheme="majorBidi" w:hAnsiTheme="majorBidi" w:cstheme="majorBidi"/>
                <w:i/>
                <w:iCs/>
                <w:sz w:val="24"/>
                <w:szCs w:val="24"/>
              </w:rPr>
            </w:pPr>
            <w:r>
              <w:rPr>
                <w:rFonts w:asciiTheme="majorBidi" w:hAnsiTheme="majorBidi" w:cstheme="majorBidi"/>
                <w:iCs/>
                <w:sz w:val="24"/>
                <w:szCs w:val="24"/>
              </w:rPr>
              <w:t>"</w:t>
            </w:r>
            <w:r>
              <w:rPr>
                <w:rFonts w:asciiTheme="majorBidi" w:hAnsiTheme="majorBidi" w:cstheme="majorBidi"/>
                <w:i/>
                <w:iCs/>
                <w:sz w:val="24"/>
                <w:szCs w:val="24"/>
              </w:rPr>
              <w:t>Where, in the course of the search, there are grounds to believe that the data sought is stored in another computer system or part of it, and such data is lawfully accessible</w:t>
            </w:r>
            <w:r>
              <w:rPr>
                <w:rFonts w:asciiTheme="majorBidi" w:hAnsiTheme="majorBidi" w:cstheme="majorBidi"/>
                <w:i/>
                <w:iCs/>
                <w:sz w:val="24"/>
                <w:szCs w:val="24"/>
                <w:u w:val="single"/>
              </w:rPr>
              <w:t xml:space="preserve"> </w:t>
            </w:r>
            <w:r>
              <w:rPr>
                <w:rFonts w:asciiTheme="majorBidi" w:hAnsiTheme="majorBidi" w:cstheme="majorBidi"/>
                <w:i/>
                <w:iCs/>
                <w:sz w:val="24"/>
                <w:szCs w:val="24"/>
              </w:rPr>
              <w:t>from the initial system, [...].</w:t>
            </w:r>
            <w:r>
              <w:rPr>
                <w:rFonts w:asciiTheme="majorBidi" w:hAnsiTheme="majorBidi" w:cstheme="majorBidi"/>
                <w:iCs/>
                <w:sz w:val="24"/>
                <w:szCs w:val="24"/>
              </w:rPr>
              <w:t>"</w:t>
            </w:r>
          </w:p>
          <w:p w14:paraId="4B0CE4F2" w14:textId="77777777" w:rsidR="005A60D3" w:rsidRDefault="005A60D3">
            <w:pPr>
              <w:bidi w:val="0"/>
              <w:jc w:val="both"/>
              <w:rPr>
                <w:rFonts w:asciiTheme="majorBidi" w:hAnsiTheme="majorBidi" w:cstheme="majorBidi"/>
                <w:sz w:val="24"/>
                <w:szCs w:val="24"/>
              </w:rPr>
            </w:pPr>
          </w:p>
        </w:tc>
        <w:tc>
          <w:tcPr>
            <w:tcW w:w="2971" w:type="dxa"/>
            <w:tcBorders>
              <w:top w:val="single" w:sz="4" w:space="0" w:color="auto"/>
              <w:left w:val="single" w:sz="4" w:space="0" w:color="auto"/>
              <w:bottom w:val="single" w:sz="4" w:space="0" w:color="auto"/>
              <w:right w:val="single" w:sz="4" w:space="0" w:color="auto"/>
            </w:tcBorders>
          </w:tcPr>
          <w:p w14:paraId="48B7E910" w14:textId="77777777" w:rsidR="005A60D3" w:rsidRDefault="005A60D3">
            <w:pPr>
              <w:bidi w:val="0"/>
              <w:jc w:val="both"/>
              <w:rPr>
                <w:rFonts w:asciiTheme="majorBidi" w:hAnsiTheme="majorBidi" w:cstheme="majorBidi"/>
                <w:sz w:val="24"/>
                <w:szCs w:val="24"/>
              </w:rPr>
            </w:pPr>
          </w:p>
        </w:tc>
      </w:tr>
    </w:tbl>
    <w:p w14:paraId="67D3DF17" w14:textId="77777777" w:rsidR="005A60D3" w:rsidRDefault="005A60D3" w:rsidP="005A60D3">
      <w:pPr>
        <w:spacing w:line="240" w:lineRule="auto"/>
        <w:jc w:val="both"/>
        <w:rPr>
          <w:rFonts w:ascii="David" w:hAnsi="David" w:cs="David"/>
          <w:sz w:val="24"/>
          <w:szCs w:val="24"/>
        </w:rPr>
      </w:pPr>
    </w:p>
    <w:p w14:paraId="6753D9A1" w14:textId="77777777" w:rsidR="005A60D3" w:rsidRPr="005A60D3" w:rsidRDefault="005A60D3">
      <w:pPr>
        <w:spacing w:line="240" w:lineRule="auto"/>
        <w:rPr>
          <w:rFonts w:ascii="David" w:hAnsi="David" w:cs="David" w:hint="cs"/>
          <w:b/>
          <w:bCs/>
          <w:sz w:val="24"/>
          <w:szCs w:val="24"/>
          <w:rtl/>
        </w:rPr>
      </w:pPr>
    </w:p>
    <w:sectPr w:rsidR="005A60D3" w:rsidRPr="005A60D3" w:rsidSect="00527525">
      <w:footerReference w:type="default" r:id="rId25"/>
      <w:pgSz w:w="16838" w:h="11906" w:orient="landscape"/>
      <w:pgMar w:top="624" w:right="624" w:bottom="624" w:left="624"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76FFD7" w14:textId="77777777" w:rsidR="005A60D3" w:rsidRDefault="005A60D3" w:rsidP="005A60D3">
      <w:pPr>
        <w:spacing w:after="0" w:line="240" w:lineRule="auto"/>
      </w:pPr>
      <w:r>
        <w:separator/>
      </w:r>
    </w:p>
  </w:endnote>
  <w:endnote w:type="continuationSeparator" w:id="0">
    <w:p w14:paraId="57039D88" w14:textId="77777777" w:rsidR="005A60D3" w:rsidRDefault="005A60D3" w:rsidP="005A60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Bidi" w:hAnsiTheme="majorBidi" w:cstheme="majorBidi"/>
        <w:sz w:val="20"/>
        <w:szCs w:val="20"/>
        <w:rtl/>
      </w:rPr>
      <w:id w:val="-1827743910"/>
      <w:docPartObj>
        <w:docPartGallery w:val="Page Numbers (Bottom of Page)"/>
        <w:docPartUnique/>
      </w:docPartObj>
    </w:sdtPr>
    <w:sdtEndPr>
      <w:rPr>
        <w:cs/>
      </w:rPr>
    </w:sdtEndPr>
    <w:sdtContent>
      <w:p w14:paraId="2D35A684" w14:textId="36ED0576" w:rsidR="00D61C41" w:rsidRPr="00D61C41" w:rsidRDefault="00D61C41">
        <w:pPr>
          <w:pStyle w:val="af0"/>
          <w:jc w:val="center"/>
          <w:rPr>
            <w:rFonts w:asciiTheme="majorBidi" w:hAnsiTheme="majorBidi" w:cstheme="majorBidi"/>
            <w:sz w:val="20"/>
            <w:szCs w:val="20"/>
            <w:cs/>
          </w:rPr>
        </w:pPr>
        <w:r w:rsidRPr="00D61C41">
          <w:rPr>
            <w:rFonts w:asciiTheme="majorBidi" w:hAnsiTheme="majorBidi" w:cstheme="majorBidi"/>
            <w:sz w:val="20"/>
            <w:szCs w:val="20"/>
          </w:rPr>
          <w:fldChar w:fldCharType="begin"/>
        </w:r>
        <w:r w:rsidRPr="00D61C41">
          <w:rPr>
            <w:rFonts w:asciiTheme="majorBidi" w:hAnsiTheme="majorBidi" w:cstheme="majorBidi"/>
            <w:sz w:val="20"/>
            <w:szCs w:val="20"/>
            <w:cs/>
          </w:rPr>
          <w:instrText>PAGE   \* MERGEFORMAT</w:instrText>
        </w:r>
        <w:r w:rsidRPr="00D61C41">
          <w:rPr>
            <w:rFonts w:asciiTheme="majorBidi" w:hAnsiTheme="majorBidi" w:cstheme="majorBidi"/>
            <w:sz w:val="20"/>
            <w:szCs w:val="20"/>
          </w:rPr>
          <w:fldChar w:fldCharType="separate"/>
        </w:r>
        <w:r w:rsidR="004B27E5" w:rsidRPr="004B27E5">
          <w:rPr>
            <w:rFonts w:asciiTheme="majorBidi" w:hAnsiTheme="majorBidi" w:cstheme="majorBidi"/>
            <w:noProof/>
            <w:sz w:val="20"/>
            <w:szCs w:val="20"/>
            <w:rtl/>
            <w:lang w:val="he-IL"/>
          </w:rPr>
          <w:t>6</w:t>
        </w:r>
        <w:r w:rsidRPr="00D61C41">
          <w:rPr>
            <w:rFonts w:asciiTheme="majorBidi" w:hAnsiTheme="majorBidi" w:cstheme="majorBidi"/>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EF5D21" w14:textId="77777777" w:rsidR="005A60D3" w:rsidRDefault="005A60D3" w:rsidP="005A60D3">
      <w:pPr>
        <w:spacing w:after="0" w:line="240" w:lineRule="auto"/>
      </w:pPr>
      <w:r>
        <w:separator/>
      </w:r>
    </w:p>
  </w:footnote>
  <w:footnote w:type="continuationSeparator" w:id="0">
    <w:p w14:paraId="2DD78DF2" w14:textId="77777777" w:rsidR="005A60D3" w:rsidRDefault="005A60D3" w:rsidP="005A60D3">
      <w:pPr>
        <w:spacing w:after="0" w:line="240" w:lineRule="auto"/>
      </w:pPr>
      <w:r>
        <w:continuationSeparator/>
      </w:r>
    </w:p>
  </w:footnote>
  <w:footnote w:id="1">
    <w:p w14:paraId="462264D9" w14:textId="77777777" w:rsidR="005A60D3" w:rsidRDefault="005A60D3" w:rsidP="005A60D3">
      <w:pPr>
        <w:pStyle w:val="ab"/>
        <w:bidi w:val="0"/>
        <w:rPr>
          <w:rFonts w:asciiTheme="majorBidi" w:hAnsiTheme="majorBidi" w:cstheme="majorBidi"/>
        </w:rPr>
      </w:pPr>
      <w:r>
        <w:rPr>
          <w:rStyle w:val="ad"/>
          <w:rFonts w:asciiTheme="majorBidi" w:hAnsiTheme="majorBidi" w:cstheme="majorBidi"/>
        </w:rPr>
        <w:footnoteRef/>
      </w:r>
      <w:r>
        <w:rPr>
          <w:rFonts w:asciiTheme="majorBidi" w:hAnsiTheme="majorBidi" w:cstheme="majorBidi"/>
          <w:rtl/>
        </w:rPr>
        <w:t xml:space="preserve"> </w:t>
      </w:r>
      <w:r>
        <w:rPr>
          <w:rFonts w:asciiTheme="majorBidi" w:hAnsiTheme="majorBidi" w:cstheme="majorBidi"/>
        </w:rPr>
        <w:t xml:space="preserve">Pedro Verdelho, </w:t>
      </w:r>
      <w:r>
        <w:rPr>
          <w:rFonts w:asciiTheme="majorBidi" w:hAnsiTheme="majorBidi" w:cstheme="majorBidi"/>
          <w:i/>
          <w:iCs/>
        </w:rPr>
        <w:t>Obtaining digital evidence in the global world</w:t>
      </w:r>
      <w:r>
        <w:rPr>
          <w:rFonts w:asciiTheme="majorBidi" w:hAnsiTheme="majorBidi" w:cstheme="majorBidi"/>
        </w:rPr>
        <w:t xml:space="preserve">, 5 UNIO </w:t>
      </w:r>
      <w:r>
        <w:rPr>
          <w:rFonts w:asciiTheme="majorBidi" w:hAnsiTheme="majorBidi" w:cstheme="majorBidi"/>
          <w:rtl/>
        </w:rPr>
        <w:t>136</w:t>
      </w:r>
      <w:r>
        <w:rPr>
          <w:rFonts w:asciiTheme="majorBidi" w:hAnsiTheme="majorBidi" w:cstheme="majorBidi"/>
        </w:rPr>
        <w:t xml:space="preserve"> (2019).</w:t>
      </w:r>
    </w:p>
  </w:footnote>
  <w:footnote w:id="2">
    <w:p w14:paraId="3083BD76" w14:textId="77777777" w:rsidR="005A60D3" w:rsidRDefault="005A60D3" w:rsidP="005A60D3">
      <w:pPr>
        <w:pStyle w:val="ab"/>
        <w:bidi w:val="0"/>
      </w:pPr>
      <w:r>
        <w:rPr>
          <w:rStyle w:val="ad"/>
        </w:rPr>
        <w:footnoteRef/>
      </w:r>
      <w:r>
        <w:rPr>
          <w:rtl/>
        </w:rPr>
        <w:t xml:space="preserve"> </w:t>
      </w:r>
      <w:r>
        <w:t xml:space="preserve"> </w:t>
      </w:r>
      <w:r>
        <w:rPr>
          <w:rFonts w:asciiTheme="majorBidi" w:hAnsiTheme="majorBidi" w:cstheme="majorBidi"/>
        </w:rPr>
        <w:t xml:space="preserve">Markus Rauschecker, </w:t>
      </w:r>
      <w:r>
        <w:rPr>
          <w:rFonts w:asciiTheme="majorBidi" w:hAnsiTheme="majorBidi" w:cstheme="majorBidi"/>
          <w:i/>
          <w:iCs/>
        </w:rPr>
        <w:t>Rule 41 Amendments Provide for a Drastic Expansion of Government Authority to Conduct Computer Searches and Should Not Have Been Adopted by the Supreme Court</w:t>
      </w:r>
      <w:r>
        <w:rPr>
          <w:rFonts w:asciiTheme="majorBidi" w:hAnsiTheme="majorBidi" w:cstheme="majorBidi"/>
        </w:rPr>
        <w:t xml:space="preserve">, 76 </w:t>
      </w:r>
      <w:r>
        <w:rPr>
          <w:rFonts w:asciiTheme="majorBidi" w:hAnsiTheme="majorBidi" w:cstheme="majorBidi"/>
          <w:smallCaps/>
        </w:rPr>
        <w:t>Maryland Law Review</w:t>
      </w:r>
      <w:r>
        <w:rPr>
          <w:rFonts w:asciiTheme="majorBidi" w:hAnsiTheme="majorBidi" w:cstheme="majorBidi"/>
        </w:rPr>
        <w:t xml:space="preserve"> 1085, 1100 (2018).</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30A"/>
    <w:rsid w:val="000718BB"/>
    <w:rsid w:val="0009598D"/>
    <w:rsid w:val="000E270E"/>
    <w:rsid w:val="000E64CF"/>
    <w:rsid w:val="000E6863"/>
    <w:rsid w:val="00107D2A"/>
    <w:rsid w:val="00135CB6"/>
    <w:rsid w:val="00141B01"/>
    <w:rsid w:val="00147B56"/>
    <w:rsid w:val="00153B4A"/>
    <w:rsid w:val="00160813"/>
    <w:rsid w:val="001656F5"/>
    <w:rsid w:val="00166395"/>
    <w:rsid w:val="0018432F"/>
    <w:rsid w:val="00185397"/>
    <w:rsid w:val="001A26D7"/>
    <w:rsid w:val="001C1F26"/>
    <w:rsid w:val="001D0752"/>
    <w:rsid w:val="001D08F0"/>
    <w:rsid w:val="001D7A30"/>
    <w:rsid w:val="001E02F4"/>
    <w:rsid w:val="002441C3"/>
    <w:rsid w:val="00253E5E"/>
    <w:rsid w:val="00262D8A"/>
    <w:rsid w:val="00283C85"/>
    <w:rsid w:val="002A2563"/>
    <w:rsid w:val="002A54E4"/>
    <w:rsid w:val="002B1B32"/>
    <w:rsid w:val="002C2E47"/>
    <w:rsid w:val="002E010C"/>
    <w:rsid w:val="002E50A2"/>
    <w:rsid w:val="00343FD1"/>
    <w:rsid w:val="003515D7"/>
    <w:rsid w:val="00363761"/>
    <w:rsid w:val="00367F64"/>
    <w:rsid w:val="00370DC6"/>
    <w:rsid w:val="00387E60"/>
    <w:rsid w:val="003B2D5C"/>
    <w:rsid w:val="003C7743"/>
    <w:rsid w:val="003D6CA2"/>
    <w:rsid w:val="003E3EC0"/>
    <w:rsid w:val="003F2FA2"/>
    <w:rsid w:val="0040080B"/>
    <w:rsid w:val="0041639F"/>
    <w:rsid w:val="00424C46"/>
    <w:rsid w:val="004811A2"/>
    <w:rsid w:val="004B27E5"/>
    <w:rsid w:val="004E35C3"/>
    <w:rsid w:val="005040C7"/>
    <w:rsid w:val="00507962"/>
    <w:rsid w:val="00527525"/>
    <w:rsid w:val="00527F3A"/>
    <w:rsid w:val="00535FDA"/>
    <w:rsid w:val="0054581E"/>
    <w:rsid w:val="005514E2"/>
    <w:rsid w:val="0057175D"/>
    <w:rsid w:val="00584E8E"/>
    <w:rsid w:val="005945E5"/>
    <w:rsid w:val="005A60D3"/>
    <w:rsid w:val="00606623"/>
    <w:rsid w:val="0064338F"/>
    <w:rsid w:val="00651FA7"/>
    <w:rsid w:val="006A31EF"/>
    <w:rsid w:val="006B3CC1"/>
    <w:rsid w:val="006D03EB"/>
    <w:rsid w:val="006D2EFC"/>
    <w:rsid w:val="006E5F6A"/>
    <w:rsid w:val="0073175B"/>
    <w:rsid w:val="00745134"/>
    <w:rsid w:val="007718E9"/>
    <w:rsid w:val="008040B6"/>
    <w:rsid w:val="00826A26"/>
    <w:rsid w:val="008313F5"/>
    <w:rsid w:val="00870540"/>
    <w:rsid w:val="00872989"/>
    <w:rsid w:val="00895F10"/>
    <w:rsid w:val="00895F12"/>
    <w:rsid w:val="008A5115"/>
    <w:rsid w:val="008C68B2"/>
    <w:rsid w:val="008F0007"/>
    <w:rsid w:val="00917BC3"/>
    <w:rsid w:val="00925F1A"/>
    <w:rsid w:val="0096565C"/>
    <w:rsid w:val="00987996"/>
    <w:rsid w:val="009932CF"/>
    <w:rsid w:val="009B1118"/>
    <w:rsid w:val="009B6EC0"/>
    <w:rsid w:val="009D230A"/>
    <w:rsid w:val="009E7D2D"/>
    <w:rsid w:val="00A0197D"/>
    <w:rsid w:val="00A31963"/>
    <w:rsid w:val="00A5245E"/>
    <w:rsid w:val="00A650BA"/>
    <w:rsid w:val="00A905DA"/>
    <w:rsid w:val="00AA3FC5"/>
    <w:rsid w:val="00AA6571"/>
    <w:rsid w:val="00AF011E"/>
    <w:rsid w:val="00B15EE8"/>
    <w:rsid w:val="00B24302"/>
    <w:rsid w:val="00B272A4"/>
    <w:rsid w:val="00B32235"/>
    <w:rsid w:val="00B37622"/>
    <w:rsid w:val="00B55DC2"/>
    <w:rsid w:val="00B7421F"/>
    <w:rsid w:val="00B75E41"/>
    <w:rsid w:val="00B93DA2"/>
    <w:rsid w:val="00BA61A0"/>
    <w:rsid w:val="00BB1503"/>
    <w:rsid w:val="00BB4E71"/>
    <w:rsid w:val="00BE7CBF"/>
    <w:rsid w:val="00C048DA"/>
    <w:rsid w:val="00C27AA1"/>
    <w:rsid w:val="00C70AC1"/>
    <w:rsid w:val="00C77440"/>
    <w:rsid w:val="00C85AA4"/>
    <w:rsid w:val="00C9570A"/>
    <w:rsid w:val="00CA502C"/>
    <w:rsid w:val="00CC63C2"/>
    <w:rsid w:val="00CF7888"/>
    <w:rsid w:val="00D00464"/>
    <w:rsid w:val="00D46B06"/>
    <w:rsid w:val="00D61C41"/>
    <w:rsid w:val="00D63DA4"/>
    <w:rsid w:val="00D85D4E"/>
    <w:rsid w:val="00D8648B"/>
    <w:rsid w:val="00D934AF"/>
    <w:rsid w:val="00DB2006"/>
    <w:rsid w:val="00DB4E5C"/>
    <w:rsid w:val="00DD153F"/>
    <w:rsid w:val="00DE5CB8"/>
    <w:rsid w:val="00DF387B"/>
    <w:rsid w:val="00E31F4E"/>
    <w:rsid w:val="00E3384F"/>
    <w:rsid w:val="00E52EF0"/>
    <w:rsid w:val="00E55E35"/>
    <w:rsid w:val="00E84D52"/>
    <w:rsid w:val="00EA28F6"/>
    <w:rsid w:val="00EB0585"/>
    <w:rsid w:val="00EB307C"/>
    <w:rsid w:val="00EB6E35"/>
    <w:rsid w:val="00EF15BE"/>
    <w:rsid w:val="00F02277"/>
    <w:rsid w:val="00F24173"/>
    <w:rsid w:val="00F24901"/>
    <w:rsid w:val="00F4122A"/>
    <w:rsid w:val="00F50E93"/>
    <w:rsid w:val="00F549B7"/>
    <w:rsid w:val="00F670F8"/>
    <w:rsid w:val="00F718F6"/>
    <w:rsid w:val="00F73838"/>
    <w:rsid w:val="00F812ED"/>
    <w:rsid w:val="00F81A4D"/>
    <w:rsid w:val="00F81D6B"/>
    <w:rsid w:val="00FD0614"/>
    <w:rsid w:val="00FF6F06"/>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D5144"/>
  <w15:chartTrackingRefBased/>
  <w15:docId w15:val="{5771E7D5-5463-4682-AAEE-92453ABFA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864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semiHidden/>
    <w:unhideWhenUsed/>
    <w:rsid w:val="00E338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pPr>
    <w:rPr>
      <w:rFonts w:ascii="Courier New" w:eastAsia="Times New Roman" w:hAnsi="Courier New" w:cs="Courier New"/>
      <w:sz w:val="20"/>
      <w:szCs w:val="20"/>
    </w:rPr>
  </w:style>
  <w:style w:type="character" w:customStyle="1" w:styleId="HTML0">
    <w:name w:val="HTML מעוצב מראש תו"/>
    <w:basedOn w:val="a0"/>
    <w:link w:val="HTML"/>
    <w:uiPriority w:val="99"/>
    <w:semiHidden/>
    <w:rsid w:val="00E3384F"/>
    <w:rPr>
      <w:rFonts w:ascii="Courier New" w:eastAsia="Times New Roman" w:hAnsi="Courier New" w:cs="Courier New"/>
      <w:sz w:val="20"/>
      <w:szCs w:val="20"/>
    </w:rPr>
  </w:style>
  <w:style w:type="character" w:customStyle="1" w:styleId="y2iqfc">
    <w:name w:val="y2iqfc"/>
    <w:basedOn w:val="a0"/>
    <w:rsid w:val="00E3384F"/>
  </w:style>
  <w:style w:type="paragraph" w:customStyle="1" w:styleId="Default">
    <w:name w:val="Default"/>
    <w:rsid w:val="00E84D52"/>
    <w:pPr>
      <w:autoSpaceDE w:val="0"/>
      <w:autoSpaceDN w:val="0"/>
      <w:adjustRightInd w:val="0"/>
      <w:spacing w:after="0" w:line="240" w:lineRule="auto"/>
    </w:pPr>
    <w:rPr>
      <w:rFonts w:ascii="Times New Roman" w:hAnsi="Times New Roman" w:cs="Times New Roman"/>
      <w:color w:val="000000"/>
      <w:sz w:val="24"/>
      <w:szCs w:val="24"/>
    </w:rPr>
  </w:style>
  <w:style w:type="character" w:styleId="a4">
    <w:name w:val="annotation reference"/>
    <w:basedOn w:val="a0"/>
    <w:uiPriority w:val="99"/>
    <w:semiHidden/>
    <w:unhideWhenUsed/>
    <w:rsid w:val="00F73838"/>
    <w:rPr>
      <w:sz w:val="16"/>
      <w:szCs w:val="16"/>
    </w:rPr>
  </w:style>
  <w:style w:type="paragraph" w:styleId="a5">
    <w:name w:val="annotation text"/>
    <w:basedOn w:val="a"/>
    <w:link w:val="a6"/>
    <w:uiPriority w:val="99"/>
    <w:semiHidden/>
    <w:unhideWhenUsed/>
    <w:rsid w:val="00F73838"/>
    <w:pPr>
      <w:spacing w:line="240" w:lineRule="auto"/>
    </w:pPr>
    <w:rPr>
      <w:sz w:val="20"/>
      <w:szCs w:val="20"/>
    </w:rPr>
  </w:style>
  <w:style w:type="character" w:customStyle="1" w:styleId="a6">
    <w:name w:val="טקסט הערה תו"/>
    <w:basedOn w:val="a0"/>
    <w:link w:val="a5"/>
    <w:uiPriority w:val="99"/>
    <w:semiHidden/>
    <w:rsid w:val="00F73838"/>
    <w:rPr>
      <w:sz w:val="20"/>
      <w:szCs w:val="20"/>
    </w:rPr>
  </w:style>
  <w:style w:type="paragraph" w:styleId="a7">
    <w:name w:val="annotation subject"/>
    <w:basedOn w:val="a5"/>
    <w:next w:val="a5"/>
    <w:link w:val="a8"/>
    <w:uiPriority w:val="99"/>
    <w:semiHidden/>
    <w:unhideWhenUsed/>
    <w:rsid w:val="00F73838"/>
    <w:rPr>
      <w:b/>
      <w:bCs/>
    </w:rPr>
  </w:style>
  <w:style w:type="character" w:customStyle="1" w:styleId="a8">
    <w:name w:val="נושא הערה תו"/>
    <w:basedOn w:val="a6"/>
    <w:link w:val="a7"/>
    <w:uiPriority w:val="99"/>
    <w:semiHidden/>
    <w:rsid w:val="00F73838"/>
    <w:rPr>
      <w:b/>
      <w:bCs/>
      <w:sz w:val="20"/>
      <w:szCs w:val="20"/>
    </w:rPr>
  </w:style>
  <w:style w:type="paragraph" w:styleId="a9">
    <w:name w:val="Balloon Text"/>
    <w:basedOn w:val="a"/>
    <w:link w:val="aa"/>
    <w:uiPriority w:val="99"/>
    <w:semiHidden/>
    <w:unhideWhenUsed/>
    <w:rsid w:val="00F73838"/>
    <w:pPr>
      <w:spacing w:after="0" w:line="240" w:lineRule="auto"/>
    </w:pPr>
    <w:rPr>
      <w:rFonts w:ascii="Tahoma" w:hAnsi="Tahoma" w:cs="Tahoma"/>
      <w:sz w:val="18"/>
      <w:szCs w:val="18"/>
    </w:rPr>
  </w:style>
  <w:style w:type="character" w:customStyle="1" w:styleId="aa">
    <w:name w:val="טקסט בלונים תו"/>
    <w:basedOn w:val="a0"/>
    <w:link w:val="a9"/>
    <w:uiPriority w:val="99"/>
    <w:semiHidden/>
    <w:rsid w:val="00F73838"/>
    <w:rPr>
      <w:rFonts w:ascii="Tahoma" w:hAnsi="Tahoma" w:cs="Tahoma"/>
      <w:sz w:val="18"/>
      <w:szCs w:val="18"/>
    </w:rPr>
  </w:style>
  <w:style w:type="character" w:styleId="Hyperlink">
    <w:name w:val="Hyperlink"/>
    <w:basedOn w:val="a0"/>
    <w:uiPriority w:val="99"/>
    <w:semiHidden/>
    <w:unhideWhenUsed/>
    <w:rsid w:val="005A60D3"/>
    <w:rPr>
      <w:color w:val="0000FF" w:themeColor="hyperlink"/>
      <w:u w:val="single"/>
    </w:rPr>
  </w:style>
  <w:style w:type="paragraph" w:styleId="ab">
    <w:name w:val="footnote text"/>
    <w:basedOn w:val="a"/>
    <w:link w:val="ac"/>
    <w:uiPriority w:val="99"/>
    <w:semiHidden/>
    <w:unhideWhenUsed/>
    <w:rsid w:val="005A60D3"/>
    <w:pPr>
      <w:spacing w:after="0" w:line="240" w:lineRule="auto"/>
    </w:pPr>
    <w:rPr>
      <w:sz w:val="20"/>
      <w:szCs w:val="20"/>
    </w:rPr>
  </w:style>
  <w:style w:type="character" w:customStyle="1" w:styleId="ac">
    <w:name w:val="טקסט הערת שוליים תו"/>
    <w:basedOn w:val="a0"/>
    <w:link w:val="ab"/>
    <w:uiPriority w:val="99"/>
    <w:semiHidden/>
    <w:rsid w:val="005A60D3"/>
    <w:rPr>
      <w:sz w:val="20"/>
      <w:szCs w:val="20"/>
    </w:rPr>
  </w:style>
  <w:style w:type="character" w:styleId="ad">
    <w:name w:val="footnote reference"/>
    <w:basedOn w:val="a0"/>
    <w:uiPriority w:val="99"/>
    <w:semiHidden/>
    <w:unhideWhenUsed/>
    <w:rsid w:val="005A60D3"/>
    <w:rPr>
      <w:vertAlign w:val="superscript"/>
    </w:rPr>
  </w:style>
  <w:style w:type="paragraph" w:styleId="ae">
    <w:name w:val="header"/>
    <w:basedOn w:val="a"/>
    <w:link w:val="af"/>
    <w:uiPriority w:val="99"/>
    <w:unhideWhenUsed/>
    <w:rsid w:val="00D61C41"/>
    <w:pPr>
      <w:tabs>
        <w:tab w:val="center" w:pos="4153"/>
        <w:tab w:val="right" w:pos="8306"/>
      </w:tabs>
      <w:spacing w:after="0" w:line="240" w:lineRule="auto"/>
    </w:pPr>
  </w:style>
  <w:style w:type="character" w:customStyle="1" w:styleId="af">
    <w:name w:val="כותרת עליונה תו"/>
    <w:basedOn w:val="a0"/>
    <w:link w:val="ae"/>
    <w:uiPriority w:val="99"/>
    <w:rsid w:val="00D61C41"/>
  </w:style>
  <w:style w:type="paragraph" w:styleId="af0">
    <w:name w:val="footer"/>
    <w:basedOn w:val="a"/>
    <w:link w:val="af1"/>
    <w:uiPriority w:val="99"/>
    <w:unhideWhenUsed/>
    <w:rsid w:val="00D61C41"/>
    <w:pPr>
      <w:tabs>
        <w:tab w:val="center" w:pos="4153"/>
        <w:tab w:val="right" w:pos="8306"/>
      </w:tabs>
      <w:spacing w:after="0" w:line="240" w:lineRule="auto"/>
    </w:pPr>
  </w:style>
  <w:style w:type="character" w:customStyle="1" w:styleId="af1">
    <w:name w:val="כותרת תחתונה תו"/>
    <w:basedOn w:val="a0"/>
    <w:link w:val="af0"/>
    <w:uiPriority w:val="99"/>
    <w:rsid w:val="00D61C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566223">
      <w:bodyDiv w:val="1"/>
      <w:marLeft w:val="0"/>
      <w:marRight w:val="0"/>
      <w:marTop w:val="0"/>
      <w:marBottom w:val="0"/>
      <w:divBdr>
        <w:top w:val="none" w:sz="0" w:space="0" w:color="auto"/>
        <w:left w:val="none" w:sz="0" w:space="0" w:color="auto"/>
        <w:bottom w:val="none" w:sz="0" w:space="0" w:color="auto"/>
        <w:right w:val="none" w:sz="0" w:space="0" w:color="auto"/>
      </w:divBdr>
    </w:div>
    <w:div w:id="821964909">
      <w:bodyDiv w:val="1"/>
      <w:marLeft w:val="0"/>
      <w:marRight w:val="0"/>
      <w:marTop w:val="0"/>
      <w:marBottom w:val="0"/>
      <w:divBdr>
        <w:top w:val="none" w:sz="0" w:space="0" w:color="auto"/>
        <w:left w:val="none" w:sz="0" w:space="0" w:color="auto"/>
        <w:bottom w:val="none" w:sz="0" w:space="0" w:color="auto"/>
        <w:right w:val="none" w:sz="0" w:space="0" w:color="auto"/>
      </w:divBdr>
    </w:div>
    <w:div w:id="959335492">
      <w:bodyDiv w:val="1"/>
      <w:marLeft w:val="0"/>
      <w:marRight w:val="0"/>
      <w:marTop w:val="0"/>
      <w:marBottom w:val="0"/>
      <w:divBdr>
        <w:top w:val="none" w:sz="0" w:space="0" w:color="auto"/>
        <w:left w:val="none" w:sz="0" w:space="0" w:color="auto"/>
        <w:bottom w:val="none" w:sz="0" w:space="0" w:color="auto"/>
        <w:right w:val="none" w:sz="0" w:space="0" w:color="auto"/>
      </w:divBdr>
    </w:div>
    <w:div w:id="1067995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oek.officielebekendmakingen.nl/kst-34372-3.html" TargetMode="External"/><Relationship Id="rId13" Type="http://schemas.openxmlformats.org/officeDocument/2006/relationships/hyperlink" Target="https://www.justice.gov/sites/default/files/criminal-ccips/legacy/2015/01/14/ssmanual2009." TargetMode="External"/><Relationship Id="rId18" Type="http://schemas.openxmlformats.org/officeDocument/2006/relationships/hyperlink" Target="https://zoek.officielebekendmakingen.nl/stb-2018-322.html"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etten.overheid.nl/BWBR0001903/2021-07-01" TargetMode="External"/><Relationship Id="rId7" Type="http://schemas.openxmlformats.org/officeDocument/2006/relationships/hyperlink" Target="https://zoek.officielebekendmakingen.nl/stb-2018-322.html" TargetMode="External"/><Relationship Id="rId12" Type="http://schemas.openxmlformats.org/officeDocument/2006/relationships/hyperlink" Target="https://zoek.officielebekendmakingen.nl/kst-34372-3.html" TargetMode="External"/><Relationship Id="rId17" Type="http://schemas.openxmlformats.org/officeDocument/2006/relationships/hyperlink" Target="https://zoek.officielebekendmakingen.nl/stb-2018-322.html"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zoek.officielebekendmakingen.nl/kst-34372-3.html" TargetMode="External"/><Relationship Id="rId20" Type="http://schemas.openxmlformats.org/officeDocument/2006/relationships/hyperlink" Target="https://zoek.officielebekendmakingen.nl/stb-2018-322.html"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www.law.cornell.edu/rules/frcrmp/rule_41" TargetMode="External"/><Relationship Id="rId24" Type="http://schemas.openxmlformats.org/officeDocument/2006/relationships/hyperlink" Target="https://www.anacom.pt/render.jsp?contentId=985560" TargetMode="External"/><Relationship Id="rId5" Type="http://schemas.openxmlformats.org/officeDocument/2006/relationships/footnotes" Target="footnotes.xml"/><Relationship Id="rId15" Type="http://schemas.openxmlformats.org/officeDocument/2006/relationships/hyperlink" Target="https://parlinfo.aph.gov.au/parlInfo/search/display/display.w3p;query=Id%3A%22legislation%2Fems%2Fr6195_ems_1139bfde-17f3-4538-b2b2-5875f5881239%22" TargetMode="External"/><Relationship Id="rId23" Type="http://schemas.openxmlformats.org/officeDocument/2006/relationships/hyperlink" Target="http://www.ejustice.just.fgov.be/eli/loi/1808/11/17/1808111701/justel" TargetMode="External"/><Relationship Id="rId10" Type="http://schemas.openxmlformats.org/officeDocument/2006/relationships/hyperlink" Target="https://www.anacom.pt/render.jsp?contentId=985560" TargetMode="External"/><Relationship Id="rId19" Type="http://schemas.openxmlformats.org/officeDocument/2006/relationships/hyperlink" Target="https://www.law.cornell.edu/rules/frcrmp/rule_41" TargetMode="External"/><Relationship Id="rId4" Type="http://schemas.openxmlformats.org/officeDocument/2006/relationships/webSettings" Target="webSettings.xml"/><Relationship Id="rId9" Type="http://schemas.openxmlformats.org/officeDocument/2006/relationships/hyperlink" Target="http://www.ejustice.just.fgov.be/eli/loi/1808/11/17/1808111701/justel" TargetMode="External"/><Relationship Id="rId14" Type="http://schemas.openxmlformats.org/officeDocument/2006/relationships/hyperlink" Target="http://www.ejustice.just.fgov.be/eli/loi/1808/11/17/1808111701/justel" TargetMode="External"/><Relationship Id="rId22" Type="http://schemas.openxmlformats.org/officeDocument/2006/relationships/hyperlink" Target="https://wetten.overheid.nl/BWBR0001903/2021-07-01" TargetMode="External"/><Relationship Id="rId27"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5E522FF3-1F24-4990-853E-42E82F6A1A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1889</Words>
  <Characters>9450</Characters>
  <Application>Microsoft Office Word</Application>
  <DocSecurity>0</DocSecurity>
  <Lines>78</Lines>
  <Paragraphs>22</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11317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Tamir Gur</dc:creator>
  <cp:keywords/>
  <dc:description/>
  <cp:lastModifiedBy>Tamir Gur</cp:lastModifiedBy>
  <cp:revision>2</cp:revision>
  <cp:lastPrinted>2021-09-29T07:59:00Z</cp:lastPrinted>
  <dcterms:created xsi:type="dcterms:W3CDTF">2021-09-29T17:31:00Z</dcterms:created>
  <dcterms:modified xsi:type="dcterms:W3CDTF">2021-09-29T17:31:00Z</dcterms:modified>
</cp:coreProperties>
</file>