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FCA" w:rsidRDefault="006711A2" w:rsidP="004C5E13">
      <w:pPr>
        <w:bidi/>
        <w:spacing w:before="120" w:after="120" w:line="360" w:lineRule="auto"/>
        <w:jc w:val="center"/>
        <w:rPr>
          <w:rFonts w:asciiTheme="majorBidi" w:hAnsiTheme="majorBidi"/>
          <w:u w:val="single"/>
          <w:rtl/>
        </w:rPr>
      </w:pPr>
      <w:bookmarkStart w:id="0" w:name="_GoBack"/>
      <w:bookmarkEnd w:id="0"/>
      <w:r w:rsidRPr="00656E50">
        <w:rPr>
          <w:rFonts w:asciiTheme="majorBidi" w:hAnsiTheme="majorBidi"/>
          <w:u w:val="single"/>
          <w:rtl/>
        </w:rPr>
        <w:t>חוק ההסדרה אל מול תקנה 46 לתקנות האג – החובה להגן על זכות הקניין</w:t>
      </w:r>
    </w:p>
    <w:p w:rsidR="0018346E" w:rsidRDefault="0018346E" w:rsidP="004C5E13">
      <w:pPr>
        <w:tabs>
          <w:tab w:val="left" w:pos="6805"/>
        </w:tabs>
        <w:bidi/>
        <w:spacing w:before="120" w:after="120" w:line="360" w:lineRule="auto"/>
        <w:rPr>
          <w:b/>
          <w:bCs/>
          <w:u w:val="single"/>
          <w:rtl/>
        </w:rPr>
      </w:pPr>
    </w:p>
    <w:p w:rsidR="0018346E" w:rsidRPr="0018346E" w:rsidRDefault="0018346E" w:rsidP="004C5E13">
      <w:pPr>
        <w:tabs>
          <w:tab w:val="left" w:pos="6805"/>
        </w:tabs>
        <w:bidi/>
        <w:spacing w:before="120" w:after="120" w:line="360" w:lineRule="auto"/>
        <w:rPr>
          <w:b/>
          <w:bCs/>
          <w:u w:val="single"/>
        </w:rPr>
      </w:pPr>
      <w:r w:rsidRPr="0018346E">
        <w:rPr>
          <w:rFonts w:hint="cs"/>
          <w:b/>
          <w:bCs/>
          <w:u w:val="single"/>
          <w:rtl/>
        </w:rPr>
        <w:t>רקע</w:t>
      </w:r>
    </w:p>
    <w:p w:rsidR="00DD71EF" w:rsidRDefault="00CA2821" w:rsidP="004C5E13">
      <w:pPr>
        <w:pStyle w:val="a3"/>
        <w:numPr>
          <w:ilvl w:val="0"/>
          <w:numId w:val="1"/>
        </w:numPr>
        <w:bidi/>
        <w:spacing w:before="120" w:after="120" w:line="360" w:lineRule="auto"/>
        <w:ind w:left="425" w:hanging="357"/>
        <w:contextualSpacing w:val="0"/>
      </w:pPr>
      <w:r>
        <w:rPr>
          <w:rFonts w:hint="cs"/>
          <w:rtl/>
        </w:rPr>
        <w:t xml:space="preserve">ביום 06.02.2017 אושרה בכנסת בקריאות </w:t>
      </w:r>
      <w:r w:rsidRPr="009D2D9D">
        <w:rPr>
          <w:rFonts w:hint="cs"/>
          <w:rtl/>
        </w:rPr>
        <w:t>שני</w:t>
      </w:r>
      <w:r>
        <w:rPr>
          <w:rFonts w:hint="cs"/>
          <w:rtl/>
        </w:rPr>
        <w:t>י</w:t>
      </w:r>
      <w:r w:rsidRPr="009D2D9D">
        <w:rPr>
          <w:rFonts w:hint="cs"/>
          <w:rtl/>
        </w:rPr>
        <w:t>ה</w:t>
      </w:r>
      <w:r w:rsidRPr="009D2D9D">
        <w:rPr>
          <w:rtl/>
        </w:rPr>
        <w:t xml:space="preserve"> </w:t>
      </w:r>
      <w:r w:rsidRPr="009D2D9D">
        <w:rPr>
          <w:rFonts w:hint="cs"/>
          <w:rtl/>
        </w:rPr>
        <w:t>ושלישית</w:t>
      </w:r>
      <w:r>
        <w:rPr>
          <w:rFonts w:hint="cs"/>
          <w:rtl/>
        </w:rPr>
        <w:t xml:space="preserve"> הצעת החוק להסדרת ההתיישבות ביהודה והשומרון, התשע"ז</w:t>
      </w:r>
      <w:r>
        <w:rPr>
          <w:rtl/>
        </w:rPr>
        <w:t>–</w:t>
      </w:r>
      <w:r>
        <w:rPr>
          <w:rFonts w:hint="cs"/>
          <w:rtl/>
        </w:rPr>
        <w:t xml:space="preserve">2017 (להלן: </w:t>
      </w:r>
      <w:r>
        <w:rPr>
          <w:rFonts w:hint="cs"/>
          <w:b/>
          <w:bCs/>
          <w:rtl/>
        </w:rPr>
        <w:t>"</w:t>
      </w:r>
      <w:r w:rsidRPr="00892345">
        <w:rPr>
          <w:rFonts w:hint="cs"/>
          <w:b/>
          <w:bCs/>
          <w:rtl/>
        </w:rPr>
        <w:t>חוק ההסדרה</w:t>
      </w:r>
      <w:r>
        <w:rPr>
          <w:rFonts w:hint="cs"/>
          <w:b/>
          <w:bCs/>
          <w:rtl/>
        </w:rPr>
        <w:t>"</w:t>
      </w:r>
      <w:r>
        <w:rPr>
          <w:rFonts w:hint="cs"/>
          <w:rtl/>
        </w:rPr>
        <w:t>). החוק קובע הסדרים שונים ביחס למקרקעין באזור יהודה והשומרון (להלן: "</w:t>
      </w:r>
      <w:r w:rsidRPr="00892345">
        <w:rPr>
          <w:rFonts w:hint="cs"/>
          <w:b/>
          <w:bCs/>
          <w:rtl/>
        </w:rPr>
        <w:t>איו"ש</w:t>
      </w:r>
      <w:r>
        <w:rPr>
          <w:rFonts w:hint="cs"/>
          <w:b/>
          <w:bCs/>
          <w:rtl/>
        </w:rPr>
        <w:t>"</w:t>
      </w:r>
      <w:r>
        <w:rPr>
          <w:rFonts w:hint="cs"/>
          <w:rtl/>
        </w:rPr>
        <w:t xml:space="preserve">), ואף מורה ישירות לרשויות באזור, ביניהן: הממונה על הרכוש הממשלתי באיו"ש, לבצע פעולות של נטילת זכויות ו/או רישום ביחס למקרקעין באיו"ש. </w:t>
      </w:r>
    </w:p>
    <w:p w:rsidR="00153407" w:rsidRPr="00892345" w:rsidRDefault="00153407" w:rsidP="004C5E13">
      <w:pPr>
        <w:pStyle w:val="a3"/>
        <w:numPr>
          <w:ilvl w:val="0"/>
          <w:numId w:val="1"/>
        </w:numPr>
        <w:bidi/>
        <w:spacing w:before="120" w:after="120" w:line="360" w:lineRule="auto"/>
        <w:ind w:left="425" w:hanging="357"/>
        <w:contextualSpacing w:val="0"/>
      </w:pPr>
      <w:r>
        <w:rPr>
          <w:rFonts w:hint="cs"/>
          <w:rtl/>
        </w:rPr>
        <w:t>חוק</w:t>
      </w:r>
      <w:r w:rsidR="00D57DEE">
        <w:rPr>
          <w:rFonts w:hint="cs"/>
          <w:rtl/>
        </w:rPr>
        <w:t xml:space="preserve"> ההסדרה</w:t>
      </w:r>
      <w:r>
        <w:rPr>
          <w:rFonts w:hint="cs"/>
          <w:rtl/>
        </w:rPr>
        <w:t xml:space="preserve"> מגלם בתוכו מספר קשיים</w:t>
      </w:r>
      <w:r w:rsidR="00D57DEE">
        <w:rPr>
          <w:rFonts w:hint="cs"/>
          <w:rtl/>
        </w:rPr>
        <w:t xml:space="preserve"> בתחום המשפט הבין-לאומי </w:t>
      </w:r>
      <w:r>
        <w:rPr>
          <w:rFonts w:hint="cs"/>
          <w:rtl/>
        </w:rPr>
        <w:t xml:space="preserve">אשר נבחנו </w:t>
      </w:r>
      <w:r w:rsidRPr="00DD71EF">
        <w:rPr>
          <w:rFonts w:eastAsia="Times New Roman" w:hint="cs"/>
          <w:rtl/>
        </w:rPr>
        <w:t xml:space="preserve">במסגרת גיבוש עמדת היועץ המשפטי לממשלה בבג"ץ 1308/17 </w:t>
      </w:r>
      <w:r w:rsidRPr="00661379">
        <w:rPr>
          <w:rFonts w:eastAsia="Times New Roman" w:hint="cs"/>
          <w:rtl/>
        </w:rPr>
        <w:t>עיריית סלואד נ' הכנסת</w:t>
      </w:r>
      <w:r w:rsidR="00EF1EF8">
        <w:rPr>
          <w:rFonts w:eastAsia="Times New Roman" w:hint="cs"/>
          <w:rtl/>
        </w:rPr>
        <w:t>,</w:t>
      </w:r>
      <w:r w:rsidR="00D57DEE" w:rsidRPr="00661379">
        <w:rPr>
          <w:rFonts w:eastAsia="Times New Roman" w:hint="cs"/>
          <w:rtl/>
        </w:rPr>
        <w:t xml:space="preserve"> והוצגו במזכר </w:t>
      </w:r>
      <w:r w:rsidR="00CE6372" w:rsidRPr="00661379">
        <w:rPr>
          <w:rFonts w:eastAsia="Times New Roman" w:hint="cs"/>
          <w:rtl/>
        </w:rPr>
        <w:t xml:space="preserve">נושא תאריך </w:t>
      </w:r>
      <w:r w:rsidR="00D57DEE" w:rsidRPr="00661379">
        <w:rPr>
          <w:rFonts w:eastAsia="Times New Roman" w:hint="cs"/>
          <w:rtl/>
        </w:rPr>
        <w:t>25.5.17</w:t>
      </w:r>
      <w:r w:rsidRPr="00661379">
        <w:rPr>
          <w:rFonts w:eastAsia="Times New Roman" w:hint="cs"/>
          <w:rtl/>
        </w:rPr>
        <w:t>.</w:t>
      </w:r>
      <w:r w:rsidRPr="00661379">
        <w:rPr>
          <w:rFonts w:hint="cs"/>
          <w:rtl/>
        </w:rPr>
        <w:t xml:space="preserve"> </w:t>
      </w:r>
      <w:r w:rsidRPr="00661379">
        <w:rPr>
          <w:rFonts w:eastAsia="Times New Roman" w:hint="cs"/>
          <w:rtl/>
        </w:rPr>
        <w:t>מזכר</w:t>
      </w:r>
      <w:r w:rsidR="00D57DEE" w:rsidRPr="00661379">
        <w:rPr>
          <w:rFonts w:eastAsia="Times New Roman" w:hint="cs"/>
          <w:rtl/>
        </w:rPr>
        <w:t xml:space="preserve"> זה</w:t>
      </w:r>
      <w:r w:rsidRPr="00661379">
        <w:rPr>
          <w:rFonts w:eastAsia="Times New Roman" w:hint="cs"/>
          <w:rtl/>
        </w:rPr>
        <w:t xml:space="preserve"> עסק בשאלת סמכותה של הכנסת לחוקק חקיקה ראשית</w:t>
      </w:r>
      <w:r w:rsidRPr="00DD71EF">
        <w:rPr>
          <w:rFonts w:eastAsia="Times New Roman" w:hint="cs"/>
          <w:rtl/>
        </w:rPr>
        <w:t xml:space="preserve"> בעלת תחולה</w:t>
      </w:r>
      <w:r w:rsidR="00D57DEE" w:rsidRPr="00DD71EF">
        <w:rPr>
          <w:rFonts w:eastAsia="Times New Roman" w:hint="cs"/>
          <w:rtl/>
        </w:rPr>
        <w:t xml:space="preserve"> ישירה חוץ טריטוריאלית באיו"ש וב</w:t>
      </w:r>
      <w:r w:rsidRPr="00DD71EF">
        <w:rPr>
          <w:rFonts w:eastAsia="Times New Roman" w:hint="cs"/>
          <w:rtl/>
        </w:rPr>
        <w:t>קשיים שמעורר חוק ההסדרה בראי דיני התפיסה הלוחמתית.</w:t>
      </w:r>
    </w:p>
    <w:p w:rsidR="00E34EF1" w:rsidRPr="00656E50" w:rsidRDefault="00661379" w:rsidP="004C5E13">
      <w:pPr>
        <w:pStyle w:val="a3"/>
        <w:numPr>
          <w:ilvl w:val="0"/>
          <w:numId w:val="1"/>
        </w:numPr>
        <w:bidi/>
        <w:spacing w:before="120" w:after="120" w:line="360" w:lineRule="auto"/>
        <w:ind w:left="425" w:hanging="357"/>
        <w:contextualSpacing w:val="0"/>
        <w:rPr>
          <w:rStyle w:val="apple-style-span"/>
          <w:rFonts w:asciiTheme="majorBidi" w:hAnsiTheme="majorBidi"/>
        </w:rPr>
      </w:pPr>
      <w:r w:rsidRPr="00656E50">
        <w:rPr>
          <w:rFonts w:asciiTheme="majorBidi" w:hAnsiTheme="majorBidi"/>
          <w:rtl/>
        </w:rPr>
        <w:t xml:space="preserve">בתגובה המקדמית </w:t>
      </w:r>
      <w:r>
        <w:rPr>
          <w:rFonts w:asciiTheme="majorBidi" w:hAnsiTheme="majorBidi" w:hint="cs"/>
          <w:rtl/>
        </w:rPr>
        <w:t>שהוגשה על ידי</w:t>
      </w:r>
      <w:r w:rsidRPr="00656E50">
        <w:rPr>
          <w:rFonts w:asciiTheme="majorBidi" w:hAnsiTheme="majorBidi"/>
          <w:rtl/>
        </w:rPr>
        <w:t xml:space="preserve"> הממשלה</w:t>
      </w:r>
      <w:r>
        <w:rPr>
          <w:rFonts w:asciiTheme="majorBidi" w:hAnsiTheme="majorBidi" w:hint="cs"/>
          <w:rtl/>
        </w:rPr>
        <w:t xml:space="preserve"> ביום 21.8.17</w:t>
      </w:r>
      <w:r w:rsidRPr="00656E50">
        <w:rPr>
          <w:rFonts w:asciiTheme="majorBidi" w:hAnsiTheme="majorBidi"/>
          <w:rtl/>
        </w:rPr>
        <w:t>, ט</w:t>
      </w:r>
      <w:r w:rsidR="00246367">
        <w:rPr>
          <w:rFonts w:asciiTheme="majorBidi" w:hAnsiTheme="majorBidi" w:hint="cs"/>
          <w:rtl/>
        </w:rPr>
        <w:t>ענה</w:t>
      </w:r>
      <w:r w:rsidRPr="00656E50">
        <w:rPr>
          <w:rFonts w:asciiTheme="majorBidi" w:hAnsiTheme="majorBidi"/>
          <w:rtl/>
        </w:rPr>
        <w:t xml:space="preserve"> הממשלה כי </w:t>
      </w:r>
      <w:r w:rsidR="001A0B27">
        <w:rPr>
          <w:rStyle w:val="apple-style-span"/>
          <w:rFonts w:hint="cs"/>
          <w:rtl/>
        </w:rPr>
        <w:t>לתקנה 46 ל</w:t>
      </w:r>
      <w:r w:rsidR="001A0B27" w:rsidRPr="004A7EED">
        <w:rPr>
          <w:rStyle w:val="apple-style-span"/>
          <w:rFonts w:hint="cs"/>
          <w:rtl/>
        </w:rPr>
        <w:t xml:space="preserve">אמנת האג בדבר דיני ומנהגי </w:t>
      </w:r>
      <w:r w:rsidR="001A0B27" w:rsidRPr="00195B00">
        <w:rPr>
          <w:rFonts w:hint="cs"/>
          <w:rtl/>
        </w:rPr>
        <w:t>המלחמה</w:t>
      </w:r>
      <w:r w:rsidR="001A0B27" w:rsidRPr="004A7EED">
        <w:rPr>
          <w:rStyle w:val="apple-style-span"/>
          <w:rFonts w:hint="cs"/>
          <w:rtl/>
        </w:rPr>
        <w:t xml:space="preserve"> ביבשה משנת 1907 (להלן: </w:t>
      </w:r>
      <w:r w:rsidR="001A0B27" w:rsidRPr="00246367">
        <w:rPr>
          <w:rStyle w:val="apple-style-span"/>
          <w:rFonts w:hint="cs"/>
          <w:b/>
          <w:bCs/>
          <w:rtl/>
        </w:rPr>
        <w:t>"תקנות האג"</w:t>
      </w:r>
      <w:r w:rsidR="001A0B27" w:rsidRPr="004A7EED">
        <w:rPr>
          <w:rStyle w:val="apple-style-span"/>
          <w:rFonts w:hint="cs"/>
          <w:rtl/>
        </w:rPr>
        <w:t>)</w:t>
      </w:r>
      <w:r w:rsidR="00E34EF1">
        <w:rPr>
          <w:rStyle w:val="a6"/>
          <w:rFonts w:asciiTheme="majorBidi" w:hAnsiTheme="majorBidi"/>
          <w:rtl/>
        </w:rPr>
        <w:footnoteReference w:id="1"/>
      </w:r>
      <w:r w:rsidR="00E34EF1">
        <w:rPr>
          <w:rStyle w:val="apple-style-span"/>
          <w:rFonts w:asciiTheme="majorBidi" w:hAnsiTheme="majorBidi" w:hint="cs"/>
          <w:rtl/>
        </w:rPr>
        <w:t xml:space="preserve"> </w:t>
      </w:r>
      <w:r w:rsidR="00E34EF1">
        <w:rPr>
          <w:rFonts w:hint="cs"/>
          <w:rtl/>
        </w:rPr>
        <w:t>הכוללת בתוכה את החובה להגן על זכות הקניין והאיסור על החרמה (</w:t>
      </w:r>
      <w:r w:rsidR="00E34EF1" w:rsidRPr="00246367">
        <w:rPr>
          <w:rFonts w:asciiTheme="majorBidi" w:hAnsiTheme="majorBidi"/>
          <w:b/>
          <w:bCs/>
        </w:rPr>
        <w:t>confiscation</w:t>
      </w:r>
      <w:r w:rsidR="00E34EF1" w:rsidRPr="001A528C">
        <w:rPr>
          <w:rFonts w:asciiTheme="majorBidi" w:hAnsiTheme="majorBidi" w:hint="cs"/>
          <w:rtl/>
        </w:rPr>
        <w:t>)</w:t>
      </w:r>
      <w:r w:rsidR="00E34EF1">
        <w:rPr>
          <w:rFonts w:hint="cs"/>
          <w:rtl/>
        </w:rPr>
        <w:t xml:space="preserve"> של רכוש פרטי,</w:t>
      </w:r>
      <w:r w:rsidR="00E34EF1">
        <w:rPr>
          <w:rFonts w:asciiTheme="majorBidi" w:hAnsiTheme="majorBidi"/>
          <w:rtl/>
        </w:rPr>
        <w:t xml:space="preserve"> </w:t>
      </w:r>
      <w:r w:rsidR="00E34EF1">
        <w:rPr>
          <w:rStyle w:val="apple-style-span"/>
          <w:rFonts w:asciiTheme="majorBidi" w:hAnsiTheme="majorBidi" w:hint="cs"/>
          <w:rtl/>
        </w:rPr>
        <w:t xml:space="preserve">"אין כל נגיעה" </w:t>
      </w:r>
      <w:r w:rsidR="00E34EF1" w:rsidRPr="00656E50">
        <w:rPr>
          <w:rStyle w:val="apple-style-span"/>
          <w:rFonts w:asciiTheme="majorBidi" w:hAnsiTheme="majorBidi"/>
          <w:rtl/>
        </w:rPr>
        <w:t>לחוק ההסדרה</w:t>
      </w:r>
      <w:r w:rsidR="00E34EF1">
        <w:rPr>
          <w:rStyle w:val="apple-style-span"/>
          <w:rFonts w:asciiTheme="majorBidi" w:hAnsiTheme="majorBidi" w:hint="cs"/>
          <w:rtl/>
        </w:rPr>
        <w:t>.</w:t>
      </w:r>
      <w:r w:rsidR="00E34EF1" w:rsidRPr="00656E50">
        <w:rPr>
          <w:rStyle w:val="a6"/>
          <w:rFonts w:asciiTheme="majorBidi" w:hAnsiTheme="majorBidi"/>
          <w:rtl/>
        </w:rPr>
        <w:footnoteReference w:id="2"/>
      </w:r>
      <w:r w:rsidR="00E34EF1">
        <w:rPr>
          <w:rStyle w:val="apple-style-span"/>
          <w:rFonts w:asciiTheme="majorBidi" w:hAnsiTheme="majorBidi" w:hint="cs"/>
          <w:rtl/>
        </w:rPr>
        <w:t xml:space="preserve"> </w:t>
      </w:r>
    </w:p>
    <w:p w:rsidR="00E34EF1" w:rsidRDefault="00E34EF1" w:rsidP="004C5E13">
      <w:pPr>
        <w:pStyle w:val="a3"/>
        <w:numPr>
          <w:ilvl w:val="0"/>
          <w:numId w:val="1"/>
        </w:numPr>
        <w:bidi/>
        <w:spacing w:before="120" w:after="120" w:line="360" w:lineRule="auto"/>
        <w:ind w:left="425" w:hanging="357"/>
        <w:contextualSpacing w:val="0"/>
        <w:rPr>
          <w:rStyle w:val="apple-style-span"/>
          <w:rFonts w:asciiTheme="majorBidi" w:hAnsiTheme="majorBidi"/>
        </w:rPr>
      </w:pPr>
      <w:r>
        <w:rPr>
          <w:rStyle w:val="apple-style-span"/>
          <w:rFonts w:asciiTheme="majorBidi" w:hAnsiTheme="majorBidi" w:hint="cs"/>
          <w:rtl/>
        </w:rPr>
        <w:t>הממשלה טענה כי</w:t>
      </w:r>
      <w:r>
        <w:rPr>
          <w:rStyle w:val="apple-style-span"/>
          <w:rFonts w:asciiTheme="majorBidi" w:hAnsiTheme="majorBidi"/>
          <w:rtl/>
        </w:rPr>
        <w:t xml:space="preserve"> התקנה אינה עוסקת בהפקעה אלא</w:t>
      </w:r>
      <w:r w:rsidRPr="00656E50">
        <w:rPr>
          <w:rStyle w:val="apple-style-span"/>
          <w:rFonts w:asciiTheme="majorBidi" w:hAnsiTheme="majorBidi"/>
          <w:rtl/>
        </w:rPr>
        <w:t xml:space="preserve"> בהחרמה, שה</w:t>
      </w:r>
      <w:r>
        <w:rPr>
          <w:rStyle w:val="apple-style-span"/>
          <w:rFonts w:asciiTheme="majorBidi" w:hAnsiTheme="majorBidi"/>
          <w:rtl/>
        </w:rPr>
        <w:t>יא למעשה נטילת זכויות ללא תמורה</w:t>
      </w:r>
      <w:r>
        <w:rPr>
          <w:rStyle w:val="apple-style-span"/>
          <w:rFonts w:asciiTheme="majorBidi" w:hAnsiTheme="majorBidi" w:hint="cs"/>
          <w:rtl/>
        </w:rPr>
        <w:t xml:space="preserve">, וכי </w:t>
      </w:r>
      <w:r w:rsidRPr="00656E50">
        <w:rPr>
          <w:rStyle w:val="apple-style-span"/>
          <w:rFonts w:asciiTheme="majorBidi" w:hAnsiTheme="majorBidi"/>
          <w:rtl/>
        </w:rPr>
        <w:t>דיני התפיסה הלוחמתית</w:t>
      </w:r>
      <w:r>
        <w:rPr>
          <w:rStyle w:val="apple-style-span"/>
          <w:rFonts w:asciiTheme="majorBidi" w:hAnsiTheme="majorBidi"/>
          <w:rtl/>
        </w:rPr>
        <w:t xml:space="preserve">, תקנות האג ואמנת </w:t>
      </w:r>
      <w:r w:rsidRPr="001A528C">
        <w:rPr>
          <w:rFonts w:asciiTheme="majorBidi" w:hAnsiTheme="majorBidi" w:hint="cs"/>
          <w:rtl/>
        </w:rPr>
        <w:t>ג'נבה הרביעית בדבר הגנת אזרחים בימי מלחמה משנת 1949</w:t>
      </w:r>
      <w:r>
        <w:rPr>
          <w:rFonts w:asciiTheme="majorBidi" w:hAnsiTheme="majorBidi" w:hint="cs"/>
          <w:rtl/>
        </w:rPr>
        <w:t xml:space="preserve"> </w:t>
      </w:r>
      <w:r w:rsidRPr="004A7EED">
        <w:rPr>
          <w:rStyle w:val="apple-style-span"/>
          <w:rFonts w:hint="cs"/>
          <w:rtl/>
        </w:rPr>
        <w:t xml:space="preserve">(להלן: </w:t>
      </w:r>
      <w:r w:rsidRPr="00EC7AC2">
        <w:rPr>
          <w:rStyle w:val="apple-style-span"/>
          <w:rFonts w:hint="cs"/>
          <w:b/>
          <w:bCs/>
          <w:rtl/>
        </w:rPr>
        <w:t>"אמנת ג'נבה הרביעית"</w:t>
      </w:r>
      <w:r>
        <w:rPr>
          <w:rStyle w:val="apple-style-span"/>
          <w:rFonts w:hint="cs"/>
          <w:rtl/>
        </w:rPr>
        <w:t>)</w:t>
      </w:r>
      <w:r>
        <w:rPr>
          <w:rStyle w:val="apple-style-span"/>
          <w:rFonts w:asciiTheme="majorBidi" w:hAnsiTheme="majorBidi" w:hint="cs"/>
          <w:rtl/>
        </w:rPr>
        <w:t>,</w:t>
      </w:r>
      <w:r>
        <w:rPr>
          <w:rStyle w:val="a6"/>
          <w:rFonts w:asciiTheme="majorBidi" w:hAnsiTheme="majorBidi"/>
          <w:rtl/>
        </w:rPr>
        <w:footnoteReference w:id="3"/>
      </w:r>
      <w:r>
        <w:rPr>
          <w:rStyle w:val="apple-style-span"/>
          <w:rFonts w:asciiTheme="majorBidi" w:hAnsiTheme="majorBidi" w:hint="cs"/>
          <w:rtl/>
        </w:rPr>
        <w:t xml:space="preserve"> </w:t>
      </w:r>
      <w:r w:rsidRPr="00656E50">
        <w:rPr>
          <w:rStyle w:val="apple-style-span"/>
          <w:rFonts w:asciiTheme="majorBidi" w:hAnsiTheme="majorBidi"/>
          <w:rtl/>
        </w:rPr>
        <w:t>שותקים לגבי סמכות ההפקעה, קרי רכישה תמורת תשלום בשטח הנתון לתפיסה. לכן, אין בדיני התפיסה הלוחמתית איסור על הפקעת זכויות תמורת תשלום, כפי שקובע המנגנון של סעיף 2(3) לחוק ההסדרה.</w:t>
      </w:r>
      <w:r w:rsidRPr="00656E50">
        <w:rPr>
          <w:rStyle w:val="a6"/>
          <w:rFonts w:asciiTheme="majorBidi" w:hAnsiTheme="majorBidi"/>
          <w:rtl/>
        </w:rPr>
        <w:footnoteReference w:id="4"/>
      </w:r>
      <w:r w:rsidRPr="00656E50">
        <w:rPr>
          <w:rStyle w:val="apple-style-span"/>
          <w:rFonts w:asciiTheme="majorBidi" w:hAnsiTheme="majorBidi"/>
          <w:rtl/>
        </w:rPr>
        <w:t xml:space="preserve"> </w:t>
      </w:r>
      <w:r>
        <w:rPr>
          <w:rStyle w:val="apple-style-span"/>
          <w:rFonts w:asciiTheme="majorBidi" w:hAnsiTheme="majorBidi" w:hint="cs"/>
          <w:rtl/>
        </w:rPr>
        <w:t xml:space="preserve"> </w:t>
      </w:r>
    </w:p>
    <w:p w:rsidR="00E34EF1" w:rsidRPr="005A0A92" w:rsidRDefault="00E34EF1" w:rsidP="004C5E13">
      <w:pPr>
        <w:pStyle w:val="a3"/>
        <w:numPr>
          <w:ilvl w:val="0"/>
          <w:numId w:val="1"/>
        </w:numPr>
        <w:bidi/>
        <w:spacing w:before="120" w:after="120" w:line="360" w:lineRule="auto"/>
        <w:ind w:left="425" w:hanging="357"/>
        <w:contextualSpacing w:val="0"/>
        <w:rPr>
          <w:rFonts w:asciiTheme="majorBidi" w:hAnsiTheme="majorBidi"/>
        </w:rPr>
      </w:pPr>
      <w:r>
        <w:rPr>
          <w:rStyle w:val="apple-style-span"/>
          <w:rFonts w:asciiTheme="majorBidi" w:hAnsiTheme="majorBidi" w:hint="cs"/>
          <w:rtl/>
        </w:rPr>
        <w:t xml:space="preserve">מטרת מזכר זה היא לבחון את הטענה של הממשלה לפיה האיסור הקיים בתקנה 46 לתקנות האג אינו חל בהקשר לחוק ההסדרה. </w:t>
      </w:r>
      <w:r>
        <w:rPr>
          <w:rFonts w:hint="cs"/>
          <w:rtl/>
        </w:rPr>
        <w:t xml:space="preserve">המזכר יבחן את חוקיות חוק ההסדרה אל מול תקנה </w:t>
      </w:r>
      <w:r w:rsidRPr="005A0A92">
        <w:rPr>
          <w:rFonts w:hint="cs"/>
          <w:rtl/>
        </w:rPr>
        <w:t xml:space="preserve">46 </w:t>
      </w:r>
      <w:r>
        <w:rPr>
          <w:rStyle w:val="apple-style-span"/>
          <w:rFonts w:hint="cs"/>
          <w:rtl/>
        </w:rPr>
        <w:t>לתקנות האג</w:t>
      </w:r>
      <w:r w:rsidRPr="005A0A92">
        <w:rPr>
          <w:rStyle w:val="apple-style-span"/>
          <w:rFonts w:hint="cs"/>
          <w:rtl/>
        </w:rPr>
        <w:t>.</w:t>
      </w:r>
      <w:r w:rsidRPr="005A0A92">
        <w:rPr>
          <w:rStyle w:val="a6"/>
          <w:rtl/>
        </w:rPr>
        <w:footnoteReference w:id="5"/>
      </w:r>
      <w:r w:rsidRPr="005A0A92">
        <w:rPr>
          <w:rStyle w:val="apple-style-span"/>
          <w:rFonts w:hint="cs"/>
          <w:rtl/>
        </w:rPr>
        <w:t xml:space="preserve"> </w:t>
      </w:r>
    </w:p>
    <w:p w:rsidR="00E34EF1" w:rsidRPr="005A0A92" w:rsidRDefault="00E34EF1" w:rsidP="00507AB8">
      <w:pPr>
        <w:pStyle w:val="a3"/>
        <w:numPr>
          <w:ilvl w:val="0"/>
          <w:numId w:val="1"/>
        </w:numPr>
        <w:bidi/>
        <w:spacing w:before="120" w:after="120" w:line="360" w:lineRule="auto"/>
        <w:ind w:left="425" w:hanging="357"/>
        <w:contextualSpacing w:val="0"/>
        <w:rPr>
          <w:rStyle w:val="apple-style-span"/>
          <w:rFonts w:asciiTheme="majorBidi" w:hAnsiTheme="majorBidi"/>
        </w:rPr>
      </w:pPr>
      <w:r w:rsidRPr="005A0A92">
        <w:rPr>
          <w:rFonts w:asciiTheme="majorBidi" w:hAnsiTheme="majorBidi" w:hint="cs"/>
          <w:rtl/>
        </w:rPr>
        <w:t>יצוין כי מסמך זה מתמקד בתקנה 46 לתקנות האג וכל האמור בו אינו מאיין את זכות המעצמה הכובשת לנהוג בשטח הכבוש בהתאם לתקנה 43 לתקנות האג</w:t>
      </w:r>
      <w:r w:rsidRPr="005A0A92">
        <w:rPr>
          <w:rStyle w:val="apple-style-span"/>
          <w:rFonts w:asciiTheme="majorBidi" w:hAnsiTheme="majorBidi" w:hint="cs"/>
          <w:rtl/>
        </w:rPr>
        <w:t xml:space="preserve">. תקנה 43 </w:t>
      </w:r>
      <w:r>
        <w:rPr>
          <w:rStyle w:val="apple-style-span"/>
          <w:rFonts w:asciiTheme="majorBidi" w:hAnsiTheme="majorBidi" w:hint="cs"/>
          <w:rtl/>
        </w:rPr>
        <w:t xml:space="preserve">לתקנות האג </w:t>
      </w:r>
      <w:r w:rsidRPr="005A0A92">
        <w:rPr>
          <w:rStyle w:val="apple-style-span"/>
          <w:rFonts w:hint="cs"/>
          <w:rtl/>
        </w:rPr>
        <w:t xml:space="preserve">מבטאת תפיסה לפיה על הכוח הכובש להבטיח את האינטרס הביטחוני של הכוח הצבאי </w:t>
      </w:r>
      <w:r w:rsidRPr="005A0A92">
        <w:rPr>
          <w:rStyle w:val="apple-style-span"/>
          <w:rFonts w:hint="cs"/>
          <w:rtl/>
        </w:rPr>
        <w:lastRenderedPageBreak/>
        <w:t>התופס את השטח מחד גיסא ואת חייה התקינים של האוכלוסייה המקומית והאינטרסים שלה מאידך גיסא. בהתאם לזאת, תיתכן הפקעה בהתאם לדין המקומי.</w:t>
      </w:r>
      <w:r>
        <w:rPr>
          <w:rStyle w:val="a6"/>
          <w:rtl/>
        </w:rPr>
        <w:footnoteReference w:id="6"/>
      </w:r>
      <w:r w:rsidRPr="005A0A92">
        <w:rPr>
          <w:rStyle w:val="apple-style-span"/>
          <w:rFonts w:hint="cs"/>
          <w:rtl/>
        </w:rPr>
        <w:t xml:space="preserve">  </w:t>
      </w:r>
      <w:r w:rsidRPr="005A0A92">
        <w:rPr>
          <w:rStyle w:val="apple-style-span"/>
          <w:rFonts w:asciiTheme="majorBidi" w:hAnsiTheme="majorBidi" w:hint="cs"/>
          <w:rtl/>
        </w:rPr>
        <w:t xml:space="preserve"> </w:t>
      </w:r>
    </w:p>
    <w:p w:rsidR="00E34EF1" w:rsidRDefault="00E34EF1" w:rsidP="004C5E13">
      <w:pPr>
        <w:pStyle w:val="a3"/>
        <w:numPr>
          <w:ilvl w:val="0"/>
          <w:numId w:val="1"/>
        </w:numPr>
        <w:tabs>
          <w:tab w:val="left" w:pos="6805"/>
        </w:tabs>
        <w:bidi/>
        <w:spacing w:before="120" w:after="120" w:line="360" w:lineRule="auto"/>
        <w:ind w:left="425" w:hanging="357"/>
        <w:contextualSpacing w:val="0"/>
      </w:pPr>
      <w:r>
        <w:rPr>
          <w:rFonts w:hint="cs"/>
          <w:rtl/>
        </w:rPr>
        <w:t xml:space="preserve">תקנה 46 לתקנות האג והמונח </w:t>
      </w:r>
      <w:r>
        <w:rPr>
          <w:rFonts w:asciiTheme="majorBidi" w:hAnsiTheme="majorBidi"/>
        </w:rPr>
        <w:t>c</w:t>
      </w:r>
      <w:r w:rsidRPr="00AA48EB">
        <w:rPr>
          <w:rFonts w:asciiTheme="majorBidi" w:hAnsiTheme="majorBidi"/>
        </w:rPr>
        <w:t>onfiscation</w:t>
      </w:r>
      <w:r>
        <w:rPr>
          <w:rFonts w:hint="cs"/>
          <w:rtl/>
        </w:rPr>
        <w:t xml:space="preserve"> בפרט, </w:t>
      </w:r>
      <w:r w:rsidRPr="00246367">
        <w:rPr>
          <w:rFonts w:hint="cs"/>
          <w:rtl/>
        </w:rPr>
        <w:t>פורש</w:t>
      </w:r>
      <w:r>
        <w:rPr>
          <w:rFonts w:hint="cs"/>
          <w:rtl/>
        </w:rPr>
        <w:t>ו</w:t>
      </w:r>
      <w:r w:rsidRPr="00246367">
        <w:rPr>
          <w:rFonts w:hint="cs"/>
          <w:rtl/>
        </w:rPr>
        <w:t xml:space="preserve"> בדרכים שונות בפסיקה</w:t>
      </w:r>
      <w:r>
        <w:rPr>
          <w:rFonts w:hint="cs"/>
          <w:rtl/>
        </w:rPr>
        <w:t xml:space="preserve"> ובספרות האקדמית. נראה כי לעיתים נעשה שימוש במילים נרדפות או דומות למונח </w:t>
      </w:r>
      <w:r>
        <w:rPr>
          <w:rStyle w:val="apple-style-span"/>
          <w:rFonts w:asciiTheme="majorBidi" w:hAnsiTheme="majorBidi"/>
        </w:rPr>
        <w:t>c</w:t>
      </w:r>
      <w:r w:rsidRPr="000F29FC">
        <w:rPr>
          <w:rStyle w:val="apple-style-span"/>
          <w:rFonts w:asciiTheme="majorBidi" w:hAnsiTheme="majorBidi"/>
        </w:rPr>
        <w:t>onfiscat</w:t>
      </w:r>
      <w:r>
        <w:t>ion</w:t>
      </w:r>
      <w:r>
        <w:rPr>
          <w:rFonts w:hint="cs"/>
          <w:rtl/>
        </w:rPr>
        <w:t xml:space="preserve"> </w:t>
      </w:r>
      <w:r>
        <w:rPr>
          <w:rStyle w:val="apple-style-span"/>
          <w:rFonts w:asciiTheme="majorBidi" w:hAnsiTheme="majorBidi" w:hint="cs"/>
          <w:rtl/>
        </w:rPr>
        <w:t xml:space="preserve">(כגון: </w:t>
      </w:r>
      <w:r>
        <w:rPr>
          <w:rStyle w:val="apple-style-span"/>
          <w:rFonts w:asciiTheme="majorBidi" w:hAnsiTheme="majorBidi"/>
        </w:rPr>
        <w:t>(</w:t>
      </w:r>
      <w:r w:rsidRPr="00E503E6">
        <w:rPr>
          <w:rStyle w:val="apple-style-span"/>
          <w:rFonts w:asciiTheme="majorBidi" w:hAnsiTheme="majorBidi"/>
        </w:rPr>
        <w:t>appropriation</w:t>
      </w:r>
      <w:r>
        <w:rPr>
          <w:rStyle w:val="apple-style-span"/>
          <w:rFonts w:asciiTheme="majorBidi" w:hAnsiTheme="majorBidi"/>
        </w:rPr>
        <w:t>;</w:t>
      </w:r>
      <w:r w:rsidRPr="00E503E6">
        <w:rPr>
          <w:rStyle w:val="apple-style-span"/>
          <w:rFonts w:asciiTheme="majorBidi" w:hAnsiTheme="majorBidi"/>
        </w:rPr>
        <w:t xml:space="preserve"> spoliation</w:t>
      </w:r>
      <w:r>
        <w:rPr>
          <w:rStyle w:val="apple-style-span"/>
          <w:rFonts w:asciiTheme="majorBidi" w:hAnsiTheme="majorBidi"/>
        </w:rPr>
        <w:t>;</w:t>
      </w:r>
      <w:r w:rsidRPr="00E503E6">
        <w:rPr>
          <w:rStyle w:val="apple-style-span"/>
          <w:rFonts w:asciiTheme="majorBidi" w:hAnsiTheme="majorBidi"/>
        </w:rPr>
        <w:t xml:space="preserve"> exploitation</w:t>
      </w:r>
      <w:r>
        <w:rPr>
          <w:rStyle w:val="apple-style-span"/>
          <w:rFonts w:asciiTheme="majorBidi" w:hAnsiTheme="majorBidi"/>
        </w:rPr>
        <w:t>;</w:t>
      </w:r>
      <w:r w:rsidRPr="00E503E6">
        <w:rPr>
          <w:rStyle w:val="apple-style-span"/>
          <w:rFonts w:asciiTheme="majorBidi" w:hAnsiTheme="majorBidi"/>
        </w:rPr>
        <w:t xml:space="preserve"> </w:t>
      </w:r>
      <w:r>
        <w:rPr>
          <w:rStyle w:val="apple-style-span"/>
          <w:rFonts w:asciiTheme="majorBidi" w:hAnsiTheme="majorBidi"/>
        </w:rPr>
        <w:t>r</w:t>
      </w:r>
      <w:r w:rsidRPr="00E503E6">
        <w:rPr>
          <w:rStyle w:val="apple-style-span"/>
          <w:rFonts w:asciiTheme="majorBidi" w:hAnsiTheme="majorBidi"/>
        </w:rPr>
        <w:t>equisitions</w:t>
      </w:r>
      <w:r>
        <w:rPr>
          <w:rStyle w:val="apple-style-span"/>
          <w:rFonts w:asciiTheme="majorBidi" w:hAnsiTheme="majorBidi"/>
        </w:rPr>
        <w:t>; seizure</w:t>
      </w:r>
      <w:r>
        <w:rPr>
          <w:rStyle w:val="apple-style-span"/>
          <w:rFonts w:asciiTheme="majorBidi" w:hAnsiTheme="majorBidi" w:hint="cs"/>
          <w:rtl/>
        </w:rPr>
        <w:t>,</w:t>
      </w:r>
      <w:r w:rsidRPr="00E503E6">
        <w:rPr>
          <w:rStyle w:val="apple-style-span"/>
          <w:rFonts w:asciiTheme="majorBidi" w:hAnsiTheme="majorBidi" w:hint="cs"/>
          <w:rtl/>
        </w:rPr>
        <w:t xml:space="preserve"> כשלא ברור</w:t>
      </w:r>
      <w:r>
        <w:rPr>
          <w:rFonts w:hint="cs"/>
          <w:rtl/>
        </w:rPr>
        <w:t xml:space="preserve"> אם הדבר נעשה באופן מכוון. לצד זאת, כפי שיפורט להלן, נראה כי השימוש במילים נרדפות מעיד על חוסר ההבחנה בין המונחים השונים, כשכולם מבטאים את איסור הפגיעה בזכות הקניין תחת תקנה 46 לתקנות האג. </w:t>
      </w:r>
    </w:p>
    <w:p w:rsidR="00E34EF1" w:rsidRDefault="00E34EF1" w:rsidP="004C5E13">
      <w:pPr>
        <w:pStyle w:val="a3"/>
        <w:numPr>
          <w:ilvl w:val="0"/>
          <w:numId w:val="1"/>
        </w:numPr>
        <w:tabs>
          <w:tab w:val="left" w:pos="6805"/>
        </w:tabs>
        <w:bidi/>
        <w:spacing w:before="120" w:after="120" w:line="360" w:lineRule="auto"/>
        <w:ind w:left="425" w:hanging="357"/>
        <w:contextualSpacing w:val="0"/>
      </w:pPr>
      <w:r>
        <w:rPr>
          <w:rFonts w:hint="cs"/>
          <w:rtl/>
        </w:rPr>
        <w:t xml:space="preserve">מזכר זה מציג את פרשנות תקנה 46 לתקנות האג והמונח </w:t>
      </w:r>
      <w:r>
        <w:rPr>
          <w:rStyle w:val="apple-style-span"/>
          <w:rFonts w:asciiTheme="majorBidi" w:hAnsiTheme="majorBidi"/>
        </w:rPr>
        <w:t>c</w:t>
      </w:r>
      <w:r w:rsidRPr="000F29FC">
        <w:rPr>
          <w:rStyle w:val="apple-style-span"/>
          <w:rFonts w:asciiTheme="majorBidi" w:hAnsiTheme="majorBidi"/>
        </w:rPr>
        <w:t>onfiscat</w:t>
      </w:r>
      <w:r>
        <w:rPr>
          <w:rStyle w:val="apple-style-span"/>
          <w:rFonts w:asciiTheme="majorBidi" w:hAnsiTheme="majorBidi"/>
        </w:rPr>
        <w:t>ion</w:t>
      </w:r>
      <w:r>
        <w:rPr>
          <w:rFonts w:hint="cs"/>
          <w:rtl/>
        </w:rPr>
        <w:t xml:space="preserve"> בפסיקה ובספרות האקדמית. יצוין, כי ישנה התייחסות מועטה בפסיקת בתי המשפט ובספרות לפרשנות המילה </w:t>
      </w:r>
      <w:r>
        <w:t>confiscation</w:t>
      </w:r>
      <w:r>
        <w:rPr>
          <w:rFonts w:hint="cs"/>
          <w:rtl/>
        </w:rPr>
        <w:t xml:space="preserve"> המצויה בתקנה 46 לתקנות האג. לפיכך, סקירה זו מסתמכת בין השאר גם על פסיקות שניתנו לאחר מלחמת העולם השנייה במסגרת </w:t>
      </w:r>
      <w:r w:rsidRPr="004937C5">
        <w:rPr>
          <w:rtl/>
        </w:rPr>
        <w:t>משפטי פושעי המלחמה בפני בתי הדין הצבאיים בנירנברג</w:t>
      </w:r>
      <w:r>
        <w:rPr>
          <w:rFonts w:hint="cs"/>
          <w:rtl/>
        </w:rPr>
        <w:t xml:space="preserve"> </w:t>
      </w:r>
      <w:r w:rsidRPr="004937C5">
        <w:t>(Trials of War Criminals before the Nuremberg Military Tribunals)</w:t>
      </w:r>
      <w:r>
        <w:rPr>
          <w:rFonts w:hint="cs"/>
          <w:rtl/>
        </w:rPr>
        <w:t xml:space="preserve">, אשר מהוות מקור עיקרי בסוגיה זו. </w:t>
      </w:r>
    </w:p>
    <w:p w:rsidR="00E34EF1" w:rsidRPr="00BD74D0" w:rsidRDefault="00E34EF1" w:rsidP="004C5E13">
      <w:pPr>
        <w:pStyle w:val="a3"/>
        <w:numPr>
          <w:ilvl w:val="0"/>
          <w:numId w:val="1"/>
        </w:numPr>
        <w:tabs>
          <w:tab w:val="left" w:pos="6805"/>
        </w:tabs>
        <w:bidi/>
        <w:spacing w:before="120" w:after="120" w:line="360" w:lineRule="auto"/>
        <w:ind w:left="425" w:hanging="357"/>
        <w:contextualSpacing w:val="0"/>
        <w:rPr>
          <w:rtl/>
        </w:rPr>
      </w:pPr>
      <w:r>
        <w:rPr>
          <w:rFonts w:hint="cs"/>
          <w:rtl/>
        </w:rPr>
        <w:t>ראשית, מזכר זה יסקור את המסגרת הנורמטיבית החלה באיו"ש ואת התקנות הרלוונטיות. שנית, יבחן המזכר כיצד פירשו את תקנה 46 לתקנות האג ואת ה</w:t>
      </w:r>
      <w:r w:rsidRPr="00164BE9">
        <w:rPr>
          <w:rFonts w:hint="cs"/>
          <w:rtl/>
        </w:rPr>
        <w:t xml:space="preserve">מונח </w:t>
      </w:r>
      <w:r>
        <w:rPr>
          <w:rFonts w:asciiTheme="majorBidi" w:hAnsiTheme="majorBidi"/>
        </w:rPr>
        <w:t>c</w:t>
      </w:r>
      <w:r w:rsidRPr="00164BE9">
        <w:rPr>
          <w:rFonts w:asciiTheme="majorBidi" w:hAnsiTheme="majorBidi"/>
        </w:rPr>
        <w:t>onfiscation</w:t>
      </w:r>
      <w:r>
        <w:rPr>
          <w:rFonts w:hint="cs"/>
          <w:rtl/>
        </w:rPr>
        <w:t xml:space="preserve"> בספרות האקדמית ובפסיקה</w:t>
      </w:r>
      <w:r w:rsidRPr="00164BE9">
        <w:rPr>
          <w:rFonts w:hint="cs"/>
          <w:rtl/>
        </w:rPr>
        <w:t>.</w:t>
      </w:r>
      <w:r>
        <w:rPr>
          <w:rFonts w:hint="cs"/>
          <w:rtl/>
        </w:rPr>
        <w:t xml:space="preserve"> </w:t>
      </w:r>
    </w:p>
    <w:p w:rsidR="00E34EF1" w:rsidRPr="00164BE9" w:rsidRDefault="00E34EF1" w:rsidP="004C5E13">
      <w:pPr>
        <w:tabs>
          <w:tab w:val="left" w:pos="6805"/>
        </w:tabs>
        <w:bidi/>
        <w:spacing w:before="120" w:after="120" w:line="360" w:lineRule="auto"/>
        <w:rPr>
          <w:b/>
          <w:bCs/>
          <w:u w:val="single"/>
        </w:rPr>
      </w:pPr>
      <w:r w:rsidRPr="00164BE9">
        <w:rPr>
          <w:rFonts w:hint="cs"/>
          <w:b/>
          <w:bCs/>
          <w:u w:val="single"/>
          <w:rtl/>
        </w:rPr>
        <w:t>המסגרת הנורמטיבית החלה באיו"ש</w:t>
      </w:r>
    </w:p>
    <w:p w:rsidR="00E34EF1" w:rsidRDefault="00E34EF1" w:rsidP="004C5E13">
      <w:pPr>
        <w:pStyle w:val="a3"/>
        <w:numPr>
          <w:ilvl w:val="0"/>
          <w:numId w:val="1"/>
        </w:numPr>
        <w:bidi/>
        <w:spacing w:before="120" w:after="120" w:line="360" w:lineRule="auto"/>
        <w:ind w:left="425" w:hanging="357"/>
        <w:contextualSpacing w:val="0"/>
        <w:rPr>
          <w:rStyle w:val="apple-style-span"/>
          <w:u w:val="single"/>
        </w:rPr>
      </w:pPr>
      <w:r>
        <w:rPr>
          <w:rStyle w:val="apple-style-span"/>
          <w:rFonts w:hint="cs"/>
          <w:rtl/>
        </w:rPr>
        <w:t xml:space="preserve">עמדת </w:t>
      </w:r>
      <w:r w:rsidRPr="00D431AF">
        <w:rPr>
          <w:rStyle w:val="apple-style-span"/>
          <w:rFonts w:hint="cs"/>
          <w:rtl/>
        </w:rPr>
        <w:t xml:space="preserve">מדינת ישראל </w:t>
      </w:r>
      <w:r>
        <w:rPr>
          <w:rStyle w:val="apple-style-span"/>
          <w:rFonts w:hint="cs"/>
          <w:rtl/>
        </w:rPr>
        <w:t xml:space="preserve">היא כי שטחי איו"ש אינם מצויים בתפיסה לוחמתית. אולם, מדינת ישראל הצהירה </w:t>
      </w:r>
      <w:r w:rsidRPr="00D431AF">
        <w:rPr>
          <w:rStyle w:val="apple-style-span"/>
          <w:rFonts w:hint="cs"/>
          <w:rtl/>
        </w:rPr>
        <w:t xml:space="preserve">כי היא </w:t>
      </w:r>
      <w:r>
        <w:rPr>
          <w:rStyle w:val="apple-style-span"/>
          <w:rFonts w:hint="cs"/>
          <w:rtl/>
        </w:rPr>
        <w:t xml:space="preserve">נוהגת </w:t>
      </w:r>
      <w:r w:rsidRPr="00D431AF">
        <w:rPr>
          <w:rStyle w:val="apple-style-span"/>
          <w:rFonts w:hint="cs"/>
          <w:rtl/>
        </w:rPr>
        <w:t xml:space="preserve">באזור זה, </w:t>
      </w:r>
      <w:r w:rsidRPr="00072885">
        <w:rPr>
          <w:rStyle w:val="apple-style-span"/>
          <w:rFonts w:hint="cs"/>
          <w:i/>
          <w:iCs/>
          <w:rtl/>
        </w:rPr>
        <w:t>דה פקטו</w:t>
      </w:r>
      <w:r w:rsidRPr="00D431AF">
        <w:rPr>
          <w:rStyle w:val="apple-style-span"/>
          <w:rFonts w:hint="cs"/>
          <w:rtl/>
        </w:rPr>
        <w:t>, על פי עקרונות דיני התפיסה הלוחמתית (</w:t>
      </w:r>
      <w:r w:rsidRPr="003D467D">
        <w:rPr>
          <w:rStyle w:val="apple-style-span"/>
        </w:rPr>
        <w:t>Laws of Belligerent Occupation</w:t>
      </w:r>
      <w:r w:rsidRPr="00D431AF">
        <w:rPr>
          <w:rStyle w:val="apple-style-span"/>
          <w:rFonts w:hint="cs"/>
          <w:rtl/>
        </w:rPr>
        <w:t>)</w:t>
      </w:r>
      <w:r>
        <w:rPr>
          <w:rStyle w:val="apple-style-span"/>
          <w:rFonts w:hint="cs"/>
          <w:rtl/>
        </w:rPr>
        <w:t>,</w:t>
      </w:r>
      <w:r w:rsidRPr="00D431AF">
        <w:rPr>
          <w:rStyle w:val="apple-style-span"/>
          <w:rFonts w:hint="cs"/>
          <w:rtl/>
        </w:rPr>
        <w:t xml:space="preserve"> אשר התפתחו כחלק מדיני הלחימה. </w:t>
      </w:r>
      <w:r>
        <w:rPr>
          <w:rStyle w:val="apple-style-span"/>
          <w:rFonts w:hint="cs"/>
          <w:rtl/>
        </w:rPr>
        <w:t>בפועל, קיבלה על עצמה המדינה את הוראות המשפט הבין-לאומי המנהגי בנוגע לדיני התפיסה הלוחמתית, הבאות לידי בתקנות האג. כמו כן, המדינה מתנהלת באיו"ש בהתאם להוראות ההומניטאריות המצויות ב</w:t>
      </w:r>
      <w:r w:rsidRPr="004A7EED">
        <w:rPr>
          <w:rStyle w:val="apple-style-span"/>
          <w:rFonts w:hint="cs"/>
          <w:rtl/>
        </w:rPr>
        <w:t>אמנת ג'נבה הרביעית</w:t>
      </w:r>
      <w:r>
        <w:rPr>
          <w:rStyle w:val="apple-style-span"/>
          <w:rFonts w:hint="cs"/>
          <w:rtl/>
        </w:rPr>
        <w:t>.</w:t>
      </w:r>
      <w:bookmarkStart w:id="1" w:name="_Ref480386062"/>
      <w:r>
        <w:rPr>
          <w:rStyle w:val="a6"/>
          <w:rtl/>
        </w:rPr>
        <w:footnoteReference w:id="7"/>
      </w:r>
      <w:bookmarkEnd w:id="1"/>
      <w:r w:rsidRPr="008374E3">
        <w:rPr>
          <w:rStyle w:val="apple-style-span"/>
          <w:rFonts w:hint="cs"/>
          <w:rtl/>
        </w:rPr>
        <w:t xml:space="preserve"> </w:t>
      </w:r>
    </w:p>
    <w:p w:rsidR="00E34EF1" w:rsidRDefault="00E34EF1" w:rsidP="004C5E13">
      <w:pPr>
        <w:pStyle w:val="a3"/>
        <w:numPr>
          <w:ilvl w:val="0"/>
          <w:numId w:val="1"/>
        </w:numPr>
        <w:bidi/>
        <w:spacing w:before="120" w:after="120" w:line="360" w:lineRule="auto"/>
        <w:ind w:left="425" w:hanging="357"/>
        <w:contextualSpacing w:val="0"/>
      </w:pPr>
      <w:r>
        <w:rPr>
          <w:rFonts w:hint="cs"/>
          <w:rtl/>
        </w:rPr>
        <w:t xml:space="preserve">תקנות האג המהוות חלק מדיני התפיסה הלוחמתית החלה באזור, מחילות נורמות אשר מגבילות את כוחו של הכוח הכובש באזור. ההגבלות העוסקות בזכות הקניין של התושבים </w:t>
      </w:r>
      <w:r>
        <w:rPr>
          <w:rFonts w:hint="cs"/>
          <w:rtl/>
        </w:rPr>
        <w:lastRenderedPageBreak/>
        <w:t>המקומיים והרלוונטיות למזכר זה קבועות בתקנות 46 ו-52 לתקנות האג, ובתקנה 43 לתקנות האג העוסקת בהגבלת סמכותו של הכוח הכובש.</w:t>
      </w:r>
    </w:p>
    <w:p w:rsidR="00E34EF1" w:rsidRPr="003E4F8A" w:rsidRDefault="00E34EF1" w:rsidP="004C5E13">
      <w:pPr>
        <w:pStyle w:val="a3"/>
        <w:numPr>
          <w:ilvl w:val="0"/>
          <w:numId w:val="1"/>
        </w:numPr>
        <w:bidi/>
        <w:spacing w:before="120" w:after="120" w:line="360" w:lineRule="auto"/>
        <w:ind w:left="425" w:hanging="357"/>
        <w:contextualSpacing w:val="0"/>
      </w:pPr>
      <w:r w:rsidRPr="00C41D26">
        <w:rPr>
          <w:rFonts w:hint="cs"/>
          <w:rtl/>
        </w:rPr>
        <w:t>תקנה</w:t>
      </w:r>
      <w:r>
        <w:rPr>
          <w:rFonts w:hint="cs"/>
          <w:rtl/>
        </w:rPr>
        <w:t xml:space="preserve"> 46</w:t>
      </w:r>
      <w:r w:rsidRPr="00C41D26">
        <w:t xml:space="preserve"> </w:t>
      </w:r>
      <w:r>
        <w:rPr>
          <w:rFonts w:hint="cs"/>
          <w:rtl/>
        </w:rPr>
        <w:t>מבהירה כ</w:t>
      </w:r>
      <w:r w:rsidRPr="00C41D26">
        <w:rPr>
          <w:rFonts w:hint="cs"/>
          <w:rtl/>
        </w:rPr>
        <w:t>י</w:t>
      </w:r>
      <w:r w:rsidRPr="003E4F8A">
        <w:rPr>
          <w:rFonts w:asciiTheme="majorBidi" w:hAnsiTheme="majorBidi" w:hint="cs"/>
          <w:rtl/>
        </w:rPr>
        <w:t xml:space="preserve"> </w:t>
      </w:r>
      <w:r w:rsidRPr="00E503E6">
        <w:rPr>
          <w:rFonts w:hint="cs"/>
          <w:rtl/>
        </w:rPr>
        <w:t>יש</w:t>
      </w:r>
      <w:r w:rsidRPr="00E503E6">
        <w:t xml:space="preserve"> </w:t>
      </w:r>
      <w:r w:rsidRPr="00E503E6">
        <w:rPr>
          <w:rFonts w:hint="cs"/>
          <w:rtl/>
        </w:rPr>
        <w:t>לכבד</w:t>
      </w:r>
      <w:r w:rsidRPr="00E503E6">
        <w:t xml:space="preserve"> </w:t>
      </w:r>
      <w:r w:rsidRPr="00E503E6">
        <w:rPr>
          <w:rFonts w:hint="cs"/>
          <w:rtl/>
        </w:rPr>
        <w:t>את</w:t>
      </w:r>
      <w:r w:rsidRPr="00E503E6">
        <w:t xml:space="preserve"> </w:t>
      </w:r>
      <w:r w:rsidRPr="00E503E6">
        <w:rPr>
          <w:rFonts w:hint="cs"/>
          <w:rtl/>
        </w:rPr>
        <w:t>זכות</w:t>
      </w:r>
      <w:r w:rsidRPr="00E503E6">
        <w:t xml:space="preserve"> </w:t>
      </w:r>
      <w:r w:rsidRPr="00E503E6">
        <w:rPr>
          <w:rFonts w:hint="cs"/>
          <w:rtl/>
        </w:rPr>
        <w:t>הקניין ואין</w:t>
      </w:r>
      <w:r w:rsidRPr="00E503E6">
        <w:t xml:space="preserve"> </w:t>
      </w:r>
      <w:r w:rsidRPr="00E503E6">
        <w:rPr>
          <w:rFonts w:hint="cs"/>
          <w:rtl/>
        </w:rPr>
        <w:t>להחרים</w:t>
      </w:r>
      <w:r w:rsidRPr="00C41D26">
        <w:t xml:space="preserve"> </w:t>
      </w:r>
      <w:r w:rsidRPr="00C41D26">
        <w:rPr>
          <w:rFonts w:hint="cs"/>
          <w:rtl/>
        </w:rPr>
        <w:t>רכוש</w:t>
      </w:r>
      <w:r w:rsidRPr="00C41D26">
        <w:t xml:space="preserve"> </w:t>
      </w:r>
      <w:r w:rsidRPr="00C41D26">
        <w:rPr>
          <w:rFonts w:hint="cs"/>
          <w:rtl/>
        </w:rPr>
        <w:t>פרטי</w:t>
      </w:r>
      <w:r w:rsidRPr="003E4F8A">
        <w:rPr>
          <w:rFonts w:asciiTheme="majorBidi" w:hAnsiTheme="majorBidi" w:hint="cs"/>
          <w:rtl/>
        </w:rPr>
        <w:t>:</w:t>
      </w:r>
      <w:r>
        <w:rPr>
          <w:rStyle w:val="a6"/>
        </w:rPr>
        <w:footnoteReference w:id="8"/>
      </w:r>
    </w:p>
    <w:p w:rsidR="00E34EF1" w:rsidRDefault="00E34EF1" w:rsidP="004C5E13">
      <w:pPr>
        <w:spacing w:before="120" w:after="120" w:line="360" w:lineRule="auto"/>
        <w:ind w:right="368"/>
        <w:rPr>
          <w:rFonts w:asciiTheme="majorBidi" w:hAnsiTheme="majorBidi"/>
        </w:rPr>
      </w:pPr>
      <w:r w:rsidRPr="00656E50">
        <w:rPr>
          <w:rFonts w:asciiTheme="majorBidi" w:hAnsiTheme="majorBidi"/>
        </w:rPr>
        <w:t>Family honour and rights, the lives of persons, and private property, as well as religious convictions and practice, must be respected</w:t>
      </w:r>
      <w:r w:rsidRPr="00656E50">
        <w:rPr>
          <w:rFonts w:asciiTheme="majorBidi" w:hAnsiTheme="majorBidi" w:hint="cs"/>
          <w:rtl/>
        </w:rPr>
        <w:t>.</w:t>
      </w:r>
      <w:r w:rsidRPr="00656E50">
        <w:rPr>
          <w:rFonts w:asciiTheme="majorBidi" w:hAnsiTheme="majorBidi"/>
        </w:rPr>
        <w:t xml:space="preserve"> Private property cannot be </w:t>
      </w:r>
      <w:r w:rsidRPr="00656E50">
        <w:rPr>
          <w:rFonts w:asciiTheme="majorBidi" w:hAnsiTheme="majorBidi"/>
          <w:b/>
          <w:bCs/>
        </w:rPr>
        <w:t>confiscated</w:t>
      </w:r>
      <w:r w:rsidRPr="00656E50">
        <w:rPr>
          <w:rFonts w:asciiTheme="majorBidi" w:hAnsiTheme="majorBidi"/>
        </w:rPr>
        <w:t>.</w:t>
      </w:r>
      <w:r>
        <w:rPr>
          <w:rFonts w:asciiTheme="majorBidi" w:hAnsiTheme="majorBidi"/>
        </w:rPr>
        <w:t xml:space="preserve"> </w:t>
      </w:r>
      <w:r w:rsidRPr="0060216D">
        <w:rPr>
          <w:rFonts w:hint="cs"/>
          <w:rtl/>
        </w:rPr>
        <w:t xml:space="preserve"> </w:t>
      </w:r>
      <w:r>
        <w:rPr>
          <w:rFonts w:hint="cs"/>
          <w:rtl/>
        </w:rPr>
        <w:t>(ההדגשה הוספה)</w:t>
      </w:r>
    </w:p>
    <w:p w:rsidR="00E34EF1" w:rsidRDefault="00E34EF1" w:rsidP="004C5E13">
      <w:pPr>
        <w:pStyle w:val="a3"/>
        <w:numPr>
          <w:ilvl w:val="0"/>
          <w:numId w:val="1"/>
        </w:numPr>
        <w:bidi/>
        <w:spacing w:before="120" w:after="120" w:line="360" w:lineRule="auto"/>
        <w:ind w:left="425" w:hanging="357"/>
        <w:contextualSpacing w:val="0"/>
        <w:rPr>
          <w:rFonts w:asciiTheme="majorBidi" w:hAnsiTheme="majorBidi"/>
        </w:rPr>
      </w:pPr>
      <w:r w:rsidRPr="00C41D26">
        <w:rPr>
          <w:rFonts w:hint="cs"/>
          <w:rtl/>
        </w:rPr>
        <w:t>תקנה</w:t>
      </w:r>
      <w:r>
        <w:rPr>
          <w:rFonts w:hint="cs"/>
          <w:rtl/>
        </w:rPr>
        <w:t xml:space="preserve"> 52 קובעת</w:t>
      </w:r>
      <w:r w:rsidRPr="00C41D26">
        <w:t xml:space="preserve"> </w:t>
      </w:r>
      <w:r>
        <w:rPr>
          <w:rFonts w:hint="cs"/>
          <w:rtl/>
        </w:rPr>
        <w:t xml:space="preserve">כי </w:t>
      </w:r>
      <w:r w:rsidRPr="00C41D26">
        <w:rPr>
          <w:rFonts w:hint="cs"/>
          <w:rtl/>
        </w:rPr>
        <w:t>אין</w:t>
      </w:r>
      <w:r w:rsidRPr="00C41D26">
        <w:t xml:space="preserve"> </w:t>
      </w:r>
      <w:r w:rsidRPr="00C41D26">
        <w:rPr>
          <w:rFonts w:hint="cs"/>
          <w:rtl/>
        </w:rPr>
        <w:t>לתפוס</w:t>
      </w:r>
      <w:r w:rsidRPr="00C41D26">
        <w:t xml:space="preserve"> </w:t>
      </w:r>
      <w:r w:rsidRPr="00C41D26">
        <w:rPr>
          <w:rFonts w:hint="cs"/>
          <w:rtl/>
        </w:rPr>
        <w:t>דברים</w:t>
      </w:r>
      <w:r w:rsidRPr="00C41D26">
        <w:t xml:space="preserve"> </w:t>
      </w:r>
      <w:r w:rsidRPr="00C41D26">
        <w:rPr>
          <w:rFonts w:hint="cs"/>
          <w:rtl/>
        </w:rPr>
        <w:t>שבעין</w:t>
      </w:r>
      <w:r>
        <w:rPr>
          <w:rFonts w:hint="cs"/>
          <w:rtl/>
        </w:rPr>
        <w:t xml:space="preserve"> </w:t>
      </w:r>
      <w:r w:rsidRPr="00C41D26">
        <w:rPr>
          <w:rFonts w:hint="cs"/>
          <w:rtl/>
        </w:rPr>
        <w:t>ואין</w:t>
      </w:r>
      <w:r w:rsidRPr="00C41D26">
        <w:t xml:space="preserve"> </w:t>
      </w:r>
      <w:r w:rsidRPr="00C41D26">
        <w:rPr>
          <w:rFonts w:hint="cs"/>
          <w:rtl/>
        </w:rPr>
        <w:t>לכפות</w:t>
      </w:r>
      <w:r w:rsidRPr="00C41D26">
        <w:t xml:space="preserve"> </w:t>
      </w:r>
      <w:r w:rsidRPr="00C41D26">
        <w:rPr>
          <w:rFonts w:hint="cs"/>
          <w:rtl/>
        </w:rPr>
        <w:t>על</w:t>
      </w:r>
      <w:r w:rsidRPr="00C41D26">
        <w:t xml:space="preserve"> </w:t>
      </w:r>
      <w:r w:rsidRPr="00C41D26">
        <w:rPr>
          <w:rFonts w:hint="cs"/>
          <w:rtl/>
        </w:rPr>
        <w:t>הרשויות</w:t>
      </w:r>
      <w:r w:rsidRPr="00C41D26">
        <w:t xml:space="preserve"> </w:t>
      </w:r>
      <w:r w:rsidRPr="00C41D26">
        <w:rPr>
          <w:rFonts w:hint="cs"/>
          <w:rtl/>
        </w:rPr>
        <w:t>המקומיות</w:t>
      </w:r>
      <w:r w:rsidRPr="00C41D26">
        <w:t xml:space="preserve"> </w:t>
      </w:r>
      <w:r w:rsidRPr="00C41D26">
        <w:rPr>
          <w:rFonts w:hint="cs"/>
          <w:rtl/>
        </w:rPr>
        <w:t>או</w:t>
      </w:r>
      <w:r w:rsidRPr="00C41D26">
        <w:t xml:space="preserve"> </w:t>
      </w:r>
      <w:r w:rsidRPr="00C41D26">
        <w:rPr>
          <w:rFonts w:hint="cs"/>
          <w:rtl/>
        </w:rPr>
        <w:t>על</w:t>
      </w:r>
      <w:r w:rsidRPr="00C41D26">
        <w:t xml:space="preserve"> </w:t>
      </w:r>
      <w:r w:rsidRPr="00C41D26">
        <w:rPr>
          <w:rFonts w:hint="cs"/>
          <w:rtl/>
        </w:rPr>
        <w:t>התושבים</w:t>
      </w:r>
      <w:r>
        <w:rPr>
          <w:rFonts w:hint="cs"/>
          <w:rtl/>
        </w:rPr>
        <w:t xml:space="preserve"> </w:t>
      </w:r>
      <w:r w:rsidRPr="00C41D26">
        <w:rPr>
          <w:rFonts w:hint="cs"/>
          <w:rtl/>
        </w:rPr>
        <w:t>מתן</w:t>
      </w:r>
      <w:r w:rsidRPr="00C41D26">
        <w:t xml:space="preserve"> </w:t>
      </w:r>
      <w:r>
        <w:rPr>
          <w:rFonts w:hint="cs"/>
          <w:rtl/>
        </w:rPr>
        <w:t>שירותים, אל</w:t>
      </w:r>
      <w:r w:rsidRPr="00C41D26">
        <w:rPr>
          <w:rFonts w:hint="cs"/>
          <w:rtl/>
        </w:rPr>
        <w:t>א</w:t>
      </w:r>
      <w:r w:rsidRPr="00C41D26">
        <w:t xml:space="preserve"> </w:t>
      </w:r>
      <w:r w:rsidRPr="00C41D26">
        <w:rPr>
          <w:rFonts w:hint="cs"/>
          <w:rtl/>
        </w:rPr>
        <w:t>לצרכי</w:t>
      </w:r>
      <w:r w:rsidRPr="00C41D26">
        <w:t xml:space="preserve"> </w:t>
      </w:r>
      <w:r w:rsidRPr="00C41D26">
        <w:rPr>
          <w:rFonts w:hint="cs"/>
          <w:rtl/>
        </w:rPr>
        <w:t>צבא</w:t>
      </w:r>
      <w:r>
        <w:rPr>
          <w:rFonts w:hint="cs"/>
          <w:rtl/>
        </w:rPr>
        <w:t xml:space="preserve"> </w:t>
      </w:r>
      <w:r w:rsidRPr="00C41D26">
        <w:rPr>
          <w:rFonts w:hint="cs"/>
          <w:rtl/>
        </w:rPr>
        <w:t>הכיבוש</w:t>
      </w:r>
      <w:r>
        <w:rPr>
          <w:rFonts w:hint="cs"/>
          <w:rtl/>
        </w:rPr>
        <w:t xml:space="preserve">: </w:t>
      </w:r>
    </w:p>
    <w:p w:rsidR="00E34EF1" w:rsidRPr="00853B31" w:rsidRDefault="00E34EF1" w:rsidP="004C5E13">
      <w:pPr>
        <w:spacing w:before="120" w:after="120" w:line="360" w:lineRule="auto"/>
        <w:ind w:right="368"/>
        <w:rPr>
          <w:rFonts w:asciiTheme="majorBidi" w:hAnsiTheme="majorBidi"/>
        </w:rPr>
      </w:pPr>
      <w:r w:rsidRPr="00853B31">
        <w:rPr>
          <w:rFonts w:asciiTheme="majorBidi" w:hAnsiTheme="majorBidi"/>
          <w:b/>
          <w:bCs/>
        </w:rPr>
        <w:t>Requisitions</w:t>
      </w:r>
      <w:r w:rsidRPr="00853B31">
        <w:rPr>
          <w:rFonts w:asciiTheme="majorBidi" w:hAnsiTheme="majorBidi"/>
        </w:rPr>
        <w:t xml:space="preserve"> in kind and services shall not be demanded from municipalities or inhabitants except for the needs of the army of occupation.</w:t>
      </w:r>
      <w:r>
        <w:rPr>
          <w:rFonts w:asciiTheme="majorBidi" w:hAnsiTheme="majorBidi"/>
        </w:rPr>
        <w:t xml:space="preserve"> </w:t>
      </w:r>
      <w:r>
        <w:rPr>
          <w:rFonts w:hint="cs"/>
          <w:rtl/>
        </w:rPr>
        <w:t>(ההדגשה הוספה)</w:t>
      </w:r>
    </w:p>
    <w:p w:rsidR="00E34EF1" w:rsidRDefault="00E34EF1" w:rsidP="004C5E13">
      <w:pPr>
        <w:pStyle w:val="a3"/>
        <w:numPr>
          <w:ilvl w:val="0"/>
          <w:numId w:val="1"/>
        </w:numPr>
        <w:bidi/>
        <w:spacing w:before="120" w:after="120" w:line="360" w:lineRule="auto"/>
        <w:ind w:left="425" w:hanging="357"/>
        <w:contextualSpacing w:val="0"/>
        <w:rPr>
          <w:rFonts w:asciiTheme="majorBidi" w:hAnsiTheme="majorBidi"/>
        </w:rPr>
      </w:pPr>
      <w:r>
        <w:rPr>
          <w:rFonts w:hint="cs"/>
          <w:rtl/>
        </w:rPr>
        <w:t>לתקנות אלה</w:t>
      </w:r>
      <w:r w:rsidRPr="00C41D26">
        <w:t xml:space="preserve"> </w:t>
      </w:r>
      <w:r>
        <w:rPr>
          <w:rFonts w:hint="cs"/>
          <w:rtl/>
        </w:rPr>
        <w:t>מתווספת</w:t>
      </w:r>
      <w:r w:rsidRPr="00C41D26">
        <w:t xml:space="preserve"> </w:t>
      </w:r>
      <w:r w:rsidRPr="00C41D26">
        <w:rPr>
          <w:rFonts w:hint="cs"/>
          <w:rtl/>
        </w:rPr>
        <w:t>תקנה</w:t>
      </w:r>
      <w:r>
        <w:rPr>
          <w:rFonts w:hint="cs"/>
          <w:rtl/>
        </w:rPr>
        <w:t xml:space="preserve"> 43</w:t>
      </w:r>
      <w:r>
        <w:t xml:space="preserve"> </w:t>
      </w:r>
      <w:r w:rsidRPr="00C41D26">
        <w:rPr>
          <w:rFonts w:hint="cs"/>
          <w:rtl/>
        </w:rPr>
        <w:t>המחייבת</w:t>
      </w:r>
      <w:r w:rsidRPr="00C41D26">
        <w:t xml:space="preserve"> </w:t>
      </w:r>
      <w:r w:rsidRPr="00C41D26">
        <w:rPr>
          <w:rFonts w:hint="cs"/>
          <w:rtl/>
        </w:rPr>
        <w:t>את</w:t>
      </w:r>
      <w:r w:rsidRPr="00C41D26">
        <w:t xml:space="preserve"> </w:t>
      </w:r>
      <w:r>
        <w:rPr>
          <w:rFonts w:hint="cs"/>
          <w:rtl/>
        </w:rPr>
        <w:t>הכוח הכובש לנקוט</w:t>
      </w:r>
      <w:r>
        <w:t xml:space="preserve"> </w:t>
      </w:r>
      <w:r w:rsidRPr="00C41D26">
        <w:rPr>
          <w:rFonts w:hint="cs"/>
          <w:rtl/>
        </w:rPr>
        <w:t>בכל</w:t>
      </w:r>
      <w:r w:rsidRPr="00C41D26">
        <w:t xml:space="preserve"> </w:t>
      </w:r>
      <w:r w:rsidRPr="00C41D26">
        <w:rPr>
          <w:rFonts w:hint="cs"/>
          <w:rtl/>
        </w:rPr>
        <w:t>האמצעים</w:t>
      </w:r>
      <w:r w:rsidRPr="00C41D26">
        <w:t xml:space="preserve"> </w:t>
      </w:r>
      <w:r w:rsidRPr="00C41D26">
        <w:rPr>
          <w:rFonts w:hint="cs"/>
          <w:rtl/>
        </w:rPr>
        <w:t>שביכולתו</w:t>
      </w:r>
      <w:r>
        <w:rPr>
          <w:rFonts w:hint="cs"/>
          <w:rtl/>
        </w:rPr>
        <w:t xml:space="preserve"> </w:t>
      </w:r>
      <w:r w:rsidRPr="00C41D26">
        <w:rPr>
          <w:rFonts w:hint="cs"/>
          <w:rtl/>
        </w:rPr>
        <w:t>כדי</w:t>
      </w:r>
      <w:r w:rsidRPr="00C41D26">
        <w:t xml:space="preserve"> </w:t>
      </w:r>
      <w:r w:rsidRPr="00C41D26">
        <w:rPr>
          <w:rFonts w:hint="cs"/>
          <w:rtl/>
        </w:rPr>
        <w:t>להחזיר</w:t>
      </w:r>
      <w:r w:rsidRPr="00C41D26">
        <w:t xml:space="preserve"> </w:t>
      </w:r>
      <w:r w:rsidRPr="00C41D26">
        <w:rPr>
          <w:rFonts w:hint="cs"/>
          <w:rtl/>
        </w:rPr>
        <w:t>על</w:t>
      </w:r>
      <w:r w:rsidRPr="00C41D26">
        <w:t xml:space="preserve"> </w:t>
      </w:r>
      <w:r w:rsidRPr="00C41D26">
        <w:rPr>
          <w:rFonts w:hint="cs"/>
          <w:rtl/>
        </w:rPr>
        <w:t>כנם</w:t>
      </w:r>
      <w:r w:rsidRPr="00C41D26">
        <w:t xml:space="preserve"> </w:t>
      </w:r>
      <w:r w:rsidRPr="00C41D26">
        <w:rPr>
          <w:rFonts w:hint="cs"/>
          <w:rtl/>
        </w:rPr>
        <w:t>ולהבטיח</w:t>
      </w:r>
      <w:r w:rsidRPr="00C41D26">
        <w:t xml:space="preserve"> </w:t>
      </w:r>
      <w:r w:rsidRPr="00C41D26">
        <w:rPr>
          <w:rFonts w:hint="cs"/>
          <w:rtl/>
        </w:rPr>
        <w:t>את</w:t>
      </w:r>
      <w:r w:rsidRPr="00C41D26">
        <w:t xml:space="preserve"> </w:t>
      </w:r>
      <w:r w:rsidRPr="00C41D26">
        <w:rPr>
          <w:rFonts w:hint="cs"/>
          <w:rtl/>
        </w:rPr>
        <w:t>הסדר</w:t>
      </w:r>
      <w:r w:rsidRPr="00C41D26">
        <w:t xml:space="preserve"> </w:t>
      </w:r>
      <w:r w:rsidRPr="00C41D26">
        <w:rPr>
          <w:rFonts w:hint="cs"/>
          <w:rtl/>
        </w:rPr>
        <w:t>והחיים</w:t>
      </w:r>
      <w:r w:rsidRPr="00C41D26">
        <w:t xml:space="preserve"> </w:t>
      </w:r>
      <w:r w:rsidRPr="00C41D26">
        <w:rPr>
          <w:rFonts w:hint="cs"/>
          <w:rtl/>
        </w:rPr>
        <w:t>הציבוריים</w:t>
      </w:r>
      <w:r>
        <w:rPr>
          <w:rFonts w:hint="cs"/>
          <w:rtl/>
        </w:rPr>
        <w:t>,</w:t>
      </w:r>
      <w:r w:rsidRPr="00C41D26">
        <w:t xml:space="preserve"> </w:t>
      </w:r>
      <w:r w:rsidRPr="00C41D26">
        <w:rPr>
          <w:rFonts w:hint="cs"/>
          <w:rtl/>
        </w:rPr>
        <w:t>עד</w:t>
      </w:r>
      <w:r w:rsidRPr="00C41D26">
        <w:t xml:space="preserve"> </w:t>
      </w:r>
      <w:r w:rsidRPr="00C41D26">
        <w:rPr>
          <w:rFonts w:hint="cs"/>
          <w:rtl/>
        </w:rPr>
        <w:t>כמה</w:t>
      </w:r>
      <w:r w:rsidRPr="00C41D26">
        <w:t xml:space="preserve"> </w:t>
      </w:r>
      <w:r w:rsidRPr="00C41D26">
        <w:rPr>
          <w:rFonts w:hint="cs"/>
          <w:rtl/>
        </w:rPr>
        <w:t>שהדבר</w:t>
      </w:r>
      <w:r w:rsidRPr="00C41D26">
        <w:t xml:space="preserve"> </w:t>
      </w:r>
      <w:r w:rsidRPr="00C41D26">
        <w:rPr>
          <w:rFonts w:hint="cs"/>
          <w:rtl/>
        </w:rPr>
        <w:t>אפשרי</w:t>
      </w:r>
      <w:r>
        <w:rPr>
          <w:rFonts w:hint="cs"/>
          <w:rtl/>
        </w:rPr>
        <w:t>,</w:t>
      </w:r>
      <w:r w:rsidRPr="00C41D26">
        <w:t xml:space="preserve"> </w:t>
      </w:r>
      <w:r w:rsidRPr="00C41D26">
        <w:rPr>
          <w:rFonts w:hint="cs"/>
          <w:rtl/>
        </w:rPr>
        <w:t>תוך</w:t>
      </w:r>
      <w:r>
        <w:rPr>
          <w:rFonts w:hint="cs"/>
          <w:rtl/>
        </w:rPr>
        <w:t xml:space="preserve"> </w:t>
      </w:r>
      <w:r w:rsidRPr="00C41D26">
        <w:rPr>
          <w:rFonts w:hint="cs"/>
          <w:rtl/>
        </w:rPr>
        <w:t>כיבוד</w:t>
      </w:r>
      <w:r w:rsidRPr="00C41D26">
        <w:t xml:space="preserve"> </w:t>
      </w:r>
      <w:r w:rsidRPr="00C41D26">
        <w:rPr>
          <w:rFonts w:hint="cs"/>
          <w:rtl/>
        </w:rPr>
        <w:t>החוקים</w:t>
      </w:r>
      <w:r w:rsidRPr="00C41D26">
        <w:t xml:space="preserve"> </w:t>
      </w:r>
      <w:r w:rsidRPr="00C41D26">
        <w:rPr>
          <w:rFonts w:hint="cs"/>
          <w:rtl/>
        </w:rPr>
        <w:t>הנוהגים</w:t>
      </w:r>
      <w:r w:rsidRPr="00C41D26">
        <w:t xml:space="preserve"> </w:t>
      </w:r>
      <w:r w:rsidRPr="00C41D26">
        <w:rPr>
          <w:rFonts w:hint="cs"/>
          <w:rtl/>
        </w:rPr>
        <w:t>במדינה</w:t>
      </w:r>
      <w:r>
        <w:rPr>
          <w:rFonts w:hint="cs"/>
          <w:rtl/>
        </w:rPr>
        <w:t>,</w:t>
      </w:r>
      <w:r w:rsidRPr="00C41D26">
        <w:t xml:space="preserve"> </w:t>
      </w:r>
      <w:r>
        <w:rPr>
          <w:rFonts w:hint="cs"/>
          <w:rtl/>
        </w:rPr>
        <w:t>אלא אם נבצר ממנו הדבר.</w:t>
      </w:r>
    </w:p>
    <w:p w:rsidR="00E34EF1" w:rsidRDefault="00E34EF1" w:rsidP="004C5E13">
      <w:pPr>
        <w:spacing w:before="120" w:after="120" w:line="360" w:lineRule="auto"/>
        <w:ind w:right="368"/>
        <w:rPr>
          <w:rFonts w:asciiTheme="majorBidi" w:hAnsiTheme="majorBidi"/>
        </w:rPr>
      </w:pPr>
      <w:r w:rsidRPr="00853B31">
        <w:rPr>
          <w:rFonts w:asciiTheme="majorBidi" w:hAnsiTheme="majorBidi"/>
        </w:rPr>
        <w:t> The authority of the legitimate power having in fact passed into the hands of the occupant, the latter shall take all the measures in his power to restore, and ensure, as far as possible, public order and safety, while respecting, unless absolutely prevented, the laws in force in the country.</w:t>
      </w:r>
    </w:p>
    <w:p w:rsidR="00E34EF1" w:rsidRPr="003E4F8A" w:rsidRDefault="00E34EF1" w:rsidP="004C5E13">
      <w:pPr>
        <w:spacing w:before="120" w:after="120" w:line="360" w:lineRule="auto"/>
        <w:ind w:right="368"/>
        <w:rPr>
          <w:rFonts w:asciiTheme="majorBidi" w:hAnsiTheme="majorBidi"/>
        </w:rPr>
      </w:pPr>
    </w:p>
    <w:p w:rsidR="00E34EF1" w:rsidRPr="009F6124" w:rsidRDefault="00E34EF1" w:rsidP="004C5E13">
      <w:pPr>
        <w:bidi/>
        <w:spacing w:before="120" w:after="120" w:line="360" w:lineRule="auto"/>
        <w:rPr>
          <w:b/>
          <w:bCs/>
          <w:u w:val="single"/>
        </w:rPr>
      </w:pPr>
      <w:r w:rsidRPr="009F6124">
        <w:rPr>
          <w:b/>
          <w:bCs/>
          <w:u w:val="single"/>
          <w:rtl/>
        </w:rPr>
        <w:t xml:space="preserve">החובה </w:t>
      </w:r>
      <w:r w:rsidRPr="009F6124">
        <w:rPr>
          <w:rFonts w:hint="cs"/>
          <w:b/>
          <w:bCs/>
          <w:u w:val="single"/>
          <w:rtl/>
        </w:rPr>
        <w:t xml:space="preserve">של המעצמה הכובשת </w:t>
      </w:r>
      <w:r w:rsidRPr="009F6124">
        <w:rPr>
          <w:b/>
          <w:bCs/>
          <w:u w:val="single"/>
          <w:rtl/>
        </w:rPr>
        <w:t xml:space="preserve">לכבד רכוש פרטי </w:t>
      </w:r>
    </w:p>
    <w:p w:rsidR="00E34EF1" w:rsidRPr="00616F3B" w:rsidRDefault="00E34EF1" w:rsidP="00507AB8">
      <w:pPr>
        <w:pStyle w:val="a3"/>
        <w:numPr>
          <w:ilvl w:val="0"/>
          <w:numId w:val="1"/>
        </w:numPr>
        <w:bidi/>
        <w:spacing w:before="120" w:after="120" w:line="360" w:lineRule="auto"/>
        <w:ind w:left="425" w:hanging="357"/>
        <w:contextualSpacing w:val="0"/>
      </w:pPr>
      <w:r>
        <w:rPr>
          <w:rStyle w:val="apple-style-span"/>
          <w:rFonts w:asciiTheme="majorBidi" w:hAnsiTheme="majorBidi" w:hint="cs"/>
          <w:rtl/>
        </w:rPr>
        <w:t xml:space="preserve">בטרם נדון בהרחבה בשאלה כיצד יש לפרש את המונח </w:t>
      </w:r>
      <w:r>
        <w:rPr>
          <w:rStyle w:val="apple-style-span"/>
          <w:rFonts w:asciiTheme="majorBidi" w:hAnsiTheme="majorBidi"/>
        </w:rPr>
        <w:t>confiscation</w:t>
      </w:r>
      <w:r>
        <w:rPr>
          <w:rStyle w:val="apple-style-span"/>
          <w:rFonts w:asciiTheme="majorBidi" w:hAnsiTheme="majorBidi" w:hint="cs"/>
          <w:rtl/>
        </w:rPr>
        <w:t xml:space="preserve"> בתקנה 46 לתקנות האג, </w:t>
      </w:r>
      <w:r w:rsidRPr="00E503E6">
        <w:rPr>
          <w:rStyle w:val="apple-style-span"/>
          <w:rFonts w:asciiTheme="majorBidi" w:hAnsiTheme="majorBidi" w:hint="cs"/>
          <w:rtl/>
        </w:rPr>
        <w:t xml:space="preserve">נבחן </w:t>
      </w:r>
      <w:r w:rsidRPr="00616F3B">
        <w:rPr>
          <w:rFonts w:hint="cs"/>
          <w:rtl/>
        </w:rPr>
        <w:t>את</w:t>
      </w:r>
      <w:r w:rsidRPr="00616F3B">
        <w:rPr>
          <w:rtl/>
        </w:rPr>
        <w:t xml:space="preserve"> </w:t>
      </w:r>
      <w:r w:rsidRPr="00616F3B">
        <w:rPr>
          <w:rFonts w:hint="cs"/>
          <w:rtl/>
        </w:rPr>
        <w:t>החובה</w:t>
      </w:r>
      <w:r w:rsidRPr="00616F3B">
        <w:rPr>
          <w:rtl/>
        </w:rPr>
        <w:t xml:space="preserve"> </w:t>
      </w:r>
      <w:r>
        <w:rPr>
          <w:rFonts w:hint="cs"/>
          <w:rtl/>
        </w:rPr>
        <w:t xml:space="preserve">הכללית </w:t>
      </w:r>
      <w:r w:rsidRPr="00616F3B">
        <w:rPr>
          <w:rFonts w:hint="cs"/>
          <w:rtl/>
        </w:rPr>
        <w:t>לכבד</w:t>
      </w:r>
      <w:r w:rsidRPr="00616F3B">
        <w:rPr>
          <w:rtl/>
        </w:rPr>
        <w:t xml:space="preserve"> </w:t>
      </w:r>
      <w:r w:rsidRPr="00616F3B">
        <w:rPr>
          <w:rFonts w:hint="cs"/>
          <w:rtl/>
        </w:rPr>
        <w:t>רכוש</w:t>
      </w:r>
      <w:r w:rsidRPr="00616F3B">
        <w:rPr>
          <w:rtl/>
        </w:rPr>
        <w:t xml:space="preserve"> </w:t>
      </w:r>
      <w:r w:rsidRPr="00616F3B">
        <w:rPr>
          <w:rFonts w:hint="cs"/>
          <w:rtl/>
        </w:rPr>
        <w:t>פרטי</w:t>
      </w:r>
      <w:r w:rsidRPr="00616F3B">
        <w:rPr>
          <w:rtl/>
        </w:rPr>
        <w:t xml:space="preserve"> </w:t>
      </w:r>
      <w:r w:rsidRPr="00616F3B">
        <w:rPr>
          <w:rFonts w:hint="cs"/>
          <w:rtl/>
        </w:rPr>
        <w:t>בשטח</w:t>
      </w:r>
      <w:r w:rsidRPr="00616F3B">
        <w:rPr>
          <w:rtl/>
        </w:rPr>
        <w:t xml:space="preserve"> </w:t>
      </w:r>
      <w:r w:rsidRPr="00616F3B">
        <w:rPr>
          <w:rFonts w:hint="cs"/>
          <w:rtl/>
        </w:rPr>
        <w:t>כבוש</w:t>
      </w:r>
      <w:r w:rsidRPr="00616F3B">
        <w:rPr>
          <w:rtl/>
        </w:rPr>
        <w:t xml:space="preserve"> </w:t>
      </w:r>
      <w:r w:rsidRPr="00616F3B">
        <w:rPr>
          <w:rFonts w:hint="cs"/>
          <w:rtl/>
        </w:rPr>
        <w:t>המופיעה</w:t>
      </w:r>
      <w:r w:rsidRPr="00616F3B">
        <w:rPr>
          <w:rtl/>
        </w:rPr>
        <w:t xml:space="preserve"> </w:t>
      </w:r>
      <w:r w:rsidRPr="00616F3B">
        <w:rPr>
          <w:rFonts w:hint="cs"/>
          <w:rtl/>
        </w:rPr>
        <w:t>במשפט</w:t>
      </w:r>
      <w:r w:rsidRPr="00616F3B">
        <w:rPr>
          <w:rtl/>
        </w:rPr>
        <w:t xml:space="preserve"> </w:t>
      </w:r>
      <w:r w:rsidRPr="00616F3B">
        <w:rPr>
          <w:rFonts w:hint="cs"/>
          <w:rtl/>
        </w:rPr>
        <w:t>הבין</w:t>
      </w:r>
      <w:r w:rsidRPr="00616F3B">
        <w:rPr>
          <w:rtl/>
        </w:rPr>
        <w:t>-לאומי</w:t>
      </w:r>
      <w:r w:rsidR="00507AB8">
        <w:rPr>
          <w:rFonts w:hint="cs"/>
          <w:rtl/>
        </w:rPr>
        <w:t xml:space="preserve"> ובפסיקה הישראלית</w:t>
      </w:r>
      <w:r w:rsidRPr="00616F3B">
        <w:rPr>
          <w:rtl/>
        </w:rPr>
        <w:t>.</w:t>
      </w:r>
    </w:p>
    <w:p w:rsidR="00507AB8" w:rsidRDefault="00E34EF1" w:rsidP="00507AB8">
      <w:pPr>
        <w:pStyle w:val="a3"/>
        <w:numPr>
          <w:ilvl w:val="0"/>
          <w:numId w:val="1"/>
        </w:numPr>
        <w:bidi/>
        <w:spacing w:before="120" w:after="120" w:line="360" w:lineRule="auto"/>
        <w:ind w:left="425" w:hanging="357"/>
        <w:contextualSpacing w:val="0"/>
        <w:rPr>
          <w:rStyle w:val="apple-style-span"/>
          <w:rFonts w:asciiTheme="majorBidi" w:hAnsiTheme="majorBidi"/>
        </w:rPr>
      </w:pPr>
      <w:r>
        <w:rPr>
          <w:rStyle w:val="apple-style-span"/>
          <w:rFonts w:asciiTheme="majorBidi" w:hAnsiTheme="majorBidi" w:hint="cs"/>
          <w:rtl/>
        </w:rPr>
        <w:t xml:space="preserve">החובה לכבד רכוש פרטי וקרקע פרטית בשטח הכבוש מעוגנת למצער מאז אמצע המאה ה-19 בדין הבין-לאומי, ואף נחשבת למשפט מנהגי.  </w:t>
      </w:r>
    </w:p>
    <w:p w:rsidR="00E34EF1" w:rsidRPr="00507AB8" w:rsidRDefault="00E34EF1" w:rsidP="00507AB8">
      <w:pPr>
        <w:pStyle w:val="a3"/>
        <w:numPr>
          <w:ilvl w:val="0"/>
          <w:numId w:val="1"/>
        </w:numPr>
        <w:bidi/>
        <w:spacing w:before="120" w:after="120" w:line="360" w:lineRule="auto"/>
        <w:ind w:left="425" w:hanging="357"/>
        <w:contextualSpacing w:val="0"/>
        <w:rPr>
          <w:rStyle w:val="apple-style-span"/>
          <w:rFonts w:asciiTheme="majorBidi" w:hAnsiTheme="majorBidi"/>
        </w:rPr>
      </w:pPr>
      <w:r w:rsidRPr="00507AB8">
        <w:rPr>
          <w:rStyle w:val="apple-style-span"/>
          <w:rFonts w:asciiTheme="majorBidi" w:hAnsiTheme="majorBidi" w:hint="cs"/>
          <w:rtl/>
        </w:rPr>
        <w:t>חובה זו הוזכרה במסגרת קוד לייבר</w:t>
      </w:r>
      <w:r w:rsidR="00507AB8">
        <w:rPr>
          <w:rStyle w:val="apple-style-span"/>
          <w:rFonts w:asciiTheme="majorBidi" w:hAnsiTheme="majorBidi" w:hint="cs"/>
          <w:rtl/>
        </w:rPr>
        <w:t xml:space="preserve"> (</w:t>
      </w:r>
      <w:r w:rsidR="00507AB8" w:rsidRPr="00507AB8">
        <w:rPr>
          <w:rStyle w:val="apple-style-span"/>
        </w:rPr>
        <w:t>Lieber Code</w:t>
      </w:r>
      <w:r w:rsidR="00507AB8" w:rsidRPr="00507AB8">
        <w:rPr>
          <w:rStyle w:val="apple-style-span"/>
          <w:rFonts w:hint="cs"/>
          <w:rtl/>
        </w:rPr>
        <w:t>)</w:t>
      </w:r>
      <w:r w:rsidRPr="00507AB8">
        <w:rPr>
          <w:rStyle w:val="apple-style-span"/>
          <w:rFonts w:asciiTheme="majorBidi" w:hAnsiTheme="majorBidi" w:hint="cs"/>
          <w:rtl/>
        </w:rPr>
        <w:t xml:space="preserve">, </w:t>
      </w:r>
      <w:r w:rsidRPr="00507AB8">
        <w:rPr>
          <w:rStyle w:val="apple-style-span"/>
          <w:rFonts w:asciiTheme="majorBidi" w:hAnsiTheme="majorBidi"/>
          <w:rtl/>
        </w:rPr>
        <w:t>הוראה</w:t>
      </w:r>
      <w:r w:rsidRPr="00507AB8">
        <w:rPr>
          <w:rStyle w:val="apple-style-span"/>
          <w:rFonts w:asciiTheme="majorBidi" w:hAnsiTheme="majorBidi" w:hint="cs"/>
          <w:rtl/>
        </w:rPr>
        <w:t xml:space="preserve"> שנחתמה על ידי </w:t>
      </w:r>
      <w:r w:rsidRPr="00507AB8">
        <w:rPr>
          <w:rStyle w:val="apple-style-span"/>
          <w:rFonts w:asciiTheme="majorBidi" w:hAnsiTheme="majorBidi"/>
          <w:rtl/>
        </w:rPr>
        <w:t>נשיא ארה"ב במהלך מלחמת האזרחים האמריקאית, ש</w:t>
      </w:r>
      <w:r w:rsidR="00507AB8">
        <w:rPr>
          <w:rStyle w:val="apple-style-span"/>
          <w:rFonts w:asciiTheme="majorBidi" w:hAnsiTheme="majorBidi" w:hint="cs"/>
          <w:rtl/>
        </w:rPr>
        <w:t>דנה ב</w:t>
      </w:r>
      <w:r w:rsidR="00507AB8">
        <w:rPr>
          <w:rStyle w:val="apple-style-span"/>
          <w:rFonts w:asciiTheme="majorBidi" w:hAnsiTheme="majorBidi"/>
          <w:rtl/>
        </w:rPr>
        <w:t xml:space="preserve">התנהלות </w:t>
      </w:r>
      <w:r w:rsidRPr="00507AB8">
        <w:rPr>
          <w:rStyle w:val="apple-style-span"/>
          <w:rFonts w:asciiTheme="majorBidi" w:hAnsiTheme="majorBidi"/>
          <w:rtl/>
        </w:rPr>
        <w:t>חיילים בזמן מלחמה.</w:t>
      </w:r>
      <w:r>
        <w:rPr>
          <w:rStyle w:val="a6"/>
          <w:rFonts w:asciiTheme="majorBidi" w:hAnsiTheme="majorBidi"/>
          <w:rtl/>
        </w:rPr>
        <w:footnoteReference w:id="9"/>
      </w:r>
      <w:r w:rsidRPr="00507AB8">
        <w:rPr>
          <w:rStyle w:val="apple-style-span"/>
          <w:rFonts w:asciiTheme="majorBidi" w:hAnsiTheme="majorBidi" w:hint="cs"/>
          <w:rtl/>
        </w:rPr>
        <w:t xml:space="preserve"> </w:t>
      </w:r>
    </w:p>
    <w:p w:rsidR="00E34EF1" w:rsidRPr="00656E50" w:rsidRDefault="00E34EF1" w:rsidP="004C5E13">
      <w:pPr>
        <w:autoSpaceDE w:val="0"/>
        <w:autoSpaceDN w:val="0"/>
        <w:adjustRightInd w:val="0"/>
        <w:spacing w:before="120" w:after="120" w:line="360" w:lineRule="auto"/>
        <w:ind w:right="368"/>
        <w:rPr>
          <w:rFonts w:asciiTheme="majorBidi" w:eastAsiaTheme="minorHAnsi" w:hAnsiTheme="majorBidi"/>
          <w:u w:val="single"/>
        </w:rPr>
      </w:pPr>
      <w:r w:rsidRPr="00656E50">
        <w:rPr>
          <w:rFonts w:asciiTheme="majorBidi" w:eastAsiaTheme="minorHAnsi" w:hAnsiTheme="majorBidi"/>
          <w:u w:val="single"/>
        </w:rPr>
        <w:t xml:space="preserve">Article 37 of the 1863 Lieber </w:t>
      </w:r>
      <w:r>
        <w:rPr>
          <w:rFonts w:asciiTheme="majorBidi" w:eastAsiaTheme="minorHAnsi" w:hAnsiTheme="majorBidi"/>
          <w:u w:val="single"/>
        </w:rPr>
        <w:t>Code</w:t>
      </w:r>
    </w:p>
    <w:p w:rsidR="00E34EF1" w:rsidRPr="00656E50" w:rsidRDefault="00E34EF1" w:rsidP="004C5E13">
      <w:pPr>
        <w:autoSpaceDE w:val="0"/>
        <w:autoSpaceDN w:val="0"/>
        <w:adjustRightInd w:val="0"/>
        <w:spacing w:before="120" w:after="120" w:line="360" w:lineRule="auto"/>
        <w:ind w:right="368"/>
        <w:rPr>
          <w:rFonts w:asciiTheme="majorBidi" w:eastAsiaTheme="minorHAnsi" w:hAnsiTheme="majorBidi"/>
        </w:rPr>
      </w:pPr>
      <w:r>
        <w:rPr>
          <w:rFonts w:asciiTheme="majorBidi" w:eastAsiaTheme="minorHAnsi" w:hAnsiTheme="majorBidi"/>
        </w:rPr>
        <w:t>"</w:t>
      </w:r>
      <w:r w:rsidRPr="00656E50">
        <w:rPr>
          <w:rFonts w:asciiTheme="majorBidi" w:eastAsiaTheme="minorHAnsi" w:hAnsiTheme="majorBidi"/>
        </w:rPr>
        <w:t xml:space="preserve">The United States acknowledge and protect, in hostile countries occupied by them…strictly private property. This rule does not interfere with the right of the </w:t>
      </w:r>
      <w:r w:rsidRPr="00656E50">
        <w:rPr>
          <w:rFonts w:asciiTheme="majorBidi" w:eastAsiaTheme="minorHAnsi" w:hAnsiTheme="majorBidi"/>
        </w:rPr>
        <w:lastRenderedPageBreak/>
        <w:t>victorious invader…to appropriate property, especially houses, lands, boats or ships, and churches, for temporary and military uses.</w:t>
      </w:r>
      <w:r>
        <w:rPr>
          <w:rFonts w:asciiTheme="majorBidi" w:eastAsiaTheme="minorHAnsi" w:hAnsiTheme="majorBidi"/>
        </w:rPr>
        <w:t>"</w:t>
      </w:r>
    </w:p>
    <w:p w:rsidR="00E34EF1" w:rsidRPr="00656E50" w:rsidRDefault="00E34EF1" w:rsidP="004C5E13">
      <w:pPr>
        <w:autoSpaceDE w:val="0"/>
        <w:autoSpaceDN w:val="0"/>
        <w:adjustRightInd w:val="0"/>
        <w:spacing w:before="120" w:after="120" w:line="360" w:lineRule="auto"/>
        <w:ind w:right="368"/>
        <w:rPr>
          <w:rFonts w:asciiTheme="majorBidi" w:eastAsiaTheme="minorHAnsi" w:hAnsiTheme="majorBidi"/>
          <w:u w:val="single"/>
        </w:rPr>
      </w:pPr>
      <w:r w:rsidRPr="00656E50">
        <w:rPr>
          <w:rFonts w:asciiTheme="majorBidi" w:eastAsiaTheme="minorHAnsi" w:hAnsiTheme="majorBidi"/>
          <w:u w:val="single"/>
        </w:rPr>
        <w:t>Article 38 of the 1863 Lieber Code</w:t>
      </w:r>
    </w:p>
    <w:p w:rsidR="00E34EF1" w:rsidRPr="00656E50" w:rsidRDefault="00E34EF1" w:rsidP="004C5E13">
      <w:pPr>
        <w:autoSpaceDE w:val="0"/>
        <w:autoSpaceDN w:val="0"/>
        <w:adjustRightInd w:val="0"/>
        <w:spacing w:before="120" w:after="120" w:line="360" w:lineRule="auto"/>
        <w:ind w:right="368"/>
        <w:rPr>
          <w:rFonts w:asciiTheme="majorBidi" w:eastAsiaTheme="minorHAnsi" w:hAnsiTheme="majorBidi"/>
        </w:rPr>
      </w:pPr>
      <w:r w:rsidRPr="00656E50">
        <w:rPr>
          <w:rFonts w:asciiTheme="majorBidi" w:eastAsiaTheme="minorHAnsi" w:hAnsiTheme="majorBidi"/>
        </w:rPr>
        <w:t>"Private property…can be seized only by way of military necessity, for the support or other benefit of the army or of the United States. If the owner has not fled, the commanding officer will cause receipts to be given, which may serve the spoliated owner to obtain indemnity.</w:t>
      </w:r>
      <w:r>
        <w:rPr>
          <w:rFonts w:asciiTheme="majorBidi" w:eastAsiaTheme="minorHAnsi" w:hAnsiTheme="majorBidi"/>
        </w:rPr>
        <w:t>"</w:t>
      </w:r>
    </w:p>
    <w:p w:rsidR="00E34EF1" w:rsidRPr="00507AB8" w:rsidRDefault="00E34EF1" w:rsidP="00507AB8">
      <w:pPr>
        <w:pStyle w:val="a3"/>
        <w:numPr>
          <w:ilvl w:val="0"/>
          <w:numId w:val="1"/>
        </w:numPr>
        <w:autoSpaceDE w:val="0"/>
        <w:autoSpaceDN w:val="0"/>
        <w:bidi/>
        <w:adjustRightInd w:val="0"/>
        <w:spacing w:before="120" w:after="120" w:line="360" w:lineRule="auto"/>
        <w:ind w:left="368" w:hanging="426"/>
        <w:rPr>
          <w:rFonts w:asciiTheme="majorBidi" w:eastAsiaTheme="minorHAnsi" w:hAnsiTheme="majorBidi"/>
          <w:rtl/>
        </w:rPr>
      </w:pPr>
      <w:r w:rsidRPr="00507AB8">
        <w:rPr>
          <w:rFonts w:asciiTheme="majorBidi" w:eastAsiaTheme="minorHAnsi" w:hAnsiTheme="majorBidi" w:hint="cs"/>
          <w:rtl/>
        </w:rPr>
        <w:t>חובה זו אף הוזכרה בהצהרת בריסל</w:t>
      </w:r>
      <w:r w:rsidRPr="00E34EF1">
        <w:rPr>
          <w:rStyle w:val="a6"/>
          <w:rFonts w:asciiTheme="majorBidi" w:eastAsiaTheme="minorHAnsi" w:hAnsiTheme="majorBidi"/>
          <w:rtl/>
        </w:rPr>
        <w:footnoteReference w:id="10"/>
      </w:r>
      <w:r w:rsidRPr="00507AB8">
        <w:rPr>
          <w:rFonts w:asciiTheme="majorBidi" w:eastAsiaTheme="minorHAnsi" w:hAnsiTheme="majorBidi" w:hint="cs"/>
          <w:rtl/>
        </w:rPr>
        <w:t xml:space="preserve"> ומדריך אוקספורד,</w:t>
      </w:r>
      <w:r>
        <w:rPr>
          <w:rStyle w:val="a6"/>
          <w:rFonts w:asciiTheme="majorBidi" w:eastAsiaTheme="minorHAnsi" w:hAnsiTheme="majorBidi"/>
          <w:rtl/>
        </w:rPr>
        <w:footnoteReference w:id="11"/>
      </w:r>
      <w:r w:rsidRPr="00507AB8">
        <w:rPr>
          <w:rFonts w:asciiTheme="majorBidi" w:eastAsiaTheme="minorHAnsi" w:hAnsiTheme="majorBidi" w:hint="cs"/>
          <w:rtl/>
        </w:rPr>
        <w:t xml:space="preserve"> מסמכים המהווים את </w:t>
      </w:r>
      <w:r w:rsidRPr="00507AB8">
        <w:rPr>
          <w:rStyle w:val="apple-style-span"/>
          <w:rFonts w:hint="cs"/>
          <w:rtl/>
        </w:rPr>
        <w:t xml:space="preserve">הבסיס לשתי אמנות האג </w:t>
      </w:r>
      <w:r w:rsidRPr="00507AB8">
        <w:rPr>
          <w:rStyle w:val="apple-style-span"/>
          <w:rtl/>
        </w:rPr>
        <w:t>שאומצו ב- 1899 וב- 1907</w:t>
      </w:r>
      <w:r w:rsidR="00507AB8" w:rsidRPr="00507AB8">
        <w:rPr>
          <w:rFonts w:asciiTheme="majorBidi" w:eastAsiaTheme="minorHAnsi" w:hAnsiTheme="majorBidi" w:hint="cs"/>
          <w:rtl/>
        </w:rPr>
        <w:t>.</w:t>
      </w:r>
    </w:p>
    <w:p w:rsidR="00E34EF1" w:rsidRPr="00656E50" w:rsidRDefault="00E34EF1" w:rsidP="004C5E13">
      <w:pPr>
        <w:autoSpaceDE w:val="0"/>
        <w:autoSpaceDN w:val="0"/>
        <w:adjustRightInd w:val="0"/>
        <w:spacing w:before="120" w:after="120" w:line="360" w:lineRule="auto"/>
        <w:rPr>
          <w:rFonts w:asciiTheme="majorBidi" w:eastAsiaTheme="minorHAnsi" w:hAnsiTheme="majorBidi"/>
          <w:u w:val="single"/>
        </w:rPr>
      </w:pPr>
      <w:r w:rsidRPr="00656E50">
        <w:rPr>
          <w:rFonts w:asciiTheme="majorBidi" w:eastAsiaTheme="minorHAnsi" w:hAnsiTheme="majorBidi"/>
          <w:u w:val="single"/>
        </w:rPr>
        <w:t>Art. 38 of the The 1874 Brussels Declaration:</w:t>
      </w:r>
    </w:p>
    <w:p w:rsidR="00E34EF1" w:rsidRPr="00656E50" w:rsidRDefault="00E34EF1" w:rsidP="004C5E13">
      <w:pPr>
        <w:autoSpaceDE w:val="0"/>
        <w:autoSpaceDN w:val="0"/>
        <w:adjustRightInd w:val="0"/>
        <w:spacing w:before="120" w:after="120" w:line="360" w:lineRule="auto"/>
        <w:rPr>
          <w:rFonts w:asciiTheme="majorBidi" w:eastAsiaTheme="minorHAnsi" w:hAnsiTheme="majorBidi"/>
        </w:rPr>
      </w:pPr>
      <w:r>
        <w:rPr>
          <w:rFonts w:asciiTheme="majorBidi" w:eastAsiaTheme="minorHAnsi" w:hAnsiTheme="majorBidi"/>
        </w:rPr>
        <w:t>"</w:t>
      </w:r>
      <w:r w:rsidRPr="00656E50">
        <w:rPr>
          <w:rFonts w:asciiTheme="majorBidi" w:eastAsiaTheme="minorHAnsi" w:hAnsiTheme="majorBidi"/>
        </w:rPr>
        <w:t>...[P]roperty of persons…must be respected. Private property cannot be confiscated.</w:t>
      </w:r>
      <w:r>
        <w:rPr>
          <w:rFonts w:asciiTheme="majorBidi" w:eastAsiaTheme="minorHAnsi" w:hAnsiTheme="majorBidi"/>
        </w:rPr>
        <w:t>"</w:t>
      </w:r>
    </w:p>
    <w:p w:rsidR="00E34EF1" w:rsidRPr="00656E50" w:rsidRDefault="00E34EF1" w:rsidP="004C5E13">
      <w:pPr>
        <w:autoSpaceDE w:val="0"/>
        <w:autoSpaceDN w:val="0"/>
        <w:adjustRightInd w:val="0"/>
        <w:spacing w:before="120" w:after="120" w:line="360" w:lineRule="auto"/>
        <w:ind w:right="226"/>
        <w:rPr>
          <w:rFonts w:asciiTheme="majorBidi" w:eastAsiaTheme="minorHAnsi" w:hAnsiTheme="majorBidi"/>
        </w:rPr>
      </w:pPr>
      <w:r w:rsidRPr="00656E50">
        <w:rPr>
          <w:rFonts w:asciiTheme="majorBidi" w:eastAsiaTheme="minorHAnsi" w:hAnsiTheme="majorBidi"/>
          <w:u w:val="single"/>
        </w:rPr>
        <w:t>Art. 54 of The 1880 Oxford Manual</w:t>
      </w:r>
      <w:r w:rsidRPr="00656E50">
        <w:rPr>
          <w:rFonts w:asciiTheme="majorBidi" w:eastAsiaTheme="minorHAnsi" w:hAnsiTheme="majorBidi"/>
        </w:rPr>
        <w:t>:</w:t>
      </w:r>
    </w:p>
    <w:p w:rsidR="00E34EF1" w:rsidRDefault="00E34EF1" w:rsidP="004C5E13">
      <w:pPr>
        <w:tabs>
          <w:tab w:val="right" w:pos="7938"/>
        </w:tabs>
        <w:autoSpaceDE w:val="0"/>
        <w:autoSpaceDN w:val="0"/>
        <w:adjustRightInd w:val="0"/>
        <w:spacing w:before="120" w:after="120" w:line="360" w:lineRule="auto"/>
        <w:ind w:right="368"/>
        <w:rPr>
          <w:rFonts w:asciiTheme="majorBidi" w:eastAsiaTheme="minorHAnsi" w:hAnsiTheme="majorBidi"/>
        </w:rPr>
      </w:pPr>
      <w:r>
        <w:rPr>
          <w:rFonts w:asciiTheme="majorBidi" w:eastAsiaTheme="minorHAnsi" w:hAnsiTheme="majorBidi"/>
        </w:rPr>
        <w:t>"</w:t>
      </w:r>
      <w:r w:rsidRPr="00656E50">
        <w:rPr>
          <w:rFonts w:asciiTheme="majorBidi" w:eastAsiaTheme="minorHAnsi" w:hAnsiTheme="majorBidi"/>
        </w:rPr>
        <w:t>…Private property, whether belonging to individuals or corporations, must be respected, and can be confiscated only under the limitations contained in the following articles</w:t>
      </w:r>
      <w:r>
        <w:rPr>
          <w:rFonts w:asciiTheme="majorBidi" w:eastAsiaTheme="minorHAnsi" w:hAnsiTheme="majorBidi"/>
        </w:rPr>
        <w:t>.</w:t>
      </w:r>
      <w:r w:rsidRPr="00656E50">
        <w:rPr>
          <w:rFonts w:asciiTheme="majorBidi" w:eastAsiaTheme="minorHAnsi" w:hAnsiTheme="majorBidi"/>
        </w:rPr>
        <w:t>..</w:t>
      </w:r>
      <w:r>
        <w:rPr>
          <w:rFonts w:asciiTheme="majorBidi" w:eastAsiaTheme="minorHAnsi" w:hAnsiTheme="majorBidi"/>
        </w:rPr>
        <w:t>"</w:t>
      </w:r>
    </w:p>
    <w:p w:rsidR="00507AB8" w:rsidRDefault="00507AB8" w:rsidP="00507AB8">
      <w:pPr>
        <w:pStyle w:val="a3"/>
        <w:numPr>
          <w:ilvl w:val="0"/>
          <w:numId w:val="1"/>
        </w:numPr>
        <w:bidi/>
        <w:spacing w:before="120" w:after="120" w:line="360" w:lineRule="auto"/>
        <w:ind w:left="368" w:hanging="284"/>
        <w:contextualSpacing w:val="0"/>
        <w:rPr>
          <w:rFonts w:asciiTheme="majorBidi" w:hAnsiTheme="majorBidi"/>
          <w:b/>
          <w:bCs/>
          <w:u w:val="single"/>
        </w:rPr>
      </w:pPr>
      <w:r w:rsidRPr="00937DB7">
        <w:rPr>
          <w:rFonts w:hint="cs"/>
          <w:rtl/>
        </w:rPr>
        <w:t>לאורך</w:t>
      </w:r>
      <w:r w:rsidRPr="00937DB7">
        <w:rPr>
          <w:rtl/>
        </w:rPr>
        <w:t xml:space="preserve"> </w:t>
      </w:r>
      <w:r w:rsidRPr="00937DB7">
        <w:rPr>
          <w:rFonts w:hint="cs"/>
          <w:rtl/>
        </w:rPr>
        <w:t>השנים</w:t>
      </w:r>
      <w:r w:rsidRPr="00937DB7">
        <w:rPr>
          <w:rtl/>
        </w:rPr>
        <w:t xml:space="preserve">, </w:t>
      </w:r>
      <w:r w:rsidRPr="00937DB7">
        <w:rPr>
          <w:rFonts w:hint="cs"/>
          <w:rtl/>
        </w:rPr>
        <w:t>בית</w:t>
      </w:r>
      <w:r w:rsidRPr="00937DB7">
        <w:rPr>
          <w:rtl/>
        </w:rPr>
        <w:t xml:space="preserve"> </w:t>
      </w:r>
      <w:r w:rsidRPr="00937DB7">
        <w:rPr>
          <w:rFonts w:hint="cs"/>
          <w:rtl/>
        </w:rPr>
        <w:t>המשפט</w:t>
      </w:r>
      <w:r w:rsidRPr="00937DB7">
        <w:rPr>
          <w:rtl/>
        </w:rPr>
        <w:t xml:space="preserve"> </w:t>
      </w:r>
      <w:r w:rsidRPr="00937DB7">
        <w:rPr>
          <w:rFonts w:hint="cs"/>
          <w:rtl/>
        </w:rPr>
        <w:t>העליון</w:t>
      </w:r>
      <w:r w:rsidRPr="00937DB7">
        <w:rPr>
          <w:rtl/>
        </w:rPr>
        <w:t xml:space="preserve"> </w:t>
      </w:r>
      <w:r w:rsidRPr="00937DB7">
        <w:rPr>
          <w:rFonts w:hint="cs"/>
          <w:rtl/>
        </w:rPr>
        <w:t>בישראל</w:t>
      </w:r>
      <w:r w:rsidRPr="00937DB7">
        <w:rPr>
          <w:rtl/>
        </w:rPr>
        <w:t xml:space="preserve"> </w:t>
      </w:r>
      <w:r w:rsidRPr="00937DB7">
        <w:rPr>
          <w:rFonts w:hint="cs"/>
          <w:rtl/>
        </w:rPr>
        <w:t>הדגיש</w:t>
      </w:r>
      <w:r w:rsidRPr="00937DB7">
        <w:rPr>
          <w:rtl/>
        </w:rPr>
        <w:t xml:space="preserve"> </w:t>
      </w:r>
      <w:r w:rsidRPr="00937DB7">
        <w:rPr>
          <w:rFonts w:hint="cs"/>
          <w:rtl/>
        </w:rPr>
        <w:t>בפסיקותיו</w:t>
      </w:r>
      <w:r w:rsidRPr="00937DB7">
        <w:rPr>
          <w:rtl/>
        </w:rPr>
        <w:t xml:space="preserve"> </w:t>
      </w:r>
      <w:r w:rsidRPr="00937DB7">
        <w:rPr>
          <w:rFonts w:hint="cs"/>
          <w:rtl/>
        </w:rPr>
        <w:t>את</w:t>
      </w:r>
      <w:r w:rsidRPr="00937DB7">
        <w:rPr>
          <w:rtl/>
        </w:rPr>
        <w:t xml:space="preserve"> </w:t>
      </w:r>
      <w:r w:rsidRPr="00937DB7">
        <w:rPr>
          <w:rFonts w:hint="cs"/>
          <w:rtl/>
        </w:rPr>
        <w:t>החשיבות</w:t>
      </w:r>
      <w:r w:rsidRPr="00937DB7">
        <w:rPr>
          <w:rtl/>
        </w:rPr>
        <w:t xml:space="preserve"> </w:t>
      </w:r>
      <w:r w:rsidRPr="00937DB7">
        <w:rPr>
          <w:rFonts w:hint="cs"/>
          <w:rtl/>
        </w:rPr>
        <w:t>בהגנה</w:t>
      </w:r>
      <w:r w:rsidRPr="00937DB7">
        <w:rPr>
          <w:rtl/>
        </w:rPr>
        <w:t xml:space="preserve"> </w:t>
      </w:r>
      <w:r w:rsidRPr="00937DB7">
        <w:rPr>
          <w:rFonts w:hint="cs"/>
          <w:rtl/>
        </w:rPr>
        <w:t>על</w:t>
      </w:r>
      <w:r w:rsidRPr="00937DB7">
        <w:rPr>
          <w:rtl/>
        </w:rPr>
        <w:t xml:space="preserve"> </w:t>
      </w:r>
      <w:r w:rsidRPr="00937DB7">
        <w:rPr>
          <w:rFonts w:hint="cs"/>
          <w:rtl/>
        </w:rPr>
        <w:t>קרקע</w:t>
      </w:r>
      <w:r w:rsidRPr="00937DB7">
        <w:rPr>
          <w:rtl/>
        </w:rPr>
        <w:t xml:space="preserve"> </w:t>
      </w:r>
      <w:r w:rsidRPr="00937DB7">
        <w:rPr>
          <w:rFonts w:hint="cs"/>
          <w:rtl/>
        </w:rPr>
        <w:t>פרטית</w:t>
      </w:r>
      <w:r w:rsidRPr="00937DB7">
        <w:rPr>
          <w:rtl/>
        </w:rPr>
        <w:t xml:space="preserve"> </w:t>
      </w:r>
      <w:r w:rsidRPr="00937DB7">
        <w:rPr>
          <w:rFonts w:hint="cs"/>
          <w:rtl/>
        </w:rPr>
        <w:t>ואת</w:t>
      </w:r>
      <w:r w:rsidRPr="00937DB7">
        <w:rPr>
          <w:rtl/>
        </w:rPr>
        <w:t xml:space="preserve"> </w:t>
      </w:r>
      <w:r w:rsidRPr="00937DB7">
        <w:rPr>
          <w:rFonts w:hint="cs"/>
          <w:rtl/>
        </w:rPr>
        <w:t>החומרה</w:t>
      </w:r>
      <w:r w:rsidRPr="00937DB7">
        <w:rPr>
          <w:rtl/>
        </w:rPr>
        <w:t xml:space="preserve"> </w:t>
      </w:r>
      <w:r w:rsidRPr="00937DB7">
        <w:rPr>
          <w:rFonts w:hint="cs"/>
          <w:rtl/>
        </w:rPr>
        <w:t>שבפגיעה</w:t>
      </w:r>
      <w:r w:rsidRPr="00937DB7">
        <w:rPr>
          <w:rtl/>
        </w:rPr>
        <w:t xml:space="preserve"> </w:t>
      </w:r>
      <w:r w:rsidRPr="00937DB7">
        <w:rPr>
          <w:rFonts w:hint="cs"/>
          <w:rtl/>
        </w:rPr>
        <w:t>בה</w:t>
      </w:r>
      <w:r w:rsidRPr="00937DB7">
        <w:rPr>
          <w:rtl/>
        </w:rPr>
        <w:t>.</w:t>
      </w:r>
      <w:r w:rsidRPr="00507AB8">
        <w:rPr>
          <w:vertAlign w:val="superscript"/>
          <w:rtl/>
        </w:rPr>
        <w:footnoteReference w:id="12"/>
      </w:r>
      <w:r w:rsidRPr="00656E50">
        <w:rPr>
          <w:rFonts w:hint="cs"/>
          <w:rtl/>
        </w:rPr>
        <w:t xml:space="preserve"> </w:t>
      </w:r>
      <w:r>
        <w:rPr>
          <w:rFonts w:hint="cs"/>
          <w:rtl/>
        </w:rPr>
        <w:t>בית המשפט אף ציין כי</w:t>
      </w:r>
      <w:r w:rsidRPr="00656E50">
        <w:rPr>
          <w:rFonts w:hint="cs"/>
          <w:rtl/>
        </w:rPr>
        <w:t xml:space="preserve"> </w:t>
      </w:r>
      <w:r w:rsidRPr="00937DB7">
        <w:rPr>
          <w:rFonts w:hint="cs"/>
          <w:rtl/>
        </w:rPr>
        <w:t>ההגנה</w:t>
      </w:r>
      <w:r w:rsidRPr="00937DB7">
        <w:rPr>
          <w:rtl/>
        </w:rPr>
        <w:t xml:space="preserve"> </w:t>
      </w:r>
      <w:r w:rsidRPr="00937DB7">
        <w:rPr>
          <w:rFonts w:hint="cs"/>
          <w:rtl/>
        </w:rPr>
        <w:t>על</w:t>
      </w:r>
      <w:r w:rsidRPr="00937DB7">
        <w:rPr>
          <w:rtl/>
        </w:rPr>
        <w:t xml:space="preserve"> </w:t>
      </w:r>
      <w:r w:rsidRPr="00937DB7">
        <w:rPr>
          <w:rFonts w:hint="cs"/>
          <w:rtl/>
        </w:rPr>
        <w:t>קרקע</w:t>
      </w:r>
      <w:r w:rsidRPr="00937DB7">
        <w:rPr>
          <w:rtl/>
        </w:rPr>
        <w:t xml:space="preserve"> </w:t>
      </w:r>
      <w:r w:rsidRPr="00937DB7">
        <w:rPr>
          <w:rFonts w:hint="cs"/>
          <w:rtl/>
        </w:rPr>
        <w:t>פרטית</w:t>
      </w:r>
      <w:r w:rsidRPr="00937DB7">
        <w:rPr>
          <w:rtl/>
        </w:rPr>
        <w:t xml:space="preserve"> </w:t>
      </w:r>
      <w:r w:rsidRPr="00937DB7">
        <w:rPr>
          <w:rFonts w:hint="cs"/>
          <w:rtl/>
        </w:rPr>
        <w:t>אינה</w:t>
      </w:r>
      <w:r w:rsidRPr="00937DB7">
        <w:rPr>
          <w:rtl/>
        </w:rPr>
        <w:t xml:space="preserve"> </w:t>
      </w:r>
      <w:r w:rsidRPr="00937DB7">
        <w:rPr>
          <w:rFonts w:hint="cs"/>
          <w:rtl/>
        </w:rPr>
        <w:t>מכוונת</w:t>
      </w:r>
      <w:r w:rsidRPr="00937DB7">
        <w:rPr>
          <w:rtl/>
        </w:rPr>
        <w:t xml:space="preserve"> </w:t>
      </w:r>
      <w:r w:rsidRPr="00937DB7">
        <w:rPr>
          <w:rFonts w:hint="cs"/>
          <w:rtl/>
        </w:rPr>
        <w:t>רק</w:t>
      </w:r>
      <w:r w:rsidRPr="00937DB7">
        <w:rPr>
          <w:rtl/>
        </w:rPr>
        <w:t xml:space="preserve"> </w:t>
      </w:r>
      <w:r w:rsidRPr="00937DB7">
        <w:rPr>
          <w:rFonts w:hint="cs"/>
          <w:rtl/>
        </w:rPr>
        <w:t>לשמירה</w:t>
      </w:r>
      <w:r w:rsidRPr="00937DB7">
        <w:rPr>
          <w:rtl/>
        </w:rPr>
        <w:t xml:space="preserve"> </w:t>
      </w:r>
      <w:r w:rsidRPr="00937DB7">
        <w:rPr>
          <w:rFonts w:hint="cs"/>
          <w:rtl/>
        </w:rPr>
        <w:t>מפני</w:t>
      </w:r>
      <w:r w:rsidRPr="00937DB7">
        <w:rPr>
          <w:rtl/>
        </w:rPr>
        <w:t xml:space="preserve"> </w:t>
      </w:r>
      <w:r w:rsidRPr="00937DB7">
        <w:rPr>
          <w:rFonts w:hint="cs"/>
          <w:rtl/>
        </w:rPr>
        <w:t>אובדן</w:t>
      </w:r>
      <w:r w:rsidRPr="00937DB7">
        <w:rPr>
          <w:rtl/>
        </w:rPr>
        <w:t xml:space="preserve"> </w:t>
      </w:r>
      <w:r w:rsidRPr="00937DB7">
        <w:rPr>
          <w:rFonts w:hint="cs"/>
          <w:rtl/>
        </w:rPr>
        <w:t>הבעלות</w:t>
      </w:r>
      <w:r w:rsidRPr="00937DB7">
        <w:rPr>
          <w:rtl/>
        </w:rPr>
        <w:t xml:space="preserve">, </w:t>
      </w:r>
      <w:r w:rsidRPr="00937DB7">
        <w:rPr>
          <w:rFonts w:hint="cs"/>
          <w:rtl/>
        </w:rPr>
        <w:t>אלא</w:t>
      </w:r>
      <w:r w:rsidRPr="00937DB7">
        <w:rPr>
          <w:rtl/>
        </w:rPr>
        <w:t xml:space="preserve"> </w:t>
      </w:r>
      <w:r w:rsidRPr="00937DB7">
        <w:rPr>
          <w:rFonts w:hint="cs"/>
          <w:rtl/>
        </w:rPr>
        <w:t>גם</w:t>
      </w:r>
      <w:r w:rsidRPr="00937DB7">
        <w:rPr>
          <w:rtl/>
        </w:rPr>
        <w:t xml:space="preserve"> </w:t>
      </w:r>
      <w:r w:rsidRPr="00937DB7">
        <w:rPr>
          <w:rFonts w:hint="cs"/>
          <w:rtl/>
        </w:rPr>
        <w:t>מפני</w:t>
      </w:r>
      <w:r w:rsidRPr="00937DB7">
        <w:rPr>
          <w:rtl/>
        </w:rPr>
        <w:t xml:space="preserve"> </w:t>
      </w:r>
      <w:r w:rsidRPr="00937DB7">
        <w:rPr>
          <w:rFonts w:hint="cs"/>
          <w:rtl/>
        </w:rPr>
        <w:t>שלילת</w:t>
      </w:r>
      <w:r w:rsidRPr="00937DB7">
        <w:rPr>
          <w:rtl/>
        </w:rPr>
        <w:t xml:space="preserve"> </w:t>
      </w:r>
      <w:r w:rsidRPr="00937DB7">
        <w:rPr>
          <w:rFonts w:hint="cs"/>
          <w:rtl/>
        </w:rPr>
        <w:t>היכולת</w:t>
      </w:r>
      <w:r w:rsidRPr="00937DB7">
        <w:rPr>
          <w:rtl/>
        </w:rPr>
        <w:t xml:space="preserve"> </w:t>
      </w:r>
      <w:r w:rsidRPr="00937DB7">
        <w:rPr>
          <w:rFonts w:hint="cs"/>
          <w:rtl/>
        </w:rPr>
        <w:t>לממש</w:t>
      </w:r>
      <w:r w:rsidRPr="00937DB7">
        <w:rPr>
          <w:rtl/>
        </w:rPr>
        <w:t xml:space="preserve"> </w:t>
      </w:r>
      <w:r w:rsidRPr="00937DB7">
        <w:rPr>
          <w:rFonts w:hint="cs"/>
          <w:rtl/>
        </w:rPr>
        <w:t>זכויות</w:t>
      </w:r>
      <w:r w:rsidRPr="00937DB7">
        <w:rPr>
          <w:rtl/>
        </w:rPr>
        <w:t xml:space="preserve"> </w:t>
      </w:r>
      <w:r w:rsidRPr="00937DB7">
        <w:rPr>
          <w:rFonts w:hint="cs"/>
          <w:rtl/>
        </w:rPr>
        <w:t>בנכס</w:t>
      </w:r>
      <w:r w:rsidRPr="00937DB7">
        <w:rPr>
          <w:rtl/>
        </w:rPr>
        <w:t xml:space="preserve">, </w:t>
      </w:r>
      <w:r w:rsidRPr="00937DB7">
        <w:rPr>
          <w:rFonts w:hint="cs"/>
          <w:rtl/>
        </w:rPr>
        <w:t>לדוגמא</w:t>
      </w:r>
      <w:r w:rsidRPr="00937DB7">
        <w:rPr>
          <w:rtl/>
        </w:rPr>
        <w:t xml:space="preserve"> </w:t>
      </w:r>
      <w:r w:rsidRPr="00937DB7">
        <w:rPr>
          <w:rFonts w:hint="cs"/>
          <w:rtl/>
        </w:rPr>
        <w:t>על</w:t>
      </w:r>
      <w:r w:rsidRPr="00937DB7">
        <w:rPr>
          <w:rtl/>
        </w:rPr>
        <w:t xml:space="preserve"> </w:t>
      </w:r>
      <w:r w:rsidRPr="00937DB7">
        <w:rPr>
          <w:rFonts w:hint="cs"/>
          <w:rtl/>
        </w:rPr>
        <w:t>ידי</w:t>
      </w:r>
      <w:r w:rsidRPr="00937DB7">
        <w:rPr>
          <w:rtl/>
        </w:rPr>
        <w:t xml:space="preserve"> </w:t>
      </w:r>
      <w:r w:rsidRPr="00937DB7">
        <w:rPr>
          <w:rFonts w:hint="cs"/>
          <w:rtl/>
        </w:rPr>
        <w:t>בנייה</w:t>
      </w:r>
      <w:r w:rsidRPr="00937DB7">
        <w:rPr>
          <w:rtl/>
        </w:rPr>
        <w:t xml:space="preserve"> </w:t>
      </w:r>
      <w:r w:rsidRPr="00937DB7">
        <w:rPr>
          <w:rFonts w:hint="cs"/>
          <w:rtl/>
        </w:rPr>
        <w:t>שלא</w:t>
      </w:r>
      <w:r w:rsidRPr="00937DB7">
        <w:rPr>
          <w:rtl/>
        </w:rPr>
        <w:t xml:space="preserve"> </w:t>
      </w:r>
      <w:r w:rsidRPr="00937DB7">
        <w:rPr>
          <w:rFonts w:hint="cs"/>
          <w:rtl/>
        </w:rPr>
        <w:t>כדין</w:t>
      </w:r>
      <w:r w:rsidRPr="00937DB7">
        <w:rPr>
          <w:rtl/>
        </w:rPr>
        <w:t xml:space="preserve"> </w:t>
      </w:r>
      <w:r w:rsidRPr="00937DB7">
        <w:rPr>
          <w:rFonts w:hint="cs"/>
          <w:rtl/>
        </w:rPr>
        <w:t>על</w:t>
      </w:r>
      <w:r w:rsidRPr="00937DB7">
        <w:rPr>
          <w:rtl/>
        </w:rPr>
        <w:t xml:space="preserve"> </w:t>
      </w:r>
      <w:r w:rsidRPr="00937DB7">
        <w:rPr>
          <w:rFonts w:hint="cs"/>
          <w:rtl/>
        </w:rPr>
        <w:t>האדמה</w:t>
      </w:r>
      <w:r w:rsidRPr="00937DB7">
        <w:rPr>
          <w:rtl/>
        </w:rPr>
        <w:t xml:space="preserve"> </w:t>
      </w:r>
      <w:r w:rsidRPr="00937DB7">
        <w:rPr>
          <w:rFonts w:hint="cs"/>
          <w:rtl/>
        </w:rPr>
        <w:t>והשתלטות</w:t>
      </w:r>
      <w:r w:rsidRPr="00937DB7">
        <w:rPr>
          <w:rtl/>
        </w:rPr>
        <w:t xml:space="preserve"> </w:t>
      </w:r>
      <w:r w:rsidRPr="00937DB7">
        <w:rPr>
          <w:rFonts w:hint="cs"/>
          <w:rtl/>
        </w:rPr>
        <w:t>עליה</w:t>
      </w:r>
      <w:r w:rsidRPr="00937DB7">
        <w:rPr>
          <w:rtl/>
        </w:rPr>
        <w:t>.</w:t>
      </w:r>
      <w:r w:rsidRPr="00507AB8">
        <w:rPr>
          <w:vertAlign w:val="superscript"/>
          <w:rtl/>
        </w:rPr>
        <w:footnoteReference w:id="13"/>
      </w:r>
    </w:p>
    <w:p w:rsidR="00507AB8" w:rsidRPr="00507AB8" w:rsidRDefault="00E34EF1" w:rsidP="00507AB8">
      <w:pPr>
        <w:pStyle w:val="a3"/>
        <w:numPr>
          <w:ilvl w:val="0"/>
          <w:numId w:val="18"/>
        </w:numPr>
        <w:bidi/>
        <w:spacing w:before="120" w:after="120" w:line="360" w:lineRule="auto"/>
        <w:ind w:left="368"/>
        <w:contextualSpacing w:val="0"/>
        <w:rPr>
          <w:rStyle w:val="apple-style-span"/>
          <w:rFonts w:asciiTheme="majorBidi" w:hAnsiTheme="majorBidi"/>
          <w:b/>
          <w:bCs/>
          <w:u w:val="single"/>
        </w:rPr>
      </w:pPr>
      <w:r w:rsidRPr="009F6124">
        <w:rPr>
          <w:rFonts w:asciiTheme="majorBidi" w:hAnsiTheme="majorBidi" w:hint="cs"/>
          <w:b/>
          <w:bCs/>
          <w:u w:val="single"/>
          <w:rtl/>
        </w:rPr>
        <w:t>פרשנות תקנה 46 לתקנות האג</w:t>
      </w:r>
    </w:p>
    <w:p w:rsidR="00E34EF1" w:rsidRDefault="00E34EF1" w:rsidP="00507AB8">
      <w:pPr>
        <w:pStyle w:val="a3"/>
        <w:numPr>
          <w:ilvl w:val="0"/>
          <w:numId w:val="1"/>
        </w:numPr>
        <w:bidi/>
        <w:spacing w:before="120" w:after="120" w:line="360" w:lineRule="auto"/>
        <w:ind w:left="425" w:hanging="357"/>
        <w:contextualSpacing w:val="0"/>
        <w:rPr>
          <w:rFonts w:asciiTheme="majorBidi" w:hAnsiTheme="majorBidi"/>
        </w:rPr>
      </w:pPr>
      <w:r w:rsidRPr="009F6124">
        <w:rPr>
          <w:rStyle w:val="apple-style-span"/>
          <w:rFonts w:hint="cs"/>
          <w:rtl/>
        </w:rPr>
        <w:t>תקנה</w:t>
      </w:r>
      <w:r>
        <w:rPr>
          <w:rFonts w:asciiTheme="majorBidi" w:hAnsiTheme="majorBidi" w:hint="cs"/>
          <w:rtl/>
        </w:rPr>
        <w:t xml:space="preserve"> 46 לתקנות האג, המהווה חלק מדיני התפיסה הלוחמתית החלים באזור, מעגנת את החובה לכבד את זכות הקניין של התושבים המקומיים בשטח הכבוש. במסגרת מזכר זה עולות מספר שאלות והן כיצד יש לפרש חובה זו, מהן הפעולות אשר סותרות חובה זו ומהוות למעשה הפרה של תקנות האג; ובאופן ספציפי האם מעצמה כובשת יכולה להפקיע שטח תמורת פיצוי, אם לכאורה תקנה 46 לתקנות האג אוסרת במפורש רק על החרמה.</w:t>
      </w:r>
    </w:p>
    <w:p w:rsidR="00E34EF1" w:rsidRDefault="00E34EF1" w:rsidP="00D249FE">
      <w:pPr>
        <w:pStyle w:val="a3"/>
        <w:numPr>
          <w:ilvl w:val="0"/>
          <w:numId w:val="1"/>
        </w:numPr>
        <w:bidi/>
        <w:spacing w:before="120" w:after="120" w:line="360" w:lineRule="auto"/>
        <w:ind w:left="425" w:hanging="357"/>
        <w:contextualSpacing w:val="0"/>
        <w:rPr>
          <w:rFonts w:asciiTheme="majorBidi" w:hAnsiTheme="majorBidi"/>
        </w:rPr>
      </w:pPr>
      <w:r w:rsidRPr="00BF3B7D">
        <w:rPr>
          <w:rStyle w:val="apple-style-span"/>
          <w:rFonts w:hint="cs"/>
          <w:rtl/>
        </w:rPr>
        <w:lastRenderedPageBreak/>
        <w:t>המלומד</w:t>
      </w:r>
      <w:r>
        <w:rPr>
          <w:rFonts w:hint="cs"/>
          <w:rtl/>
        </w:rPr>
        <w:t xml:space="preserve"> </w:t>
      </w:r>
      <w:r>
        <w:t>Gerhard von Glahn</w:t>
      </w:r>
      <w:r>
        <w:rPr>
          <w:rFonts w:asciiTheme="majorBidi" w:hAnsiTheme="majorBidi" w:hint="cs"/>
          <w:rtl/>
        </w:rPr>
        <w:t xml:space="preserve"> הביע בספרו עמדה</w:t>
      </w:r>
      <w:r w:rsidRPr="00656E50">
        <w:rPr>
          <w:rFonts w:asciiTheme="majorBidi" w:hAnsiTheme="majorBidi"/>
          <w:rtl/>
        </w:rPr>
        <w:t xml:space="preserve"> לפיה הכללים המרכזיים </w:t>
      </w:r>
      <w:r>
        <w:rPr>
          <w:rFonts w:asciiTheme="majorBidi" w:hAnsiTheme="majorBidi" w:hint="cs"/>
          <w:rtl/>
        </w:rPr>
        <w:t>המגנים על זכות הקניין ועל הרכוש הפרטי בשטח הכבוש</w:t>
      </w:r>
      <w:r w:rsidRPr="00656E50">
        <w:rPr>
          <w:rFonts w:asciiTheme="majorBidi" w:hAnsiTheme="majorBidi"/>
          <w:rtl/>
        </w:rPr>
        <w:t xml:space="preserve"> מעוגנים ב</w:t>
      </w:r>
      <w:r>
        <w:rPr>
          <w:rFonts w:asciiTheme="majorBidi" w:hAnsiTheme="majorBidi" w:hint="cs"/>
          <w:rtl/>
        </w:rPr>
        <w:t>תקנות</w:t>
      </w:r>
      <w:r>
        <w:rPr>
          <w:rFonts w:asciiTheme="majorBidi" w:hAnsiTheme="majorBidi"/>
          <w:rtl/>
        </w:rPr>
        <w:t xml:space="preserve"> 46 ו-47 לתקנות האג,</w:t>
      </w:r>
      <w:r>
        <w:rPr>
          <w:rStyle w:val="a6"/>
          <w:rFonts w:asciiTheme="majorBidi" w:hAnsiTheme="majorBidi"/>
          <w:rtl/>
        </w:rPr>
        <w:footnoteReference w:id="14"/>
      </w:r>
      <w:r>
        <w:rPr>
          <w:rFonts w:asciiTheme="majorBidi" w:hAnsiTheme="majorBidi"/>
          <w:rtl/>
        </w:rPr>
        <w:t xml:space="preserve"> </w:t>
      </w:r>
      <w:r>
        <w:rPr>
          <w:rFonts w:asciiTheme="majorBidi" w:hAnsiTheme="majorBidi" w:hint="cs"/>
          <w:rtl/>
        </w:rPr>
        <w:t>ואילו</w:t>
      </w:r>
      <w:r>
        <w:rPr>
          <w:rFonts w:asciiTheme="majorBidi" w:hAnsiTheme="majorBidi"/>
          <w:rtl/>
        </w:rPr>
        <w:t xml:space="preserve"> </w:t>
      </w:r>
      <w:r>
        <w:rPr>
          <w:rFonts w:asciiTheme="majorBidi" w:hAnsiTheme="majorBidi" w:hint="cs"/>
          <w:rtl/>
        </w:rPr>
        <w:t xml:space="preserve">תקנות </w:t>
      </w:r>
      <w:r w:rsidRPr="00656E50">
        <w:rPr>
          <w:rFonts w:asciiTheme="majorBidi" w:hAnsiTheme="majorBidi"/>
          <w:rtl/>
        </w:rPr>
        <w:t>52</w:t>
      </w:r>
      <w:r>
        <w:rPr>
          <w:rFonts w:asciiTheme="majorBidi" w:hAnsiTheme="majorBidi" w:hint="cs"/>
          <w:rtl/>
        </w:rPr>
        <w:t xml:space="preserve"> ו-53</w:t>
      </w:r>
      <w:r>
        <w:rPr>
          <w:rStyle w:val="a6"/>
          <w:rFonts w:asciiTheme="majorBidi" w:hAnsiTheme="majorBidi"/>
          <w:rtl/>
        </w:rPr>
        <w:footnoteReference w:id="15"/>
      </w:r>
      <w:r w:rsidRPr="00656E50">
        <w:rPr>
          <w:rFonts w:asciiTheme="majorBidi" w:hAnsiTheme="majorBidi"/>
          <w:rtl/>
        </w:rPr>
        <w:t xml:space="preserve"> </w:t>
      </w:r>
      <w:r>
        <w:rPr>
          <w:rFonts w:asciiTheme="majorBidi" w:hAnsiTheme="majorBidi" w:hint="cs"/>
          <w:rtl/>
        </w:rPr>
        <w:t>מהוות חריג</w:t>
      </w:r>
      <w:r w:rsidRPr="00656E50">
        <w:rPr>
          <w:rFonts w:asciiTheme="majorBidi" w:hAnsiTheme="majorBidi"/>
          <w:rtl/>
        </w:rPr>
        <w:t xml:space="preserve"> לכלל</w:t>
      </w:r>
      <w:r>
        <w:rPr>
          <w:rFonts w:asciiTheme="majorBidi" w:hAnsiTheme="majorBidi" w:hint="cs"/>
          <w:rtl/>
        </w:rPr>
        <w:t xml:space="preserve">, </w:t>
      </w:r>
      <w:r w:rsidR="00D249FE">
        <w:rPr>
          <w:rFonts w:asciiTheme="majorBidi" w:hAnsiTheme="majorBidi" w:hint="cs"/>
          <w:rtl/>
        </w:rPr>
        <w:t>ו</w:t>
      </w:r>
      <w:r>
        <w:rPr>
          <w:rFonts w:asciiTheme="majorBidi" w:hAnsiTheme="majorBidi" w:hint="cs"/>
          <w:rtl/>
        </w:rPr>
        <w:t xml:space="preserve">מאפשרות במקרים ובתנאים מסוימים להפקיע קרקע ורכוש פרטי. </w:t>
      </w:r>
      <w:r w:rsidRPr="00BF3B7D">
        <w:rPr>
          <w:u w:val="single"/>
        </w:rPr>
        <w:t>von Glahn</w:t>
      </w:r>
      <w:r w:rsidRPr="00BF3B7D">
        <w:rPr>
          <w:rFonts w:asciiTheme="majorBidi" w:hAnsiTheme="majorBidi" w:hint="cs"/>
          <w:u w:val="single"/>
          <w:rtl/>
        </w:rPr>
        <w:t xml:space="preserve"> סבר כי </w:t>
      </w:r>
      <w:r w:rsidRPr="00BF3B7D">
        <w:rPr>
          <w:rFonts w:asciiTheme="majorBidi" w:hAnsiTheme="majorBidi"/>
          <w:u w:val="single"/>
          <w:rtl/>
        </w:rPr>
        <w:t>למעצמ</w:t>
      </w:r>
      <w:r w:rsidRPr="00BF3B7D">
        <w:rPr>
          <w:rFonts w:asciiTheme="majorBidi" w:hAnsiTheme="majorBidi" w:hint="cs"/>
          <w:u w:val="single"/>
          <w:rtl/>
        </w:rPr>
        <w:t>ה</w:t>
      </w:r>
      <w:r w:rsidRPr="00BF3B7D">
        <w:rPr>
          <w:rFonts w:asciiTheme="majorBidi" w:hAnsiTheme="majorBidi"/>
          <w:u w:val="single"/>
          <w:rtl/>
        </w:rPr>
        <w:t xml:space="preserve"> הכובשת מותר להשתמש באופן זמני במבנים ושטחים כשהדבר ד</w:t>
      </w:r>
      <w:r w:rsidRPr="00BF3B7D">
        <w:rPr>
          <w:rFonts w:asciiTheme="majorBidi" w:hAnsiTheme="majorBidi" w:hint="cs"/>
          <w:u w:val="single"/>
          <w:rtl/>
        </w:rPr>
        <w:t>רו</w:t>
      </w:r>
      <w:r w:rsidRPr="00BF3B7D">
        <w:rPr>
          <w:rFonts w:asciiTheme="majorBidi" w:hAnsiTheme="majorBidi"/>
          <w:u w:val="single"/>
          <w:rtl/>
        </w:rPr>
        <w:t xml:space="preserve">ש בשל </w:t>
      </w:r>
      <w:r w:rsidRPr="00BF3B7D">
        <w:rPr>
          <w:rFonts w:asciiTheme="majorBidi" w:hAnsiTheme="majorBidi" w:hint="cs"/>
          <w:u w:val="single"/>
          <w:rtl/>
        </w:rPr>
        <w:t>צורך</w:t>
      </w:r>
      <w:r w:rsidRPr="00BF3B7D">
        <w:rPr>
          <w:rFonts w:asciiTheme="majorBidi" w:hAnsiTheme="majorBidi"/>
          <w:u w:val="single"/>
          <w:rtl/>
        </w:rPr>
        <w:t xml:space="preserve"> צבאי</w:t>
      </w:r>
      <w:r>
        <w:rPr>
          <w:rFonts w:asciiTheme="majorBidi" w:hAnsiTheme="majorBidi" w:hint="cs"/>
          <w:rtl/>
        </w:rPr>
        <w:t>.</w:t>
      </w:r>
      <w:r w:rsidRPr="00656E50">
        <w:rPr>
          <w:rStyle w:val="a6"/>
          <w:rFonts w:asciiTheme="majorBidi" w:hAnsiTheme="majorBidi"/>
          <w:rtl/>
        </w:rPr>
        <w:footnoteReference w:id="16"/>
      </w:r>
      <w:r w:rsidRPr="00400A02">
        <w:rPr>
          <w:rFonts w:asciiTheme="majorBidi" w:hAnsiTheme="majorBidi" w:hint="cs"/>
          <w:rtl/>
        </w:rPr>
        <w:t xml:space="preserve"> </w:t>
      </w:r>
    </w:p>
    <w:p w:rsidR="00E34EF1" w:rsidRDefault="00E34EF1" w:rsidP="004C5E13">
      <w:pPr>
        <w:pStyle w:val="a3"/>
        <w:numPr>
          <w:ilvl w:val="0"/>
          <w:numId w:val="1"/>
        </w:numPr>
        <w:bidi/>
        <w:spacing w:before="120" w:after="120" w:line="360" w:lineRule="auto"/>
        <w:ind w:left="425" w:hanging="357"/>
        <w:contextualSpacing w:val="0"/>
        <w:rPr>
          <w:rFonts w:asciiTheme="majorBidi" w:hAnsiTheme="majorBidi"/>
        </w:rPr>
      </w:pPr>
      <w:r>
        <w:rPr>
          <w:rFonts w:asciiTheme="majorBidi" w:hAnsiTheme="majorBidi" w:hint="cs"/>
          <w:rtl/>
        </w:rPr>
        <w:t xml:space="preserve">המלומד </w:t>
      </w:r>
      <w:r w:rsidRPr="00656E50">
        <w:rPr>
          <w:rFonts w:cs="FrankRuehl"/>
        </w:rPr>
        <w:t>Schwarzenberger</w:t>
      </w:r>
      <w:r>
        <w:rPr>
          <w:rFonts w:asciiTheme="majorBidi" w:hAnsiTheme="majorBidi" w:hint="cs"/>
          <w:rtl/>
        </w:rPr>
        <w:t xml:space="preserve"> הביע בספרו דעה דומה לזו של </w:t>
      </w:r>
      <w:r>
        <w:t>von Glahn</w:t>
      </w:r>
      <w:r>
        <w:rPr>
          <w:rFonts w:asciiTheme="majorBidi" w:hAnsiTheme="majorBidi" w:hint="cs"/>
          <w:rtl/>
        </w:rPr>
        <w:t xml:space="preserve"> לפיה תקנה 46 לתקנות האג מהווה </w:t>
      </w:r>
      <w:r w:rsidRPr="005A0A92">
        <w:rPr>
          <w:rFonts w:asciiTheme="majorBidi" w:hAnsiTheme="majorBidi" w:hint="cs"/>
          <w:rtl/>
        </w:rPr>
        <w:t>תקנת מסגרת</w:t>
      </w:r>
      <w:r>
        <w:rPr>
          <w:rFonts w:asciiTheme="majorBidi" w:hAnsiTheme="majorBidi" w:hint="cs"/>
          <w:rtl/>
        </w:rPr>
        <w:t>,</w:t>
      </w:r>
      <w:r w:rsidRPr="005A0A92">
        <w:rPr>
          <w:rFonts w:asciiTheme="majorBidi" w:hAnsiTheme="majorBidi" w:hint="cs"/>
          <w:rtl/>
        </w:rPr>
        <w:t xml:space="preserve"> המכילה בתוכה איסור כללי על</w:t>
      </w:r>
      <w:r>
        <w:rPr>
          <w:rFonts w:asciiTheme="majorBidi" w:hAnsiTheme="majorBidi" w:hint="cs"/>
          <w:rtl/>
        </w:rPr>
        <w:t xml:space="preserve"> פגיעה בזכות ה</w:t>
      </w:r>
      <w:r w:rsidRPr="004C70A0">
        <w:rPr>
          <w:rFonts w:asciiTheme="majorBidi" w:hAnsiTheme="majorBidi" w:hint="cs"/>
          <w:rtl/>
        </w:rPr>
        <w:t xml:space="preserve">קניין וברכוש </w:t>
      </w:r>
      <w:r>
        <w:rPr>
          <w:rFonts w:asciiTheme="majorBidi" w:hAnsiTheme="majorBidi" w:hint="cs"/>
          <w:rtl/>
        </w:rPr>
        <w:t>ה</w:t>
      </w:r>
      <w:r w:rsidRPr="004C70A0">
        <w:rPr>
          <w:rFonts w:asciiTheme="majorBidi" w:hAnsiTheme="majorBidi" w:hint="cs"/>
          <w:rtl/>
        </w:rPr>
        <w:t>פרטי</w:t>
      </w:r>
      <w:r>
        <w:rPr>
          <w:rFonts w:asciiTheme="majorBidi" w:hAnsiTheme="majorBidi" w:hint="cs"/>
          <w:rtl/>
        </w:rPr>
        <w:t xml:space="preserve"> על ידי המעצמה הכובשת</w:t>
      </w:r>
      <w:r w:rsidRPr="004C70A0">
        <w:rPr>
          <w:rFonts w:asciiTheme="majorBidi" w:hAnsiTheme="majorBidi" w:hint="cs"/>
          <w:rtl/>
        </w:rPr>
        <w:t xml:space="preserve">. </w:t>
      </w:r>
      <w:r>
        <w:rPr>
          <w:rFonts w:asciiTheme="majorBidi" w:hAnsiTheme="majorBidi" w:hint="cs"/>
          <w:rtl/>
        </w:rPr>
        <w:t>לטענתו, יש לקרוא את תקנה 46 לתקנות האג בצמוד לתקנות המופיעות אחריה והמהוות את החריג לכלל המעוגן בתקנה 46 לתקנות האג</w:t>
      </w:r>
      <w:r w:rsidRPr="004C70A0">
        <w:rPr>
          <w:rFonts w:asciiTheme="majorBidi" w:hAnsiTheme="majorBidi" w:hint="cs"/>
          <w:rtl/>
        </w:rPr>
        <w:t>.</w:t>
      </w:r>
      <w:r w:rsidRPr="00656E50">
        <w:rPr>
          <w:rFonts w:asciiTheme="majorBidi" w:hAnsiTheme="majorBidi"/>
          <w:rtl/>
        </w:rPr>
        <w:t xml:space="preserve"> </w:t>
      </w:r>
      <w:r>
        <w:rPr>
          <w:rFonts w:asciiTheme="majorBidi" w:hAnsiTheme="majorBidi" w:hint="cs"/>
          <w:rtl/>
        </w:rPr>
        <w:t>לפי</w:t>
      </w:r>
      <w:r w:rsidRPr="004C70A0">
        <w:rPr>
          <w:rFonts w:asciiTheme="majorBidi" w:hAnsiTheme="majorBidi" w:hint="cs"/>
          <w:rtl/>
        </w:rPr>
        <w:t xml:space="preserve"> </w:t>
      </w:r>
      <w:r w:rsidRPr="00656E50">
        <w:rPr>
          <w:rFonts w:cs="FrankRuehl"/>
        </w:rPr>
        <w:t>Schwarzenberger</w:t>
      </w:r>
      <w:r>
        <w:rPr>
          <w:rFonts w:asciiTheme="majorBidi" w:hAnsiTheme="majorBidi" w:hint="cs"/>
          <w:rtl/>
        </w:rPr>
        <w:t xml:space="preserve">, החריגים אשר בהתקיימם ניתן לסטות מן החובה לכבד רכוש פרטי מופיעים בתקנות 52 ו- 53 לתקנות האג. </w:t>
      </w:r>
      <w:r w:rsidRPr="00BF3B7D">
        <w:rPr>
          <w:rFonts w:cs="FrankRuehl"/>
          <w:u w:val="single"/>
        </w:rPr>
        <w:t>Schwarzenberger</w:t>
      </w:r>
      <w:r w:rsidRPr="00BF3B7D">
        <w:rPr>
          <w:rFonts w:asciiTheme="majorBidi" w:hAnsiTheme="majorBidi" w:hint="cs"/>
          <w:u w:val="single"/>
          <w:rtl/>
        </w:rPr>
        <w:t xml:space="preserve"> הדגיש כי על-מנת שהפקעה תהיה חוקית בהתאם לתקנות האג,</w:t>
      </w:r>
      <w:r w:rsidRPr="00BF3B7D">
        <w:rPr>
          <w:rFonts w:asciiTheme="majorBidi" w:hAnsiTheme="majorBidi"/>
          <w:u w:val="single"/>
          <w:rtl/>
        </w:rPr>
        <w:t xml:space="preserve"> </w:t>
      </w:r>
      <w:r w:rsidRPr="00BF3B7D">
        <w:rPr>
          <w:rFonts w:asciiTheme="majorBidi" w:hAnsiTheme="majorBidi" w:hint="cs"/>
          <w:u w:val="single"/>
          <w:rtl/>
        </w:rPr>
        <w:t>עליה להיות בהתאם לתקנה 52 לתקנות האג, דהיינו במקרה של צורך צבאי</w:t>
      </w:r>
      <w:r>
        <w:rPr>
          <w:rFonts w:asciiTheme="majorBidi" w:hAnsiTheme="majorBidi" w:hint="cs"/>
          <w:rtl/>
        </w:rPr>
        <w:t>.</w:t>
      </w:r>
      <w:r>
        <w:rPr>
          <w:rStyle w:val="a6"/>
          <w:rFonts w:asciiTheme="majorBidi" w:hAnsiTheme="majorBidi"/>
          <w:rtl/>
        </w:rPr>
        <w:footnoteReference w:id="17"/>
      </w:r>
      <w:r>
        <w:rPr>
          <w:rFonts w:asciiTheme="majorBidi" w:hAnsiTheme="majorBidi" w:hint="cs"/>
          <w:rtl/>
        </w:rPr>
        <w:t xml:space="preserve"> </w:t>
      </w:r>
    </w:p>
    <w:p w:rsidR="00E34EF1" w:rsidRPr="00A305BA" w:rsidRDefault="00E34EF1" w:rsidP="004C5E13">
      <w:pPr>
        <w:pStyle w:val="a3"/>
        <w:numPr>
          <w:ilvl w:val="0"/>
          <w:numId w:val="18"/>
        </w:numPr>
        <w:bidi/>
        <w:spacing w:before="120" w:after="120" w:line="360" w:lineRule="auto"/>
        <w:ind w:left="363" w:hanging="357"/>
        <w:contextualSpacing w:val="0"/>
        <w:rPr>
          <w:b/>
          <w:bCs/>
          <w:u w:val="single"/>
          <w:rtl/>
        </w:rPr>
      </w:pPr>
      <w:r w:rsidRPr="00A305BA">
        <w:rPr>
          <w:b/>
          <w:bCs/>
          <w:u w:val="single"/>
          <w:rtl/>
        </w:rPr>
        <w:t>פרשנות המ</w:t>
      </w:r>
      <w:r w:rsidRPr="00A305BA">
        <w:rPr>
          <w:rFonts w:hint="cs"/>
          <w:b/>
          <w:bCs/>
          <w:u w:val="single"/>
          <w:rtl/>
        </w:rPr>
        <w:t>ונח</w:t>
      </w:r>
      <w:r w:rsidRPr="00A305BA">
        <w:rPr>
          <w:b/>
          <w:bCs/>
          <w:u w:val="single"/>
          <w:rtl/>
        </w:rPr>
        <w:t xml:space="preserve"> </w:t>
      </w:r>
      <w:r w:rsidRPr="00A305BA">
        <w:rPr>
          <w:rFonts w:asciiTheme="majorBidi" w:hAnsiTheme="majorBidi"/>
          <w:b/>
          <w:bCs/>
          <w:u w:val="single"/>
        </w:rPr>
        <w:t>Confiscation</w:t>
      </w:r>
    </w:p>
    <w:p w:rsidR="00E34EF1" w:rsidRPr="0057240C" w:rsidRDefault="00E34EF1" w:rsidP="004C5E13">
      <w:pPr>
        <w:pStyle w:val="a3"/>
        <w:numPr>
          <w:ilvl w:val="0"/>
          <w:numId w:val="1"/>
        </w:numPr>
        <w:bidi/>
        <w:spacing w:before="120" w:after="120" w:line="360" w:lineRule="auto"/>
        <w:ind w:left="425" w:hanging="357"/>
        <w:contextualSpacing w:val="0"/>
        <w:rPr>
          <w:rFonts w:asciiTheme="majorBidi" w:hAnsiTheme="majorBidi"/>
        </w:rPr>
      </w:pPr>
      <w:r>
        <w:rPr>
          <w:rFonts w:asciiTheme="majorBidi" w:hAnsiTheme="majorBidi" w:hint="cs"/>
          <w:rtl/>
        </w:rPr>
        <w:t xml:space="preserve">בחלק זה של המזכר נסקור את ההתייחסות בטריבונלים בין-לאומיים ובספרות האקדמית למונח </w:t>
      </w:r>
      <w:r>
        <w:rPr>
          <w:rFonts w:asciiTheme="majorBidi" w:hAnsiTheme="majorBidi"/>
        </w:rPr>
        <w:t>c</w:t>
      </w:r>
      <w:r w:rsidRPr="0057240C">
        <w:rPr>
          <w:rFonts w:asciiTheme="majorBidi" w:hAnsiTheme="majorBidi"/>
        </w:rPr>
        <w:t>onfiscat</w:t>
      </w:r>
      <w:r>
        <w:rPr>
          <w:rFonts w:asciiTheme="majorBidi" w:hAnsiTheme="majorBidi"/>
        </w:rPr>
        <w:t>ion</w:t>
      </w:r>
      <w:r>
        <w:rPr>
          <w:rFonts w:asciiTheme="majorBidi" w:hAnsiTheme="majorBidi" w:hint="cs"/>
          <w:rtl/>
        </w:rPr>
        <w:t xml:space="preserve"> המופיע בתקנה 46 לתקנות האג.  </w:t>
      </w:r>
    </w:p>
    <w:p w:rsidR="00E34EF1" w:rsidRPr="00660642" w:rsidRDefault="00E34EF1" w:rsidP="004C5E13">
      <w:pPr>
        <w:pStyle w:val="a3"/>
        <w:numPr>
          <w:ilvl w:val="0"/>
          <w:numId w:val="1"/>
        </w:numPr>
        <w:bidi/>
        <w:spacing w:before="120" w:after="120" w:line="360" w:lineRule="auto"/>
        <w:ind w:left="425" w:hanging="357"/>
        <w:contextualSpacing w:val="0"/>
        <w:rPr>
          <w:rFonts w:asciiTheme="majorBidi" w:hAnsiTheme="majorBidi"/>
        </w:rPr>
      </w:pPr>
      <w:r w:rsidRPr="00BF3B7D">
        <w:rPr>
          <w:rFonts w:asciiTheme="majorBidi" w:hAnsiTheme="majorBidi" w:hint="cs"/>
          <w:rtl/>
        </w:rPr>
        <w:t>ב</w:t>
      </w:r>
      <w:r w:rsidRPr="00BF3B7D">
        <w:rPr>
          <w:rFonts w:asciiTheme="majorBidi" w:hAnsiTheme="majorBidi"/>
          <w:rtl/>
        </w:rPr>
        <w:t>משפטי פושעי המלחמה בפני בתי הדין הצבאיים בנירנברג לאחר מלחמת העולם השנייה התקיימו מספר דיונים לגבי התנאים בהם תתקיים הפרה של תקנה 46 לתקנות האג. נציין כי די</w:t>
      </w:r>
      <w:r>
        <w:rPr>
          <w:rFonts w:hint="cs"/>
          <w:rtl/>
        </w:rPr>
        <w:t xml:space="preserve">ונים אלה עסקו לרוב גם באיסור על ביזה המצוי בתקנה 47 לתקנות האג, אך נראה כי ניתן להסיק מפסקי דין אלו את האופן בו פירשו הטריבונלים את היקף הסעיפים ואת תחולתם. </w:t>
      </w:r>
    </w:p>
    <w:p w:rsidR="00E34EF1" w:rsidRPr="00660642" w:rsidRDefault="00E34EF1" w:rsidP="004C5E13">
      <w:pPr>
        <w:pStyle w:val="a3"/>
        <w:numPr>
          <w:ilvl w:val="0"/>
          <w:numId w:val="1"/>
        </w:numPr>
        <w:bidi/>
        <w:spacing w:before="120" w:after="120" w:line="360" w:lineRule="auto"/>
        <w:ind w:left="425" w:hanging="357"/>
        <w:contextualSpacing w:val="0"/>
        <w:rPr>
          <w:rFonts w:asciiTheme="majorBidi" w:hAnsiTheme="majorBidi"/>
        </w:rPr>
      </w:pPr>
      <w:r w:rsidRPr="00660642">
        <w:rPr>
          <w:rFonts w:asciiTheme="majorBidi" w:hAnsiTheme="majorBidi" w:hint="cs"/>
          <w:b/>
          <w:bCs/>
          <w:rtl/>
        </w:rPr>
        <w:t>בעניין</w:t>
      </w:r>
      <w:r w:rsidRPr="00660642">
        <w:rPr>
          <w:rFonts w:asciiTheme="majorBidi" w:hAnsiTheme="majorBidi"/>
          <w:b/>
          <w:bCs/>
          <w:rtl/>
        </w:rPr>
        <w:t xml:space="preserve"> </w:t>
      </w:r>
      <w:r w:rsidRPr="00660642">
        <w:rPr>
          <w:rFonts w:asciiTheme="majorBidi" w:hAnsiTheme="majorBidi"/>
          <w:b/>
          <w:bCs/>
        </w:rPr>
        <w:t>Krupp</w:t>
      </w:r>
      <w:r w:rsidRPr="00660642">
        <w:rPr>
          <w:rFonts w:asciiTheme="majorBidi" w:hAnsiTheme="majorBidi" w:hint="cs"/>
          <w:b/>
          <w:bCs/>
          <w:rtl/>
        </w:rPr>
        <w:t>,</w:t>
      </w:r>
      <w:r w:rsidRPr="00656E50">
        <w:rPr>
          <w:rStyle w:val="a6"/>
          <w:rFonts w:asciiTheme="majorBidi" w:hAnsiTheme="majorBidi"/>
          <w:rtl/>
        </w:rPr>
        <w:footnoteReference w:id="18"/>
      </w:r>
      <w:r w:rsidRPr="00660642">
        <w:rPr>
          <w:rFonts w:asciiTheme="majorBidi" w:hAnsiTheme="majorBidi"/>
          <w:rtl/>
        </w:rPr>
        <w:t xml:space="preserve"> </w:t>
      </w:r>
      <w:r w:rsidRPr="00660642">
        <w:rPr>
          <w:rFonts w:asciiTheme="majorBidi" w:hAnsiTheme="majorBidi" w:hint="cs"/>
          <w:rtl/>
        </w:rPr>
        <w:t xml:space="preserve">הטריבונל בנירנברג קבע כי </w:t>
      </w:r>
      <w:r w:rsidRPr="00660642">
        <w:rPr>
          <w:rFonts w:asciiTheme="majorBidi" w:hAnsiTheme="majorBidi"/>
          <w:rtl/>
        </w:rPr>
        <w:t xml:space="preserve">הפרה של תקנה </w:t>
      </w:r>
      <w:r w:rsidRPr="00660642">
        <w:rPr>
          <w:rFonts w:asciiTheme="majorBidi" w:hAnsiTheme="majorBidi" w:hint="cs"/>
          <w:rtl/>
        </w:rPr>
        <w:t>46 לתקנות האג</w:t>
      </w:r>
      <w:r w:rsidRPr="00660642">
        <w:rPr>
          <w:rFonts w:asciiTheme="majorBidi" w:hAnsiTheme="majorBidi"/>
          <w:rtl/>
        </w:rPr>
        <w:t xml:space="preserve"> תתרחש בכל מקרה בו </w:t>
      </w:r>
      <w:r w:rsidRPr="00660642">
        <w:rPr>
          <w:rFonts w:asciiTheme="majorBidi" w:hAnsiTheme="majorBidi" w:hint="cs"/>
          <w:rtl/>
        </w:rPr>
        <w:t>הכוח הכובש מנע מהבעלים</w:t>
      </w:r>
      <w:r w:rsidRPr="00660642">
        <w:rPr>
          <w:rFonts w:asciiTheme="majorBidi" w:hAnsiTheme="majorBidi"/>
          <w:rtl/>
        </w:rPr>
        <w:t xml:space="preserve"> לממש את זכויותיו החוקיות בשטח. </w:t>
      </w:r>
      <w:r>
        <w:rPr>
          <w:rFonts w:asciiTheme="majorBidi" w:hAnsiTheme="majorBidi" w:hint="cs"/>
          <w:rtl/>
        </w:rPr>
        <w:t xml:space="preserve">ראוי לציין כי </w:t>
      </w:r>
      <w:r>
        <w:rPr>
          <w:rFonts w:asciiTheme="majorBidi" w:hAnsiTheme="majorBidi" w:hint="cs"/>
          <w:rtl/>
        </w:rPr>
        <w:lastRenderedPageBreak/>
        <w:t>הטריבונל התייחס ל</w:t>
      </w:r>
      <w:r w:rsidRPr="00660642">
        <w:rPr>
          <w:rFonts w:asciiTheme="majorBidi" w:hAnsiTheme="majorBidi" w:hint="cs"/>
          <w:rtl/>
        </w:rPr>
        <w:t>עובדה ש</w:t>
      </w:r>
      <w:r>
        <w:rPr>
          <w:rFonts w:asciiTheme="majorBidi" w:hAnsiTheme="majorBidi" w:hint="cs"/>
          <w:rtl/>
        </w:rPr>
        <w:t>ישנם</w:t>
      </w:r>
      <w:r w:rsidRPr="00660642">
        <w:rPr>
          <w:rFonts w:asciiTheme="majorBidi" w:hAnsiTheme="majorBidi" w:hint="cs"/>
          <w:rtl/>
        </w:rPr>
        <w:t xml:space="preserve"> מספר מונחים </w:t>
      </w:r>
      <w:r>
        <w:rPr>
          <w:rFonts w:asciiTheme="majorBidi" w:hAnsiTheme="majorBidi" w:hint="cs"/>
          <w:rtl/>
        </w:rPr>
        <w:t xml:space="preserve">שונים </w:t>
      </w:r>
      <w:r w:rsidRPr="00660642">
        <w:rPr>
          <w:rFonts w:asciiTheme="majorBidi" w:hAnsiTheme="majorBidi" w:hint="cs"/>
          <w:rtl/>
        </w:rPr>
        <w:t>להם משמעות דומה בהקשר זה</w:t>
      </w:r>
      <w:r>
        <w:rPr>
          <w:rFonts w:asciiTheme="majorBidi" w:hAnsiTheme="majorBidi" w:hint="cs"/>
          <w:rtl/>
        </w:rPr>
        <w:t xml:space="preserve">, ואף עשה שימוש במונח </w:t>
      </w:r>
      <w:r>
        <w:rPr>
          <w:rFonts w:asciiTheme="majorBidi" w:hAnsiTheme="majorBidi"/>
        </w:rPr>
        <w:t>appropriation</w:t>
      </w:r>
      <w:r>
        <w:rPr>
          <w:rFonts w:asciiTheme="majorBidi" w:hAnsiTheme="majorBidi" w:hint="cs"/>
          <w:rtl/>
        </w:rPr>
        <w:t xml:space="preserve">, תוך שהוא </w:t>
      </w:r>
      <w:r>
        <w:rPr>
          <w:rFonts w:hint="cs"/>
          <w:rtl/>
        </w:rPr>
        <w:t>מסתמך</w:t>
      </w:r>
      <w:r>
        <w:rPr>
          <w:rFonts w:asciiTheme="majorBidi" w:hAnsiTheme="majorBidi" w:hint="cs"/>
          <w:rtl/>
        </w:rPr>
        <w:t xml:space="preserve"> ומפנה לתקנה 46 לתקנות האג:</w:t>
      </w:r>
      <w:r w:rsidRPr="00656E50">
        <w:rPr>
          <w:rStyle w:val="a6"/>
          <w:rFonts w:asciiTheme="majorBidi" w:hAnsiTheme="majorBidi"/>
          <w:rtl/>
        </w:rPr>
        <w:footnoteReference w:id="19"/>
      </w:r>
      <w:r w:rsidRPr="00660642">
        <w:rPr>
          <w:rFonts w:asciiTheme="majorBidi" w:hAnsiTheme="majorBidi"/>
        </w:rPr>
        <w:t xml:space="preserve"> </w:t>
      </w:r>
    </w:p>
    <w:p w:rsidR="00E34EF1" w:rsidRDefault="00E34EF1" w:rsidP="004C5E13">
      <w:pPr>
        <w:spacing w:before="120" w:after="120"/>
        <w:ind w:left="284" w:right="651"/>
        <w:rPr>
          <w:rFonts w:asciiTheme="majorBidi" w:hAnsiTheme="majorBidi"/>
        </w:rPr>
      </w:pPr>
      <w:r>
        <w:rPr>
          <w:rFonts w:asciiTheme="majorBidi" w:hAnsiTheme="majorBidi"/>
        </w:rPr>
        <w:t>"</w:t>
      </w:r>
      <w:r w:rsidRPr="00656E50">
        <w:rPr>
          <w:rFonts w:asciiTheme="majorBidi" w:hAnsiTheme="majorBidi"/>
        </w:rPr>
        <w:t xml:space="preserve">Immovable private enemy property may under no circumstances or conditions be </w:t>
      </w:r>
      <w:r w:rsidRPr="004C5E13">
        <w:rPr>
          <w:rFonts w:asciiTheme="majorBidi" w:hAnsiTheme="majorBidi"/>
          <w:b/>
          <w:bCs/>
        </w:rPr>
        <w:t>appropriated</w:t>
      </w:r>
      <w:r w:rsidRPr="00656E50">
        <w:rPr>
          <w:rFonts w:asciiTheme="majorBidi" w:hAnsiTheme="majorBidi"/>
        </w:rPr>
        <w:t xml:space="preserve"> by an invading belligerent. Should he </w:t>
      </w:r>
      <w:r w:rsidRPr="004C5E13">
        <w:rPr>
          <w:rFonts w:asciiTheme="majorBidi" w:hAnsiTheme="majorBidi"/>
          <w:b/>
          <w:bCs/>
        </w:rPr>
        <w:t>confiscate</w:t>
      </w:r>
      <w:r w:rsidRPr="00656E50">
        <w:rPr>
          <w:rFonts w:asciiTheme="majorBidi" w:hAnsiTheme="majorBidi"/>
        </w:rPr>
        <w:t xml:space="preserve"> and sell private land or buildings the buyer would acquire no rights whatsoever to the property.</w:t>
      </w:r>
      <w:r>
        <w:rPr>
          <w:rFonts w:asciiTheme="majorBidi" w:hAnsiTheme="majorBidi"/>
        </w:rPr>
        <w:t>"</w:t>
      </w:r>
      <w:r w:rsidRPr="00656E50">
        <w:rPr>
          <w:rFonts w:asciiTheme="majorBidi" w:hAnsiTheme="majorBidi"/>
        </w:rPr>
        <w:t xml:space="preserve"> </w:t>
      </w:r>
      <w:r>
        <w:rPr>
          <w:rFonts w:asciiTheme="majorBidi" w:hAnsiTheme="majorBidi"/>
        </w:rPr>
        <w:t>(</w:t>
      </w:r>
      <w:r>
        <w:rPr>
          <w:rFonts w:asciiTheme="majorBidi" w:hAnsiTheme="majorBidi" w:hint="cs"/>
          <w:rtl/>
        </w:rPr>
        <w:t>ההדגשה הוספה</w:t>
      </w:r>
      <w:r>
        <w:rPr>
          <w:rFonts w:asciiTheme="majorBidi" w:hAnsiTheme="majorBidi"/>
        </w:rPr>
        <w:t>)</w:t>
      </w:r>
    </w:p>
    <w:p w:rsidR="00E34EF1" w:rsidRDefault="00E34EF1" w:rsidP="004C5E13">
      <w:pPr>
        <w:pStyle w:val="a3"/>
        <w:numPr>
          <w:ilvl w:val="0"/>
          <w:numId w:val="1"/>
        </w:numPr>
        <w:bidi/>
        <w:spacing w:before="120" w:after="120" w:line="360" w:lineRule="auto"/>
        <w:ind w:left="425" w:hanging="357"/>
        <w:contextualSpacing w:val="0"/>
        <w:rPr>
          <w:rFonts w:eastAsiaTheme="minorHAnsi" w:cs="Times New Roman"/>
        </w:rPr>
      </w:pPr>
      <w:r>
        <w:rPr>
          <w:rFonts w:hint="cs"/>
          <w:rtl/>
        </w:rPr>
        <w:t xml:space="preserve">בדומה לכתבי המלומדים שהוזכרו לעיל </w:t>
      </w:r>
      <w:r w:rsidRPr="004C5E13">
        <w:rPr>
          <w:rFonts w:hint="cs"/>
          <w:rtl/>
        </w:rPr>
        <w:t>(אשר נכתבו לאחר מתן פסק הדין),</w:t>
      </w:r>
      <w:r>
        <w:rPr>
          <w:rFonts w:hint="cs"/>
          <w:rtl/>
        </w:rPr>
        <w:t xml:space="preserve"> </w:t>
      </w:r>
      <w:r>
        <w:rPr>
          <w:rFonts w:asciiTheme="majorBidi" w:hAnsiTheme="majorBidi" w:hint="cs"/>
          <w:rtl/>
        </w:rPr>
        <w:t>הטריבונל פירש גם הוא את תקנה 46 לאורם של הסייגים לאיסור המצויים ביתר התקנות (תקנה 52 ותקנה 53).</w:t>
      </w:r>
      <w:r>
        <w:rPr>
          <w:rStyle w:val="a6"/>
          <w:rFonts w:asciiTheme="majorBidi" w:hAnsiTheme="majorBidi"/>
          <w:rtl/>
        </w:rPr>
        <w:footnoteReference w:id="20"/>
      </w:r>
      <w:r>
        <w:rPr>
          <w:rFonts w:asciiTheme="majorBidi" w:hAnsiTheme="majorBidi"/>
          <w:rtl/>
        </w:rPr>
        <w:t xml:space="preserve"> </w:t>
      </w:r>
      <w:r>
        <w:rPr>
          <w:rFonts w:asciiTheme="majorBidi" w:hAnsiTheme="majorBidi" w:hint="cs"/>
          <w:rtl/>
        </w:rPr>
        <w:t>הטריבונל ביקש להבחין בין החרמה (</w:t>
      </w:r>
      <w:r>
        <w:rPr>
          <w:rFonts w:asciiTheme="majorBidi" w:hAnsiTheme="majorBidi"/>
        </w:rPr>
        <w:t>confiscation</w:t>
      </w:r>
      <w:r>
        <w:rPr>
          <w:rFonts w:asciiTheme="majorBidi" w:hAnsiTheme="majorBidi" w:hint="cs"/>
          <w:rtl/>
        </w:rPr>
        <w:t>), שהינה אסורה, לשימוש זמני בקרקע או ברכוש הפרטי לצרכים צבאיים, בציינו:</w:t>
      </w:r>
      <w:r>
        <w:rPr>
          <w:rFonts w:eastAsiaTheme="minorHAnsi" w:cs="Times New Roman"/>
          <w:rtl/>
        </w:rPr>
        <w:t xml:space="preserve"> </w:t>
      </w:r>
    </w:p>
    <w:p w:rsidR="00E34EF1" w:rsidRDefault="00E34EF1" w:rsidP="004C5E13">
      <w:pPr>
        <w:spacing w:before="120" w:after="120"/>
        <w:ind w:left="284" w:right="651"/>
        <w:rPr>
          <w:rFonts w:asciiTheme="majorBidi" w:hAnsiTheme="majorBidi"/>
        </w:rPr>
      </w:pPr>
      <w:r w:rsidRPr="00656E50">
        <w:rPr>
          <w:rFonts w:asciiTheme="majorBidi" w:hAnsiTheme="majorBidi"/>
        </w:rPr>
        <w:t>"</w:t>
      </w:r>
      <w:r w:rsidRPr="004C5E13">
        <w:rPr>
          <w:rFonts w:asciiTheme="majorBidi" w:hAnsiTheme="majorBidi"/>
          <w:b/>
          <w:bCs/>
        </w:rPr>
        <w:t>Article 46 of the Hague Convention expressly enacts that 'private property' may not be confiscated, but confiscation differs from the temporary use of private land and buildings for all kinds of purposes demanded by the necessities of war</w:t>
      </w:r>
      <w:r w:rsidRPr="00656E50">
        <w:rPr>
          <w:rFonts w:asciiTheme="majorBidi" w:hAnsiTheme="majorBidi"/>
        </w:rPr>
        <w:t>.</w:t>
      </w:r>
      <w:r>
        <w:rPr>
          <w:rFonts w:asciiTheme="majorBidi" w:hAnsiTheme="majorBidi"/>
        </w:rPr>
        <w:t xml:space="preserve"> </w:t>
      </w:r>
      <w:r w:rsidRPr="00656E50">
        <w:rPr>
          <w:rFonts w:asciiTheme="majorBidi" w:hAnsiTheme="majorBidi"/>
        </w:rPr>
        <w:t xml:space="preserve">Private personal property which does not consist of war material or means of transport serviceable for military operations may not, as a rule, be </w:t>
      </w:r>
      <w:r w:rsidRPr="004C5E13">
        <w:rPr>
          <w:rFonts w:asciiTheme="majorBidi" w:hAnsiTheme="majorBidi"/>
          <w:b/>
          <w:bCs/>
        </w:rPr>
        <w:t>seized</w:t>
      </w:r>
      <w:r w:rsidRPr="00656E50">
        <w:rPr>
          <w:rFonts w:asciiTheme="majorBidi" w:hAnsiTheme="majorBidi"/>
        </w:rPr>
        <w:t xml:space="preserve">. Article 46 and 47 of the Hague Regulations expressly stipulate that 'private property may not be </w:t>
      </w:r>
      <w:r w:rsidRPr="004C5E13">
        <w:rPr>
          <w:rFonts w:asciiTheme="majorBidi" w:hAnsiTheme="majorBidi"/>
          <w:b/>
          <w:bCs/>
        </w:rPr>
        <w:t>confiscated</w:t>
      </w:r>
      <w:r w:rsidRPr="004C5E13">
        <w:rPr>
          <w:rFonts w:asciiTheme="majorBidi" w:hAnsiTheme="majorBidi"/>
        </w:rPr>
        <w:t>'</w:t>
      </w:r>
      <w:r w:rsidRPr="00656E50">
        <w:rPr>
          <w:rFonts w:asciiTheme="majorBidi" w:hAnsiTheme="majorBidi"/>
        </w:rPr>
        <w:t xml:space="preserve"> and </w:t>
      </w:r>
      <w:r w:rsidRPr="004C5E13">
        <w:rPr>
          <w:rFonts w:asciiTheme="majorBidi" w:hAnsiTheme="majorBidi"/>
        </w:rPr>
        <w:t>'</w:t>
      </w:r>
      <w:r w:rsidRPr="004C5E13">
        <w:rPr>
          <w:rFonts w:asciiTheme="majorBidi" w:hAnsiTheme="majorBidi"/>
          <w:b/>
          <w:bCs/>
        </w:rPr>
        <w:t>pillage</w:t>
      </w:r>
      <w:r w:rsidRPr="00656E50">
        <w:rPr>
          <w:rFonts w:asciiTheme="majorBidi" w:hAnsiTheme="majorBidi"/>
        </w:rPr>
        <w:t xml:space="preserve"> is formally prohibited'. But it must be emphasized that these rules have, in a sense, exceptions demanded and justified by the necessities of war……</w:t>
      </w:r>
      <w:r w:rsidRPr="004C5E13">
        <w:rPr>
          <w:rFonts w:asciiTheme="majorBidi" w:hAnsiTheme="majorBidi"/>
          <w:b/>
          <w:bCs/>
        </w:rPr>
        <w:t>Spoliation</w:t>
      </w:r>
      <w:r w:rsidRPr="00656E50">
        <w:rPr>
          <w:rFonts w:asciiTheme="majorBidi" w:hAnsiTheme="majorBidi"/>
        </w:rPr>
        <w:t xml:space="preserve"> of private property, then, is forbidden under two aspects: firstly, the individual private owner of property must not be deprived of it; secondly, the economic substance of the belligerently occupied territory must not be taken over by the occupant or put to the service of his war effort—always with the proviso that there are exemptions from this rule which are strictly limited to the needs of the army of occupation insofar as such needs do not exceed the economic strength of the occupied territory.</w:t>
      </w:r>
      <w:r>
        <w:rPr>
          <w:rFonts w:asciiTheme="majorBidi" w:hAnsiTheme="majorBidi"/>
        </w:rPr>
        <w:t>"</w:t>
      </w:r>
      <w:r w:rsidRPr="00656E50">
        <w:rPr>
          <w:rStyle w:val="a6"/>
          <w:rFonts w:asciiTheme="majorBidi" w:hAnsiTheme="majorBidi"/>
        </w:rPr>
        <w:footnoteReference w:id="21"/>
      </w:r>
      <w:r>
        <w:rPr>
          <w:rFonts w:asciiTheme="majorBidi" w:hAnsiTheme="majorBidi"/>
        </w:rPr>
        <w:t xml:space="preserve"> </w:t>
      </w:r>
      <w:r>
        <w:rPr>
          <w:rFonts w:hint="cs"/>
          <w:rtl/>
        </w:rPr>
        <w:t>(ההדגשה הוספה)</w:t>
      </w:r>
    </w:p>
    <w:p w:rsidR="00E34EF1" w:rsidRPr="00656E50" w:rsidRDefault="00E34EF1" w:rsidP="004C5E13">
      <w:pPr>
        <w:pStyle w:val="a3"/>
        <w:numPr>
          <w:ilvl w:val="0"/>
          <w:numId w:val="1"/>
        </w:numPr>
        <w:bidi/>
        <w:spacing w:before="120" w:after="120" w:line="360" w:lineRule="auto"/>
        <w:ind w:left="425" w:hanging="357"/>
        <w:contextualSpacing w:val="0"/>
        <w:rPr>
          <w:rFonts w:asciiTheme="majorBidi" w:hAnsiTheme="majorBidi"/>
        </w:rPr>
      </w:pPr>
      <w:r w:rsidRPr="00656E50">
        <w:rPr>
          <w:rFonts w:asciiTheme="majorBidi" w:hAnsiTheme="majorBidi" w:hint="cs"/>
          <w:b/>
          <w:bCs/>
          <w:rtl/>
        </w:rPr>
        <w:t>בעניין</w:t>
      </w:r>
      <w:r w:rsidRPr="00656E50">
        <w:rPr>
          <w:rFonts w:asciiTheme="majorBidi" w:hAnsiTheme="majorBidi"/>
          <w:b/>
          <w:bCs/>
          <w:rtl/>
        </w:rPr>
        <w:t xml:space="preserve"> </w:t>
      </w:r>
      <w:r w:rsidRPr="00656E50">
        <w:rPr>
          <w:rFonts w:asciiTheme="majorBidi" w:hAnsiTheme="majorBidi"/>
          <w:b/>
          <w:bCs/>
        </w:rPr>
        <w:t>I.G Farben</w:t>
      </w:r>
      <w:r w:rsidRPr="00BB4FB3">
        <w:rPr>
          <w:rFonts w:asciiTheme="majorBidi" w:hAnsiTheme="majorBidi" w:hint="cs"/>
          <w:rtl/>
        </w:rPr>
        <w:t>,</w:t>
      </w:r>
      <w:r w:rsidRPr="00656E50">
        <w:rPr>
          <w:rStyle w:val="a6"/>
          <w:rFonts w:asciiTheme="majorBidi" w:hAnsiTheme="majorBidi"/>
          <w:rtl/>
        </w:rPr>
        <w:footnoteReference w:id="22"/>
      </w:r>
      <w:r>
        <w:rPr>
          <w:rFonts w:asciiTheme="majorBidi" w:hAnsiTheme="majorBidi" w:hint="cs"/>
          <w:rtl/>
        </w:rPr>
        <w:t xml:space="preserve"> אשר נידון אף הוא ב</w:t>
      </w:r>
      <w:r w:rsidRPr="004937C5">
        <w:rPr>
          <w:rtl/>
        </w:rPr>
        <w:t>משפטי פושעי המלחמה בפני בתי הדין הצבאיים בנירנברג</w:t>
      </w:r>
      <w:r>
        <w:rPr>
          <w:rFonts w:asciiTheme="majorBidi" w:hAnsiTheme="majorBidi" w:hint="cs"/>
          <w:rtl/>
        </w:rPr>
        <w:t>,</w:t>
      </w:r>
      <w:r w:rsidRPr="00656E50">
        <w:rPr>
          <w:rFonts w:asciiTheme="majorBidi" w:hAnsiTheme="majorBidi"/>
          <w:rtl/>
        </w:rPr>
        <w:t xml:space="preserve"> נאמר כי תקנה 46 מתייחסת להחרמה </w:t>
      </w:r>
      <w:r>
        <w:rPr>
          <w:rFonts w:asciiTheme="majorBidi" w:hAnsiTheme="majorBidi" w:hint="cs"/>
          <w:rtl/>
        </w:rPr>
        <w:t>(</w:t>
      </w:r>
      <w:r>
        <w:rPr>
          <w:rFonts w:asciiTheme="majorBidi" w:hAnsiTheme="majorBidi"/>
        </w:rPr>
        <w:t>c</w:t>
      </w:r>
      <w:r w:rsidRPr="00656E50">
        <w:rPr>
          <w:rFonts w:asciiTheme="majorBidi" w:hAnsiTheme="majorBidi"/>
        </w:rPr>
        <w:t>onfiscation</w:t>
      </w:r>
      <w:r>
        <w:rPr>
          <w:rFonts w:asciiTheme="majorBidi" w:hAnsiTheme="majorBidi" w:hint="cs"/>
          <w:rtl/>
        </w:rPr>
        <w:t>)</w:t>
      </w:r>
      <w:r w:rsidRPr="00656E50">
        <w:rPr>
          <w:rFonts w:asciiTheme="majorBidi" w:hAnsiTheme="majorBidi"/>
          <w:rtl/>
        </w:rPr>
        <w:t xml:space="preserve"> ו</w:t>
      </w:r>
      <w:r>
        <w:rPr>
          <w:rFonts w:asciiTheme="majorBidi" w:hAnsiTheme="majorBidi" w:hint="cs"/>
          <w:rtl/>
        </w:rPr>
        <w:t>ל</w:t>
      </w:r>
      <w:r w:rsidRPr="00656E50">
        <w:rPr>
          <w:rFonts w:asciiTheme="majorBidi" w:hAnsiTheme="majorBidi"/>
          <w:rtl/>
        </w:rPr>
        <w:t>הפקעה (</w:t>
      </w:r>
      <w:r>
        <w:rPr>
          <w:rFonts w:asciiTheme="majorBidi" w:hAnsiTheme="majorBidi"/>
        </w:rPr>
        <w:t>r</w:t>
      </w:r>
      <w:r w:rsidRPr="00656E50">
        <w:rPr>
          <w:rFonts w:asciiTheme="majorBidi" w:hAnsiTheme="majorBidi"/>
        </w:rPr>
        <w:t>equisition</w:t>
      </w:r>
      <w:r w:rsidRPr="00656E50">
        <w:rPr>
          <w:rFonts w:asciiTheme="majorBidi" w:hAnsiTheme="majorBidi"/>
          <w:rtl/>
        </w:rPr>
        <w:t>)</w:t>
      </w:r>
      <w:r>
        <w:rPr>
          <w:rFonts w:asciiTheme="majorBidi" w:hAnsiTheme="majorBidi" w:hint="cs"/>
          <w:rtl/>
        </w:rPr>
        <w:t xml:space="preserve">, כאשר החובה לכבד את זכות הקניין והרכוש הפרטי מתייחסת לכל מקרה בו נלקח רכוש או ישנה העברה של רכוש על ידי המעצמה הכובשת </w:t>
      </w:r>
      <w:r w:rsidRPr="004C5E13">
        <w:rPr>
          <w:rFonts w:asciiTheme="majorBidi" w:hAnsiTheme="majorBidi" w:hint="cs"/>
          <w:b/>
          <w:bCs/>
          <w:rtl/>
        </w:rPr>
        <w:t>בניגוד לרצון בעליו</w:t>
      </w:r>
      <w:r>
        <w:rPr>
          <w:rFonts w:asciiTheme="majorBidi" w:hAnsiTheme="majorBidi" w:hint="cs"/>
          <w:rtl/>
        </w:rPr>
        <w:t>.</w:t>
      </w:r>
      <w:r w:rsidRPr="00656E50">
        <w:rPr>
          <w:rFonts w:asciiTheme="majorBidi" w:hAnsiTheme="majorBidi"/>
          <w:rtl/>
        </w:rPr>
        <w:t xml:space="preserve"> פסק הדין </w:t>
      </w:r>
      <w:r>
        <w:rPr>
          <w:rFonts w:asciiTheme="majorBidi" w:hAnsiTheme="majorBidi" w:hint="cs"/>
          <w:rtl/>
        </w:rPr>
        <w:t>ה</w:t>
      </w:r>
      <w:r w:rsidRPr="00656E50">
        <w:rPr>
          <w:rFonts w:asciiTheme="majorBidi" w:hAnsiTheme="majorBidi"/>
          <w:rtl/>
        </w:rPr>
        <w:t xml:space="preserve">דגיש </w:t>
      </w:r>
      <w:r>
        <w:rPr>
          <w:rFonts w:asciiTheme="majorBidi" w:hAnsiTheme="majorBidi" w:hint="cs"/>
          <w:rtl/>
        </w:rPr>
        <w:t xml:space="preserve">כי </w:t>
      </w:r>
      <w:r>
        <w:rPr>
          <w:rFonts w:asciiTheme="majorBidi" w:hAnsiTheme="majorBidi" w:hint="cs"/>
          <w:rtl/>
        </w:rPr>
        <w:lastRenderedPageBreak/>
        <w:t xml:space="preserve">במקרה בו </w:t>
      </w:r>
      <w:r w:rsidRPr="00656E50">
        <w:rPr>
          <w:rFonts w:asciiTheme="majorBidi" w:hAnsiTheme="majorBidi"/>
          <w:rtl/>
        </w:rPr>
        <w:t xml:space="preserve">ההעברה אינה וולנטרית ויש </w:t>
      </w:r>
      <w:r>
        <w:rPr>
          <w:rFonts w:asciiTheme="majorBidi" w:hAnsiTheme="majorBidi" w:hint="cs"/>
          <w:rtl/>
        </w:rPr>
        <w:t xml:space="preserve">אלמנט של </w:t>
      </w:r>
      <w:r w:rsidRPr="00656E50">
        <w:rPr>
          <w:rFonts w:asciiTheme="majorBidi" w:hAnsiTheme="majorBidi"/>
          <w:rtl/>
        </w:rPr>
        <w:t>כפייה על</w:t>
      </w:r>
      <w:r>
        <w:rPr>
          <w:rFonts w:asciiTheme="majorBidi" w:hAnsiTheme="majorBidi"/>
          <w:rtl/>
        </w:rPr>
        <w:t xml:space="preserve"> הבעלים, </w:t>
      </w:r>
      <w:r>
        <w:rPr>
          <w:rFonts w:asciiTheme="majorBidi" w:hAnsiTheme="majorBidi" w:hint="cs"/>
          <w:rtl/>
        </w:rPr>
        <w:t>ישנה</w:t>
      </w:r>
      <w:r w:rsidRPr="00656E50">
        <w:rPr>
          <w:rFonts w:asciiTheme="majorBidi" w:hAnsiTheme="majorBidi"/>
          <w:rtl/>
        </w:rPr>
        <w:t xml:space="preserve"> הפרה ברורה של תקנה 4</w:t>
      </w:r>
      <w:r>
        <w:rPr>
          <w:rFonts w:asciiTheme="majorBidi" w:hAnsiTheme="majorBidi" w:hint="cs"/>
          <w:rtl/>
        </w:rPr>
        <w:t xml:space="preserve">6 </w:t>
      </w:r>
      <w:r w:rsidRPr="00656E50">
        <w:rPr>
          <w:rFonts w:asciiTheme="majorBidi" w:hAnsiTheme="majorBidi"/>
          <w:rtl/>
        </w:rPr>
        <w:t>לתקנות האג.</w:t>
      </w:r>
      <w:r w:rsidRPr="00656E50">
        <w:rPr>
          <w:rStyle w:val="a6"/>
          <w:rFonts w:asciiTheme="majorBidi" w:hAnsiTheme="majorBidi"/>
          <w:rtl/>
        </w:rPr>
        <w:footnoteReference w:id="23"/>
      </w:r>
      <w:r w:rsidRPr="00656E50">
        <w:rPr>
          <w:rFonts w:asciiTheme="majorBidi" w:hAnsiTheme="majorBidi"/>
          <w:rtl/>
        </w:rPr>
        <w:t xml:space="preserve"> </w:t>
      </w:r>
      <w:r>
        <w:rPr>
          <w:rFonts w:asciiTheme="majorBidi" w:hAnsiTheme="majorBidi" w:hint="cs"/>
          <w:rtl/>
        </w:rPr>
        <w:t xml:space="preserve"> </w:t>
      </w:r>
    </w:p>
    <w:p w:rsidR="00E34EF1" w:rsidRPr="00656E50" w:rsidRDefault="00E34EF1" w:rsidP="004C5E13">
      <w:pPr>
        <w:spacing w:before="120" w:after="120"/>
        <w:ind w:left="284" w:right="651"/>
        <w:rPr>
          <w:rFonts w:asciiTheme="majorBidi" w:hAnsiTheme="majorBidi"/>
          <w:rtl/>
        </w:rPr>
      </w:pPr>
      <w:r w:rsidRPr="00656E50">
        <w:rPr>
          <w:rFonts w:asciiTheme="majorBidi" w:hAnsiTheme="majorBidi"/>
        </w:rPr>
        <w:t xml:space="preserve">"..with respect to private property, these provisions relate to plunder, confiscation, and requisition which, in turn, </w:t>
      </w:r>
      <w:r w:rsidRPr="004C5E13">
        <w:rPr>
          <w:rFonts w:asciiTheme="majorBidi" w:hAnsiTheme="majorBidi"/>
          <w:b/>
          <w:bCs/>
        </w:rPr>
        <w:t>imply action in relation to property committed against the will and without the consent of the owner</w:t>
      </w:r>
      <w:r w:rsidRPr="00656E50">
        <w:rPr>
          <w:rFonts w:asciiTheme="majorBidi" w:hAnsiTheme="majorBidi"/>
        </w:rPr>
        <w:t xml:space="preserve">. We look in vain for any provision in the Hague Regulations which would justify the broad assertion that private citizens of the nation of the military occupant may not enter into agreements respecting property in occupied territories when consent of the owner is, in fact, freely given. This becomes important to the evaluation of the evidence as applied to individual action under the concept that guilt is personal and individual. If, in fact, there is no coercion present in an agreement relating to the purchase of industrial enterprises or interests equivalent thereto, even during time of military occupancy, and if, in fact, the owner's consent is voluntarily given, we do not find such action to be violation of the Hague Regulations….On the other hand, </w:t>
      </w:r>
      <w:r w:rsidRPr="004C5E13">
        <w:rPr>
          <w:rFonts w:asciiTheme="majorBidi" w:hAnsiTheme="majorBidi"/>
          <w:b/>
          <w:bCs/>
        </w:rPr>
        <w:t>when action by the owner is not voluntary because his consent is obtained by threats, intimidation, pressure, or by exploiting the position and power of the military occupant under circumstances indicating that the owner is being induced to part with his property against his will, it is clearly a violation of the Hague Regulations</w:t>
      </w:r>
      <w:r w:rsidRPr="00656E50">
        <w:rPr>
          <w:rFonts w:asciiTheme="majorBidi" w:hAnsiTheme="majorBidi"/>
        </w:rPr>
        <w:t>."</w:t>
      </w:r>
      <w:r>
        <w:rPr>
          <w:rFonts w:asciiTheme="majorBidi" w:hAnsiTheme="majorBidi"/>
        </w:rPr>
        <w:t xml:space="preserve"> </w:t>
      </w:r>
      <w:r>
        <w:rPr>
          <w:rFonts w:asciiTheme="majorBidi" w:hAnsiTheme="majorBidi" w:hint="cs"/>
          <w:rtl/>
        </w:rPr>
        <w:t>(ההדגשה הוספה)</w:t>
      </w:r>
    </w:p>
    <w:p w:rsidR="00E34EF1" w:rsidRDefault="00E34EF1" w:rsidP="004C5E13">
      <w:pPr>
        <w:pStyle w:val="a3"/>
        <w:numPr>
          <w:ilvl w:val="0"/>
          <w:numId w:val="1"/>
        </w:numPr>
        <w:bidi/>
        <w:spacing w:before="120" w:after="120" w:line="360" w:lineRule="auto"/>
        <w:ind w:left="425" w:hanging="357"/>
        <w:contextualSpacing w:val="0"/>
        <w:rPr>
          <w:rFonts w:asciiTheme="majorBidi" w:hAnsiTheme="majorBidi"/>
        </w:rPr>
      </w:pPr>
      <w:r w:rsidRPr="00327C2E">
        <w:rPr>
          <w:rFonts w:asciiTheme="majorBidi" w:hAnsiTheme="majorBidi" w:hint="cs"/>
          <w:rtl/>
        </w:rPr>
        <w:t>גם בפסיקת בג"ץ ישנה התייחסות למונח</w:t>
      </w:r>
      <w:r>
        <w:rPr>
          <w:rFonts w:asciiTheme="majorBidi" w:hAnsiTheme="majorBidi" w:hint="cs"/>
          <w:b/>
          <w:bCs/>
          <w:rtl/>
        </w:rPr>
        <w:t xml:space="preserve"> </w:t>
      </w:r>
      <w:r>
        <w:rPr>
          <w:rFonts w:asciiTheme="majorBidi" w:hAnsiTheme="majorBidi"/>
        </w:rPr>
        <w:t>c</w:t>
      </w:r>
      <w:r w:rsidRPr="001B1958">
        <w:rPr>
          <w:rFonts w:asciiTheme="majorBidi" w:hAnsiTheme="majorBidi"/>
        </w:rPr>
        <w:t>onfiscation</w:t>
      </w:r>
      <w:r>
        <w:rPr>
          <w:rFonts w:asciiTheme="majorBidi" w:hAnsiTheme="majorBidi" w:hint="cs"/>
          <w:b/>
          <w:bCs/>
          <w:rtl/>
        </w:rPr>
        <w:t>.</w:t>
      </w:r>
      <w:r w:rsidRPr="00656E50">
        <w:rPr>
          <w:rFonts w:asciiTheme="majorBidi" w:hAnsiTheme="majorBidi" w:hint="cs"/>
          <w:b/>
          <w:bCs/>
          <w:rtl/>
        </w:rPr>
        <w:t xml:space="preserve"> בעניין</w:t>
      </w:r>
      <w:r w:rsidRPr="00656E50">
        <w:rPr>
          <w:rFonts w:asciiTheme="majorBidi" w:hAnsiTheme="majorBidi"/>
          <w:b/>
          <w:bCs/>
          <w:rtl/>
        </w:rPr>
        <w:t xml:space="preserve"> איוב</w:t>
      </w:r>
      <w:r w:rsidRPr="00656E50">
        <w:rPr>
          <w:rStyle w:val="a6"/>
          <w:rFonts w:asciiTheme="majorBidi" w:hAnsiTheme="majorBidi"/>
          <w:rtl/>
        </w:rPr>
        <w:footnoteReference w:id="24"/>
      </w:r>
      <w:r>
        <w:rPr>
          <w:rFonts w:asciiTheme="majorBidi" w:hAnsiTheme="majorBidi" w:hint="cs"/>
          <w:rtl/>
        </w:rPr>
        <w:t xml:space="preserve"> בית המשפט נדרש </w:t>
      </w:r>
      <w:r w:rsidRPr="001B1958">
        <w:rPr>
          <w:rFonts w:asciiTheme="majorBidi" w:hAnsiTheme="majorBidi"/>
          <w:rtl/>
        </w:rPr>
        <w:t>ל</w:t>
      </w:r>
      <w:r>
        <w:rPr>
          <w:rFonts w:asciiTheme="majorBidi" w:hAnsiTheme="majorBidi" w:hint="cs"/>
          <w:rtl/>
        </w:rPr>
        <w:t xml:space="preserve">הכריע בשאלה האם ניתן להשתמש </w:t>
      </w:r>
      <w:r w:rsidRPr="001B1958">
        <w:rPr>
          <w:rFonts w:asciiTheme="majorBidi" w:hAnsiTheme="majorBidi"/>
          <w:rtl/>
        </w:rPr>
        <w:t>בסמכות ה</w:t>
      </w:r>
      <w:r>
        <w:rPr>
          <w:rFonts w:asciiTheme="majorBidi" w:hAnsiTheme="majorBidi" w:hint="cs"/>
          <w:rtl/>
        </w:rPr>
        <w:t>הפקעה</w:t>
      </w:r>
      <w:r w:rsidRPr="001B1958">
        <w:rPr>
          <w:rFonts w:asciiTheme="majorBidi" w:hAnsiTheme="majorBidi"/>
          <w:rtl/>
        </w:rPr>
        <w:t xml:space="preserve"> </w:t>
      </w:r>
      <w:r>
        <w:rPr>
          <w:rFonts w:asciiTheme="majorBidi" w:hAnsiTheme="majorBidi" w:hint="cs"/>
          <w:rtl/>
        </w:rPr>
        <w:t>מכוח תקנה 52 לתקנות האג, המאפשרת הפקעה של קרקע לצורך צבאי, ל</w:t>
      </w:r>
      <w:r w:rsidRPr="001B1958">
        <w:rPr>
          <w:rFonts w:asciiTheme="majorBidi" w:hAnsiTheme="majorBidi"/>
          <w:rtl/>
        </w:rPr>
        <w:t>צורך</w:t>
      </w:r>
      <w:r>
        <w:rPr>
          <w:rFonts w:asciiTheme="majorBidi" w:hAnsiTheme="majorBidi" w:hint="cs"/>
          <w:rtl/>
        </w:rPr>
        <w:t xml:space="preserve"> </w:t>
      </w:r>
      <w:r w:rsidRPr="001B1958">
        <w:rPr>
          <w:rFonts w:asciiTheme="majorBidi" w:hAnsiTheme="majorBidi"/>
          <w:rtl/>
        </w:rPr>
        <w:t xml:space="preserve">הקמת </w:t>
      </w:r>
      <w:r>
        <w:rPr>
          <w:rFonts w:asciiTheme="majorBidi" w:hAnsiTheme="majorBidi" w:hint="cs"/>
          <w:rtl/>
        </w:rPr>
        <w:t>יישוב. במסגרת פסק הדין,</w:t>
      </w:r>
      <w:r w:rsidRPr="001B1958">
        <w:rPr>
          <w:rFonts w:asciiTheme="majorBidi" w:hAnsiTheme="majorBidi"/>
          <w:rtl/>
        </w:rPr>
        <w:t xml:space="preserve"> </w:t>
      </w:r>
      <w:r w:rsidRPr="001B1958">
        <w:rPr>
          <w:rFonts w:asciiTheme="majorBidi" w:hAnsiTheme="majorBidi" w:hint="cs"/>
          <w:rtl/>
        </w:rPr>
        <w:t xml:space="preserve">כבוד </w:t>
      </w:r>
      <w:r w:rsidRPr="001B1958">
        <w:rPr>
          <w:rFonts w:asciiTheme="majorBidi" w:hAnsiTheme="majorBidi"/>
          <w:rtl/>
        </w:rPr>
        <w:t xml:space="preserve">השופט ויתקון </w:t>
      </w:r>
      <w:r w:rsidRPr="001B1958">
        <w:rPr>
          <w:rFonts w:asciiTheme="majorBidi" w:hAnsiTheme="majorBidi" w:hint="cs"/>
          <w:rtl/>
        </w:rPr>
        <w:t>ה</w:t>
      </w:r>
      <w:r w:rsidRPr="001B1958">
        <w:rPr>
          <w:rFonts w:asciiTheme="majorBidi" w:hAnsiTheme="majorBidi"/>
          <w:rtl/>
        </w:rPr>
        <w:t>תייחס לפרשנות תקנה 46 לתקנות האג</w:t>
      </w:r>
      <w:r>
        <w:rPr>
          <w:rFonts w:asciiTheme="majorBidi" w:hAnsiTheme="majorBidi" w:hint="cs"/>
          <w:rtl/>
        </w:rPr>
        <w:t>,</w:t>
      </w:r>
      <w:r w:rsidRPr="001B1958">
        <w:rPr>
          <w:rFonts w:asciiTheme="majorBidi" w:hAnsiTheme="majorBidi"/>
          <w:rtl/>
        </w:rPr>
        <w:t xml:space="preserve"> </w:t>
      </w:r>
      <w:r w:rsidRPr="001B1958">
        <w:rPr>
          <w:rFonts w:asciiTheme="majorBidi" w:hAnsiTheme="majorBidi" w:hint="cs"/>
          <w:rtl/>
        </w:rPr>
        <w:t>וה</w:t>
      </w:r>
      <w:r w:rsidRPr="001B1958">
        <w:rPr>
          <w:rFonts w:asciiTheme="majorBidi" w:hAnsiTheme="majorBidi"/>
          <w:rtl/>
        </w:rPr>
        <w:t xml:space="preserve">בחין בין </w:t>
      </w:r>
      <w:r w:rsidRPr="001B1958">
        <w:rPr>
          <w:rFonts w:asciiTheme="majorBidi" w:hAnsiTheme="majorBidi"/>
        </w:rPr>
        <w:t>confiscation</w:t>
      </w:r>
      <w:r w:rsidRPr="001B1958">
        <w:rPr>
          <w:rFonts w:asciiTheme="majorBidi" w:hAnsiTheme="majorBidi"/>
          <w:rtl/>
        </w:rPr>
        <w:t xml:space="preserve"> (שאינה אלא הפקעה ללא תמורה למטרה בלתי חוקית) לבין</w:t>
      </w:r>
      <w:r w:rsidRPr="001B1958">
        <w:rPr>
          <w:rFonts w:asciiTheme="majorBidi" w:hAnsiTheme="majorBidi"/>
        </w:rPr>
        <w:t xml:space="preserve">requisition </w:t>
      </w:r>
      <w:r w:rsidRPr="001B1958">
        <w:rPr>
          <w:rFonts w:asciiTheme="majorBidi" w:hAnsiTheme="majorBidi"/>
          <w:rtl/>
        </w:rPr>
        <w:t xml:space="preserve"> </w:t>
      </w:r>
      <w:r w:rsidRPr="001B1958">
        <w:rPr>
          <w:rFonts w:asciiTheme="majorBidi" w:hAnsiTheme="majorBidi" w:hint="cs"/>
          <w:rtl/>
        </w:rPr>
        <w:t>ה</w:t>
      </w:r>
      <w:r w:rsidRPr="001B1958">
        <w:rPr>
          <w:rFonts w:asciiTheme="majorBidi" w:hAnsiTheme="majorBidi"/>
          <w:rtl/>
        </w:rPr>
        <w:t>דורשת מהבעלים, כנגד תשלום תמורה, את השימוש ברכושו, אך אינה שוללת</w:t>
      </w:r>
      <w:r>
        <w:rPr>
          <w:rFonts w:asciiTheme="majorBidi" w:hAnsiTheme="majorBidi"/>
          <w:rtl/>
        </w:rPr>
        <w:t xml:space="preserve"> ממנו את בעלותו. השופט ויתקון </w:t>
      </w:r>
      <w:r>
        <w:rPr>
          <w:rFonts w:asciiTheme="majorBidi" w:hAnsiTheme="majorBidi" w:hint="cs"/>
          <w:rtl/>
        </w:rPr>
        <w:t xml:space="preserve">סבר כי יש לראות את פעולת הממשל הצבאי </w:t>
      </w:r>
      <w:r w:rsidRPr="00656E50">
        <w:rPr>
          <w:rFonts w:asciiTheme="majorBidi" w:hAnsiTheme="majorBidi" w:hint="cs"/>
          <w:b/>
          <w:bCs/>
          <w:rtl/>
        </w:rPr>
        <w:t>בעניין</w:t>
      </w:r>
      <w:r w:rsidRPr="00656E50">
        <w:rPr>
          <w:rFonts w:asciiTheme="majorBidi" w:hAnsiTheme="majorBidi"/>
          <w:b/>
          <w:bCs/>
          <w:rtl/>
        </w:rPr>
        <w:t xml:space="preserve"> איוב</w:t>
      </w:r>
      <w:r>
        <w:rPr>
          <w:rFonts w:asciiTheme="majorBidi" w:hAnsiTheme="majorBidi" w:hint="cs"/>
          <w:rtl/>
        </w:rPr>
        <w:t xml:space="preserve"> כהפקעה חוקית </w:t>
      </w:r>
      <w:r w:rsidRPr="001B1958">
        <w:rPr>
          <w:rFonts w:asciiTheme="majorBidi" w:hAnsiTheme="majorBidi"/>
        </w:rPr>
        <w:t>requisition</w:t>
      </w:r>
      <w:r>
        <w:rPr>
          <w:rFonts w:asciiTheme="majorBidi" w:hAnsiTheme="majorBidi"/>
        </w:rPr>
        <w:t>)</w:t>
      </w:r>
      <w:r>
        <w:rPr>
          <w:rFonts w:asciiTheme="majorBidi" w:hAnsiTheme="majorBidi" w:hint="cs"/>
          <w:rtl/>
        </w:rPr>
        <w:t>) העומדת בהוראות</w:t>
      </w:r>
      <w:r w:rsidRPr="001B1958">
        <w:rPr>
          <w:rFonts w:asciiTheme="majorBidi" w:hAnsiTheme="majorBidi" w:hint="cs"/>
          <w:rtl/>
        </w:rPr>
        <w:t xml:space="preserve"> תקנה 46</w:t>
      </w:r>
      <w:r>
        <w:rPr>
          <w:rFonts w:asciiTheme="majorBidi" w:hAnsiTheme="majorBidi"/>
          <w:rtl/>
        </w:rPr>
        <w:t xml:space="preserve"> לתקנות האג</w:t>
      </w:r>
      <w:r>
        <w:rPr>
          <w:rFonts w:asciiTheme="majorBidi" w:hAnsiTheme="majorBidi" w:hint="cs"/>
          <w:rtl/>
        </w:rPr>
        <w:t xml:space="preserve">. </w:t>
      </w:r>
      <w:r w:rsidRPr="00A305BA">
        <w:rPr>
          <w:rFonts w:asciiTheme="majorBidi" w:hAnsiTheme="majorBidi" w:hint="cs"/>
          <w:b/>
          <w:bCs/>
          <w:rtl/>
        </w:rPr>
        <w:t>נקבע כי המפקד הצבאי רשאי להפקיע</w:t>
      </w:r>
      <w:r w:rsidRPr="00A305BA">
        <w:rPr>
          <w:rFonts w:asciiTheme="majorBidi" w:hAnsiTheme="majorBidi"/>
          <w:b/>
          <w:bCs/>
          <w:rtl/>
        </w:rPr>
        <w:t xml:space="preserve"> </w:t>
      </w:r>
      <w:r w:rsidRPr="00A305BA">
        <w:rPr>
          <w:rFonts w:asciiTheme="majorBidi" w:hAnsiTheme="majorBidi" w:hint="cs"/>
          <w:b/>
          <w:bCs/>
          <w:rtl/>
        </w:rPr>
        <w:t>את השטח בהתאם לתקנה 52 לתקנות האג, דהיינו: לצורך צבאי</w:t>
      </w:r>
      <w:r>
        <w:rPr>
          <w:rFonts w:asciiTheme="majorBidi" w:hAnsiTheme="majorBidi" w:hint="cs"/>
          <w:rtl/>
        </w:rPr>
        <w:t>.</w:t>
      </w:r>
    </w:p>
    <w:p w:rsidR="00E34EF1" w:rsidRDefault="00E34EF1" w:rsidP="004C5E13">
      <w:pPr>
        <w:pStyle w:val="a3"/>
        <w:numPr>
          <w:ilvl w:val="0"/>
          <w:numId w:val="1"/>
        </w:numPr>
        <w:bidi/>
        <w:spacing w:before="120" w:after="120" w:line="360" w:lineRule="auto"/>
        <w:ind w:left="425" w:hanging="357"/>
        <w:contextualSpacing w:val="0"/>
        <w:rPr>
          <w:rFonts w:asciiTheme="majorBidi" w:hAnsiTheme="majorBidi"/>
        </w:rPr>
      </w:pPr>
      <w:r>
        <w:rPr>
          <w:rFonts w:asciiTheme="majorBidi" w:hAnsiTheme="majorBidi" w:hint="cs"/>
          <w:rtl/>
        </w:rPr>
        <w:t xml:space="preserve">יודגש כי </w:t>
      </w:r>
      <w:r w:rsidRPr="001B1958">
        <w:rPr>
          <w:rFonts w:asciiTheme="majorBidi" w:hAnsiTheme="majorBidi"/>
          <w:rtl/>
        </w:rPr>
        <w:t>בניגוד לטענת הממשלה</w:t>
      </w:r>
      <w:r>
        <w:rPr>
          <w:rFonts w:asciiTheme="majorBidi" w:hAnsiTheme="majorBidi" w:hint="cs"/>
          <w:rtl/>
        </w:rPr>
        <w:t xml:space="preserve"> בתגובה המקדמית,</w:t>
      </w:r>
      <w:r w:rsidRPr="001B1958">
        <w:rPr>
          <w:rFonts w:asciiTheme="majorBidi" w:hAnsiTheme="majorBidi"/>
          <w:rtl/>
        </w:rPr>
        <w:t xml:space="preserve"> לפיה פסיקה זו</w:t>
      </w:r>
      <w:r>
        <w:rPr>
          <w:rFonts w:asciiTheme="majorBidi" w:hAnsiTheme="majorBidi" w:hint="cs"/>
          <w:rtl/>
        </w:rPr>
        <w:t xml:space="preserve"> וההבחנה שנעשית בה בין </w:t>
      </w:r>
      <w:r w:rsidRPr="001B1958">
        <w:rPr>
          <w:rFonts w:asciiTheme="majorBidi" w:hAnsiTheme="majorBidi"/>
        </w:rPr>
        <w:t>confiscation</w:t>
      </w:r>
      <w:r w:rsidRPr="001B1958">
        <w:rPr>
          <w:rFonts w:asciiTheme="majorBidi" w:hAnsiTheme="majorBidi"/>
          <w:rtl/>
        </w:rPr>
        <w:t xml:space="preserve"> לבין</w:t>
      </w:r>
      <w:r w:rsidRPr="001B1958">
        <w:rPr>
          <w:rFonts w:asciiTheme="majorBidi" w:hAnsiTheme="majorBidi"/>
        </w:rPr>
        <w:t xml:space="preserve">requisition </w:t>
      </w:r>
      <w:r>
        <w:rPr>
          <w:rFonts w:asciiTheme="majorBidi" w:hAnsiTheme="majorBidi" w:hint="cs"/>
          <w:rtl/>
        </w:rPr>
        <w:t>,</w:t>
      </w:r>
      <w:r w:rsidRPr="001B1958">
        <w:rPr>
          <w:rFonts w:asciiTheme="majorBidi" w:hAnsiTheme="majorBidi"/>
          <w:rtl/>
        </w:rPr>
        <w:t xml:space="preserve"> </w:t>
      </w:r>
      <w:r>
        <w:rPr>
          <w:rFonts w:asciiTheme="majorBidi" w:hAnsiTheme="majorBidi" w:hint="cs"/>
          <w:rtl/>
        </w:rPr>
        <w:t xml:space="preserve">מעידות </w:t>
      </w:r>
      <w:r w:rsidRPr="001B1958">
        <w:rPr>
          <w:rFonts w:asciiTheme="majorBidi" w:hAnsiTheme="majorBidi"/>
          <w:rtl/>
        </w:rPr>
        <w:t>על כך שה</w:t>
      </w:r>
      <w:r>
        <w:rPr>
          <w:rFonts w:asciiTheme="majorBidi" w:hAnsiTheme="majorBidi" w:hint="cs"/>
          <w:rtl/>
        </w:rPr>
        <w:t xml:space="preserve">פקעה ולצדה פיצוי (כפי שהיא מוסדרת בחוק ההסדרה) </w:t>
      </w:r>
      <w:r w:rsidRPr="001B1958">
        <w:rPr>
          <w:rFonts w:asciiTheme="majorBidi" w:hAnsiTheme="majorBidi"/>
          <w:rtl/>
        </w:rPr>
        <w:t>הינה מותרת על פי המשפט הבין-לאומי,</w:t>
      </w:r>
      <w:r>
        <w:rPr>
          <w:rStyle w:val="a6"/>
          <w:rFonts w:asciiTheme="majorBidi" w:hAnsiTheme="majorBidi"/>
          <w:rtl/>
        </w:rPr>
        <w:footnoteReference w:id="25"/>
      </w:r>
      <w:r w:rsidRPr="001B1958">
        <w:rPr>
          <w:rFonts w:asciiTheme="majorBidi" w:hAnsiTheme="majorBidi"/>
          <w:rtl/>
        </w:rPr>
        <w:t xml:space="preserve"> השופט ויתקון אפשר</w:t>
      </w:r>
      <w:r w:rsidRPr="001B1958">
        <w:rPr>
          <w:rFonts w:asciiTheme="majorBidi" w:hAnsiTheme="majorBidi" w:hint="cs"/>
          <w:rtl/>
        </w:rPr>
        <w:t xml:space="preserve"> פעולה זו</w:t>
      </w:r>
      <w:r w:rsidRPr="001B1958">
        <w:rPr>
          <w:rFonts w:asciiTheme="majorBidi" w:hAnsiTheme="majorBidi"/>
          <w:rtl/>
        </w:rPr>
        <w:t xml:space="preserve"> בכפוף לחריג של תקנה 52 </w:t>
      </w:r>
      <w:r>
        <w:rPr>
          <w:rFonts w:asciiTheme="majorBidi" w:hAnsiTheme="majorBidi" w:hint="cs"/>
          <w:rtl/>
        </w:rPr>
        <w:t xml:space="preserve">לתקנות האג, </w:t>
      </w:r>
      <w:r w:rsidRPr="001B1958">
        <w:rPr>
          <w:rFonts w:asciiTheme="majorBidi" w:hAnsiTheme="majorBidi"/>
          <w:rtl/>
        </w:rPr>
        <w:t xml:space="preserve">המתיר למעצמה כובשת להחזיק ברכוש </w:t>
      </w:r>
      <w:r w:rsidRPr="00BF6630">
        <w:rPr>
          <w:rFonts w:asciiTheme="majorBidi" w:hAnsiTheme="majorBidi"/>
          <w:b/>
          <w:bCs/>
          <w:rtl/>
        </w:rPr>
        <w:t>לצרכי צבא</w:t>
      </w:r>
      <w:r>
        <w:rPr>
          <w:rFonts w:asciiTheme="majorBidi" w:hAnsiTheme="majorBidi" w:hint="cs"/>
          <w:rtl/>
        </w:rPr>
        <w:t>:</w:t>
      </w:r>
    </w:p>
    <w:p w:rsidR="00E34EF1" w:rsidRDefault="00E34EF1" w:rsidP="00A305BA">
      <w:pPr>
        <w:pStyle w:val="a3"/>
        <w:bidi/>
        <w:spacing w:before="120" w:after="120"/>
        <w:ind w:left="651" w:right="284"/>
        <w:contextualSpacing w:val="0"/>
        <w:rPr>
          <w:rFonts w:asciiTheme="majorBidi" w:hAnsiTheme="majorBidi"/>
          <w:rtl/>
        </w:rPr>
      </w:pPr>
      <w:r w:rsidRPr="001B1958">
        <w:rPr>
          <w:rFonts w:asciiTheme="majorBidi" w:hAnsiTheme="majorBidi"/>
          <w:rtl/>
        </w:rPr>
        <w:lastRenderedPageBreak/>
        <w:t xml:space="preserve"> </w:t>
      </w:r>
      <w:r>
        <w:rPr>
          <w:rFonts w:asciiTheme="majorBidi" w:hAnsiTheme="majorBidi" w:hint="cs"/>
          <w:rtl/>
        </w:rPr>
        <w:t>"</w:t>
      </w:r>
      <w:r w:rsidRPr="00656E50">
        <w:rPr>
          <w:rFonts w:asciiTheme="majorBidi" w:hAnsiTheme="majorBidi"/>
          <w:rtl/>
        </w:rPr>
        <w:t xml:space="preserve">עינינו הרואות שיש אבחנה ברורה בין </w:t>
      </w:r>
      <w:r w:rsidRPr="00656E50">
        <w:rPr>
          <w:rFonts w:asciiTheme="majorBidi" w:hAnsiTheme="majorBidi"/>
        </w:rPr>
        <w:t>confiscation</w:t>
      </w:r>
      <w:r w:rsidRPr="00656E50">
        <w:rPr>
          <w:rFonts w:asciiTheme="majorBidi" w:hAnsiTheme="majorBidi"/>
          <w:rtl/>
        </w:rPr>
        <w:t xml:space="preserve"> (שאינה אלא הפקעה ללא תמורה למטרה בלתי חוקית) לבין</w:t>
      </w:r>
      <w:r w:rsidRPr="00656E50">
        <w:rPr>
          <w:rFonts w:asciiTheme="majorBidi" w:hAnsiTheme="majorBidi"/>
        </w:rPr>
        <w:t>requisit</w:t>
      </w:r>
      <w:r>
        <w:rPr>
          <w:rFonts w:asciiTheme="majorBidi" w:hAnsiTheme="majorBidi"/>
        </w:rPr>
        <w:t>i</w:t>
      </w:r>
      <w:r w:rsidRPr="00656E50">
        <w:rPr>
          <w:rFonts w:asciiTheme="majorBidi" w:hAnsiTheme="majorBidi"/>
        </w:rPr>
        <w:t xml:space="preserve">on </w:t>
      </w:r>
      <w:r w:rsidRPr="00656E50">
        <w:rPr>
          <w:rFonts w:asciiTheme="majorBidi" w:hAnsiTheme="majorBidi"/>
          <w:rtl/>
        </w:rPr>
        <w:t>, אשר, במקרה של נכסי דלא ניידי, אינה אלא דורשת מהבעלים, כנגד תשלום תמורה, את השימוש ברכושו, אך אינה שוללת ממנו את בעלותו. לפי טענת בא-כוח המדינה, כך יש לראות פעולת הממשל הצבאי, ואם כך, נחה דעתי, שאין לראות בפעולה זו דבר הנוגד את התקנות 23(ז)</w:t>
      </w:r>
      <w:r>
        <w:rPr>
          <w:rStyle w:val="a6"/>
          <w:rFonts w:asciiTheme="majorBidi" w:hAnsiTheme="majorBidi"/>
          <w:rtl/>
        </w:rPr>
        <w:footnoteReference w:id="26"/>
      </w:r>
      <w:r w:rsidRPr="00656E50">
        <w:rPr>
          <w:rFonts w:asciiTheme="majorBidi" w:hAnsiTheme="majorBidi"/>
          <w:rtl/>
        </w:rPr>
        <w:t xml:space="preserve"> ו-46 לאמנת האג. נהפוך הוא, תקנה 52 לאותה אמנה מתירה במפורש למעצמה המחזיקה לדרוש מהתושבים דבר בעין (ושירותים) לצרכי הצבא</w:t>
      </w:r>
      <w:r w:rsidRPr="00656E50">
        <w:rPr>
          <w:rFonts w:asciiTheme="majorBidi" w:hAnsiTheme="majorBidi" w:hint="cs"/>
          <w:rtl/>
        </w:rPr>
        <w:t>.</w:t>
      </w:r>
      <w:r>
        <w:rPr>
          <w:rFonts w:asciiTheme="majorBidi" w:hAnsiTheme="majorBidi" w:hint="cs"/>
          <w:rtl/>
        </w:rPr>
        <w:t>"</w:t>
      </w:r>
      <w:r w:rsidRPr="00656E50">
        <w:rPr>
          <w:rStyle w:val="a6"/>
          <w:rFonts w:asciiTheme="majorBidi" w:hAnsiTheme="majorBidi"/>
        </w:rPr>
        <w:footnoteReference w:id="27"/>
      </w:r>
    </w:p>
    <w:p w:rsidR="00E34EF1" w:rsidRDefault="00E34EF1" w:rsidP="004C5E13">
      <w:pPr>
        <w:pStyle w:val="a3"/>
        <w:bidi/>
        <w:spacing w:before="120" w:after="120" w:line="240" w:lineRule="auto"/>
        <w:ind w:left="425"/>
        <w:contextualSpacing w:val="0"/>
        <w:rPr>
          <w:rFonts w:asciiTheme="majorBidi" w:hAnsiTheme="majorBidi"/>
        </w:rPr>
      </w:pPr>
    </w:p>
    <w:p w:rsidR="00E34EF1" w:rsidRDefault="00E34EF1" w:rsidP="00A305BA">
      <w:pPr>
        <w:pStyle w:val="a3"/>
        <w:numPr>
          <w:ilvl w:val="0"/>
          <w:numId w:val="1"/>
        </w:numPr>
        <w:bidi/>
        <w:spacing w:before="120" w:after="120" w:line="360" w:lineRule="auto"/>
        <w:ind w:left="425" w:hanging="357"/>
        <w:contextualSpacing w:val="0"/>
        <w:rPr>
          <w:rFonts w:asciiTheme="majorBidi" w:hAnsiTheme="majorBidi"/>
        </w:rPr>
      </w:pPr>
      <w:r w:rsidRPr="00656E50">
        <w:rPr>
          <w:rFonts w:asciiTheme="majorBidi" w:hAnsiTheme="majorBidi" w:hint="cs"/>
          <w:rtl/>
        </w:rPr>
        <w:t xml:space="preserve">השופט ויתקון </w:t>
      </w:r>
      <w:r w:rsidRPr="00656E50">
        <w:rPr>
          <w:rFonts w:hint="cs"/>
          <w:rtl/>
        </w:rPr>
        <w:t xml:space="preserve">הביא </w:t>
      </w:r>
      <w:r>
        <w:rPr>
          <w:rFonts w:hint="cs"/>
          <w:rtl/>
        </w:rPr>
        <w:t xml:space="preserve">בפסק הדין </w:t>
      </w:r>
      <w:r w:rsidRPr="00656E50">
        <w:rPr>
          <w:rFonts w:hint="cs"/>
          <w:rtl/>
        </w:rPr>
        <w:t xml:space="preserve">את דבריו של המלומד </w:t>
      </w:r>
      <w:r w:rsidRPr="00656E50">
        <w:rPr>
          <w:rFonts w:cs="FrankRuehl"/>
        </w:rPr>
        <w:t>Schwarzenberger</w:t>
      </w:r>
      <w:r>
        <w:rPr>
          <w:rFonts w:hint="cs"/>
          <w:rtl/>
        </w:rPr>
        <w:t>,</w:t>
      </w:r>
      <w:r w:rsidRPr="00656E50">
        <w:rPr>
          <w:rFonts w:hint="cs"/>
          <w:rtl/>
        </w:rPr>
        <w:t xml:space="preserve"> אשר</w:t>
      </w:r>
      <w:r w:rsidRPr="00656E50">
        <w:t xml:space="preserve"> </w:t>
      </w:r>
      <w:r>
        <w:rPr>
          <w:rFonts w:hint="cs"/>
          <w:rtl/>
        </w:rPr>
        <w:t>ה</w:t>
      </w:r>
      <w:r w:rsidRPr="00656E50">
        <w:rPr>
          <w:rFonts w:hint="cs"/>
          <w:rtl/>
        </w:rPr>
        <w:t>בחין גם הוא בין</w:t>
      </w:r>
      <w:r w:rsidRPr="00656E50">
        <w:rPr>
          <w:rFonts w:asciiTheme="majorBidi" w:hAnsiTheme="majorBidi"/>
          <w:rtl/>
        </w:rPr>
        <w:t xml:space="preserve"> </w:t>
      </w:r>
      <w:r w:rsidRPr="00B9304C">
        <w:rPr>
          <w:rFonts w:asciiTheme="majorBidi" w:hAnsiTheme="majorBidi"/>
          <w:rtl/>
        </w:rPr>
        <w:t>הפקעה</w:t>
      </w:r>
      <w:r>
        <w:rPr>
          <w:rFonts w:asciiTheme="majorBidi" w:hAnsiTheme="majorBidi"/>
          <w:rtl/>
        </w:rPr>
        <w:t xml:space="preserve"> </w:t>
      </w:r>
      <w:r w:rsidRPr="00B9304C">
        <w:rPr>
          <w:rFonts w:asciiTheme="majorBidi" w:hAnsiTheme="majorBidi" w:hint="cs"/>
          <w:rtl/>
        </w:rPr>
        <w:t>חוקית</w:t>
      </w:r>
      <w:r>
        <w:rPr>
          <w:rFonts w:asciiTheme="majorBidi" w:hAnsiTheme="majorBidi"/>
        </w:rPr>
        <w:t>(r</w:t>
      </w:r>
      <w:r w:rsidRPr="00B9304C">
        <w:rPr>
          <w:rFonts w:asciiTheme="majorBidi" w:hAnsiTheme="majorBidi"/>
        </w:rPr>
        <w:t xml:space="preserve">equisition) </w:t>
      </w:r>
      <w:r w:rsidRPr="00B9304C">
        <w:rPr>
          <w:rFonts w:asciiTheme="majorBidi" w:hAnsiTheme="majorBidi" w:hint="cs"/>
          <w:rtl/>
        </w:rPr>
        <w:t xml:space="preserve"> </w:t>
      </w:r>
      <w:r w:rsidRPr="00B9304C">
        <w:rPr>
          <w:rFonts w:asciiTheme="majorBidi" w:hAnsiTheme="majorBidi"/>
          <w:rtl/>
        </w:rPr>
        <w:t xml:space="preserve">לבין </w:t>
      </w:r>
      <w:r w:rsidRPr="00B9304C">
        <w:rPr>
          <w:rFonts w:asciiTheme="majorBidi" w:hAnsiTheme="majorBidi" w:hint="cs"/>
          <w:rtl/>
        </w:rPr>
        <w:t xml:space="preserve">החרמה </w:t>
      </w:r>
      <w:r w:rsidRPr="00B9304C">
        <w:rPr>
          <w:rFonts w:asciiTheme="majorBidi" w:hAnsiTheme="majorBidi"/>
        </w:rPr>
        <w:t>(</w:t>
      </w:r>
      <w:r>
        <w:rPr>
          <w:rFonts w:asciiTheme="majorBidi" w:hAnsiTheme="majorBidi"/>
        </w:rPr>
        <w:t>c</w:t>
      </w:r>
      <w:r w:rsidRPr="00B9304C">
        <w:rPr>
          <w:rFonts w:asciiTheme="majorBidi" w:hAnsiTheme="majorBidi"/>
        </w:rPr>
        <w:t>onfiscation)</w:t>
      </w:r>
      <w:r w:rsidRPr="00B9304C">
        <w:rPr>
          <w:rFonts w:asciiTheme="majorBidi" w:hAnsiTheme="majorBidi"/>
          <w:rtl/>
        </w:rPr>
        <w:t xml:space="preserve"> </w:t>
      </w:r>
      <w:r w:rsidRPr="00B9304C">
        <w:rPr>
          <w:rFonts w:asciiTheme="majorBidi" w:hAnsiTheme="majorBidi" w:hint="cs"/>
          <w:rtl/>
        </w:rPr>
        <w:t>ה</w:t>
      </w:r>
      <w:r w:rsidRPr="00B9304C">
        <w:rPr>
          <w:rFonts w:asciiTheme="majorBidi" w:hAnsiTheme="majorBidi"/>
          <w:rtl/>
        </w:rPr>
        <w:t>אסורה על פי תקנה 46 לתקנות האג.</w:t>
      </w:r>
      <w:r>
        <w:rPr>
          <w:rFonts w:asciiTheme="majorBidi" w:hAnsiTheme="majorBidi"/>
          <w:rtl/>
        </w:rPr>
        <w:t xml:space="preserve"> </w:t>
      </w:r>
      <w:r w:rsidRPr="00B9304C">
        <w:t>Schwarzenberger</w:t>
      </w:r>
      <w:r w:rsidRPr="00B9304C">
        <w:rPr>
          <w:rFonts w:asciiTheme="majorBidi" w:hAnsiTheme="majorBidi" w:hint="cs"/>
          <w:rtl/>
        </w:rPr>
        <w:t xml:space="preserve"> סבר כי</w:t>
      </w:r>
      <w:r w:rsidRPr="00B9304C">
        <w:rPr>
          <w:rFonts w:asciiTheme="majorBidi" w:hAnsiTheme="majorBidi"/>
          <w:rtl/>
        </w:rPr>
        <w:t xml:space="preserve"> ישנם מספר תנאים </w:t>
      </w:r>
      <w:r w:rsidRPr="00B9304C">
        <w:rPr>
          <w:rFonts w:asciiTheme="majorBidi" w:hAnsiTheme="majorBidi" w:hint="cs"/>
          <w:rtl/>
        </w:rPr>
        <w:t xml:space="preserve">אשר בהתקיימותם ניתן לבצע </w:t>
      </w:r>
      <w:r w:rsidRPr="00B9304C">
        <w:rPr>
          <w:rFonts w:asciiTheme="majorBidi" w:hAnsiTheme="majorBidi"/>
          <w:rtl/>
        </w:rPr>
        <w:t xml:space="preserve">הפקעה </w:t>
      </w:r>
      <w:r w:rsidRPr="00B9304C">
        <w:rPr>
          <w:rFonts w:asciiTheme="majorBidi" w:hAnsiTheme="majorBidi" w:hint="cs"/>
          <w:rtl/>
        </w:rPr>
        <w:t xml:space="preserve">בשטח כבוש. </w:t>
      </w:r>
      <w:r>
        <w:rPr>
          <w:rFonts w:asciiTheme="majorBidi" w:hAnsiTheme="majorBidi" w:hint="cs"/>
          <w:rtl/>
        </w:rPr>
        <w:t>על מנת שהפקעה תהיה חוקית נדרש כי היא תבוצע</w:t>
      </w:r>
      <w:r w:rsidRPr="00B9304C">
        <w:rPr>
          <w:rFonts w:asciiTheme="majorBidi" w:hAnsiTheme="majorBidi" w:hint="cs"/>
          <w:rtl/>
        </w:rPr>
        <w:t xml:space="preserve"> </w:t>
      </w:r>
      <w:r>
        <w:rPr>
          <w:rFonts w:asciiTheme="majorBidi" w:hAnsiTheme="majorBidi" w:hint="cs"/>
          <w:rtl/>
        </w:rPr>
        <w:t>במידתיות</w:t>
      </w:r>
      <w:r w:rsidRPr="00B9304C">
        <w:rPr>
          <w:rFonts w:asciiTheme="majorBidi" w:hAnsiTheme="majorBidi" w:hint="cs"/>
          <w:rtl/>
        </w:rPr>
        <w:t xml:space="preserve"> </w:t>
      </w:r>
      <w:r>
        <w:rPr>
          <w:rFonts w:asciiTheme="majorBidi" w:hAnsiTheme="majorBidi" w:hint="cs"/>
          <w:rtl/>
        </w:rPr>
        <w:t>ו</w:t>
      </w:r>
      <w:r w:rsidRPr="00B9304C">
        <w:rPr>
          <w:rFonts w:asciiTheme="majorBidi" w:hAnsiTheme="majorBidi" w:hint="cs"/>
          <w:rtl/>
        </w:rPr>
        <w:t xml:space="preserve">בהתאם למשאבים הקיימים בשטח הכבוש. </w:t>
      </w:r>
      <w:r w:rsidRPr="00B9304C">
        <w:t>Schwarzenberger</w:t>
      </w:r>
      <w:r w:rsidRPr="00B9304C">
        <w:rPr>
          <w:rFonts w:hint="cs"/>
          <w:rtl/>
        </w:rPr>
        <w:t xml:space="preserve"> </w:t>
      </w:r>
      <w:r>
        <w:rPr>
          <w:rFonts w:hint="cs"/>
          <w:rtl/>
        </w:rPr>
        <w:t>ה</w:t>
      </w:r>
      <w:r w:rsidRPr="00B9304C">
        <w:rPr>
          <w:rFonts w:hint="cs"/>
          <w:rtl/>
        </w:rPr>
        <w:t xml:space="preserve">דגיש כי </w:t>
      </w:r>
      <w:r w:rsidRPr="00B9304C">
        <w:rPr>
          <w:rFonts w:asciiTheme="majorBidi" w:hAnsiTheme="majorBidi" w:hint="cs"/>
          <w:rtl/>
        </w:rPr>
        <w:t xml:space="preserve">תנאי זה יכול להיבחן רק באופן רטרואקטיבי, לאור מדיניות ההפקעה הכללית </w:t>
      </w:r>
      <w:r>
        <w:rPr>
          <w:rFonts w:asciiTheme="majorBidi" w:hAnsiTheme="majorBidi" w:hint="cs"/>
          <w:rtl/>
        </w:rPr>
        <w:t>של המעצמה הכובשת. בנוסף, נדרש</w:t>
      </w:r>
      <w:r w:rsidRPr="00B9304C">
        <w:rPr>
          <w:rFonts w:asciiTheme="majorBidi" w:hAnsiTheme="majorBidi" w:hint="cs"/>
          <w:rtl/>
        </w:rPr>
        <w:t xml:space="preserve"> </w:t>
      </w:r>
      <w:r>
        <w:rPr>
          <w:rFonts w:hint="cs"/>
          <w:rtl/>
        </w:rPr>
        <w:t>שההפקעה לא תחייב תושבים ליטול חלק בפעילות צבאית נגד מדינתם (תנאי שרלוונטי יותר בנוגע להספקת שירותים ופחות להפקעת רכוש וקרקע)</w:t>
      </w:r>
      <w:r>
        <w:rPr>
          <w:rFonts w:asciiTheme="majorBidi" w:hAnsiTheme="majorBidi" w:hint="cs"/>
          <w:rtl/>
        </w:rPr>
        <w:t xml:space="preserve">. </w:t>
      </w:r>
      <w:r w:rsidRPr="00B9304C">
        <w:rPr>
          <w:rFonts w:asciiTheme="majorBidi" w:hAnsiTheme="majorBidi" w:hint="cs"/>
          <w:rtl/>
        </w:rPr>
        <w:t>התנאי שלישי הוא שההפקעה תהיה בסמכות המפקד הצבאי.</w:t>
      </w:r>
      <w:r>
        <w:rPr>
          <w:rStyle w:val="a6"/>
          <w:rFonts w:asciiTheme="majorBidi" w:hAnsiTheme="majorBidi"/>
          <w:rtl/>
        </w:rPr>
        <w:footnoteReference w:id="28"/>
      </w:r>
      <w:r w:rsidRPr="00B9304C">
        <w:rPr>
          <w:rFonts w:asciiTheme="majorBidi" w:hAnsiTheme="majorBidi" w:hint="cs"/>
          <w:rtl/>
        </w:rPr>
        <w:t xml:space="preserve"> </w:t>
      </w:r>
      <w:r>
        <w:rPr>
          <w:rFonts w:asciiTheme="majorBidi" w:hAnsiTheme="majorBidi" w:hint="cs"/>
          <w:rtl/>
        </w:rPr>
        <w:t xml:space="preserve">שני תנאים נוספים, אליהם התייחס </w:t>
      </w:r>
      <w:r w:rsidRPr="00B9304C">
        <w:t>Schwarzenberger</w:t>
      </w:r>
      <w:r>
        <w:rPr>
          <w:rFonts w:asciiTheme="majorBidi" w:hAnsiTheme="majorBidi" w:hint="cs"/>
          <w:rtl/>
        </w:rPr>
        <w:t>,</w:t>
      </w:r>
      <w:r w:rsidRPr="00B9304C">
        <w:rPr>
          <w:rFonts w:asciiTheme="majorBidi" w:hAnsiTheme="majorBidi" w:hint="cs"/>
          <w:rtl/>
        </w:rPr>
        <w:t xml:space="preserve"> זכו ל</w:t>
      </w:r>
      <w:r>
        <w:rPr>
          <w:rFonts w:asciiTheme="majorBidi" w:hAnsiTheme="majorBidi" w:hint="cs"/>
          <w:rtl/>
        </w:rPr>
        <w:t>תמיכה ו</w:t>
      </w:r>
      <w:r w:rsidRPr="00B9304C">
        <w:rPr>
          <w:rFonts w:asciiTheme="majorBidi" w:hAnsiTheme="majorBidi" w:hint="cs"/>
          <w:rtl/>
        </w:rPr>
        <w:t xml:space="preserve">התייחסות </w:t>
      </w:r>
      <w:r>
        <w:rPr>
          <w:rFonts w:asciiTheme="majorBidi" w:hAnsiTheme="majorBidi" w:hint="cs"/>
          <w:rtl/>
        </w:rPr>
        <w:t xml:space="preserve">במספר טריבונלים של בוררות שהוקמו לאחר מלחמת העולם הראשונה, וכוללים את </w:t>
      </w:r>
      <w:r w:rsidRPr="00A305BA">
        <w:rPr>
          <w:rFonts w:asciiTheme="majorBidi" w:hAnsiTheme="majorBidi" w:hint="cs"/>
          <w:b/>
          <w:bCs/>
          <w:rtl/>
        </w:rPr>
        <w:t xml:space="preserve">הדרישה לפיה </w:t>
      </w:r>
      <w:r w:rsidRPr="00A305BA">
        <w:rPr>
          <w:rFonts w:asciiTheme="majorBidi" w:hAnsiTheme="majorBidi"/>
          <w:b/>
          <w:bCs/>
          <w:rtl/>
        </w:rPr>
        <w:t>הפקעה</w:t>
      </w:r>
      <w:r w:rsidRPr="00A305BA">
        <w:rPr>
          <w:rFonts w:asciiTheme="majorBidi" w:hAnsiTheme="majorBidi" w:hint="cs"/>
          <w:b/>
          <w:bCs/>
          <w:rtl/>
        </w:rPr>
        <w:t xml:space="preserve"> חוקית</w:t>
      </w:r>
      <w:r w:rsidRPr="00A305BA">
        <w:rPr>
          <w:rFonts w:asciiTheme="majorBidi" w:hAnsiTheme="majorBidi"/>
          <w:b/>
          <w:bCs/>
          <w:rtl/>
        </w:rPr>
        <w:t xml:space="preserve"> תהיה מוגבלת לצרכים של הצבא הכובש ותתבצע תמורת תשלום</w:t>
      </w:r>
      <w:r w:rsidRPr="00B9304C">
        <w:rPr>
          <w:rFonts w:asciiTheme="majorBidi" w:hAnsiTheme="majorBidi"/>
          <w:rtl/>
        </w:rPr>
        <w:t>.</w:t>
      </w:r>
      <w:r w:rsidRPr="00B9304C">
        <w:rPr>
          <w:rStyle w:val="a6"/>
          <w:rFonts w:asciiTheme="majorBidi" w:hAnsiTheme="majorBidi"/>
          <w:rtl/>
        </w:rPr>
        <w:footnoteReference w:id="29"/>
      </w:r>
      <w:r>
        <w:rPr>
          <w:rFonts w:asciiTheme="majorBidi" w:hAnsiTheme="majorBidi"/>
          <w:rtl/>
        </w:rPr>
        <w:t xml:space="preserve"> </w:t>
      </w:r>
      <w:r>
        <w:rPr>
          <w:rFonts w:asciiTheme="majorBidi" w:hAnsiTheme="majorBidi" w:hint="cs"/>
          <w:rtl/>
        </w:rPr>
        <w:t xml:space="preserve"> </w:t>
      </w:r>
    </w:p>
    <w:p w:rsidR="00E34EF1" w:rsidRPr="00A305BA" w:rsidRDefault="00E34EF1" w:rsidP="00A305BA">
      <w:pPr>
        <w:pStyle w:val="a3"/>
        <w:numPr>
          <w:ilvl w:val="0"/>
          <w:numId w:val="1"/>
        </w:numPr>
        <w:bidi/>
        <w:spacing w:before="120" w:after="120" w:line="360" w:lineRule="auto"/>
        <w:ind w:left="425" w:hanging="357"/>
        <w:contextualSpacing w:val="0"/>
        <w:rPr>
          <w:rFonts w:asciiTheme="majorBidi" w:hAnsiTheme="majorBidi"/>
        </w:rPr>
      </w:pPr>
      <w:r w:rsidRPr="00A305BA">
        <w:rPr>
          <w:rFonts w:asciiTheme="majorBidi" w:hAnsiTheme="majorBidi" w:hint="cs"/>
          <w:rtl/>
        </w:rPr>
        <w:t xml:space="preserve">ניתן למצוא התייחסות נוספת לשימוש בתקנה 46 לתקנות האג ולפרשנות המונח </w:t>
      </w:r>
      <w:r w:rsidRPr="00A305BA">
        <w:t>confiscation</w:t>
      </w:r>
      <w:r w:rsidRPr="00A305BA">
        <w:rPr>
          <w:rFonts w:asciiTheme="majorBidi" w:hAnsiTheme="majorBidi" w:hint="cs"/>
          <w:rtl/>
        </w:rPr>
        <w:t xml:space="preserve"> </w:t>
      </w:r>
      <w:r w:rsidRPr="00A305BA">
        <w:rPr>
          <w:rFonts w:asciiTheme="majorBidi" w:hAnsiTheme="majorBidi" w:hint="cs"/>
          <w:b/>
          <w:bCs/>
          <w:rtl/>
        </w:rPr>
        <w:t>בספרות</w:t>
      </w:r>
      <w:r w:rsidRPr="00A305BA">
        <w:rPr>
          <w:rFonts w:asciiTheme="majorBidi" w:hAnsiTheme="majorBidi"/>
          <w:b/>
          <w:bCs/>
          <w:rtl/>
        </w:rPr>
        <w:t xml:space="preserve"> </w:t>
      </w:r>
      <w:r w:rsidRPr="00A305BA">
        <w:rPr>
          <w:rFonts w:asciiTheme="majorBidi" w:hAnsiTheme="majorBidi" w:hint="cs"/>
          <w:b/>
          <w:bCs/>
          <w:rtl/>
        </w:rPr>
        <w:t>אקדמית</w:t>
      </w:r>
      <w:r w:rsidRPr="00A305BA">
        <w:rPr>
          <w:rFonts w:asciiTheme="majorBidi" w:hAnsiTheme="majorBidi" w:hint="cs"/>
          <w:rtl/>
        </w:rPr>
        <w:t xml:space="preserve">. </w:t>
      </w:r>
      <w:r w:rsidRPr="00A305BA">
        <w:rPr>
          <w:rFonts w:asciiTheme="majorBidi" w:hAnsiTheme="majorBidi"/>
          <w:rtl/>
        </w:rPr>
        <w:t xml:space="preserve">פרופ' </w:t>
      </w:r>
      <w:r w:rsidRPr="00A305BA">
        <w:rPr>
          <w:rFonts w:asciiTheme="majorBidi" w:hAnsiTheme="majorBidi" w:hint="cs"/>
          <w:rtl/>
        </w:rPr>
        <w:t xml:space="preserve">יורם </w:t>
      </w:r>
      <w:r w:rsidRPr="00A305BA">
        <w:rPr>
          <w:rFonts w:asciiTheme="majorBidi" w:hAnsiTheme="majorBidi"/>
          <w:rtl/>
        </w:rPr>
        <w:t>דינשטיין</w:t>
      </w:r>
      <w:r w:rsidRPr="00A305BA">
        <w:rPr>
          <w:rFonts w:asciiTheme="majorBidi" w:hAnsiTheme="majorBidi" w:hint="cs"/>
          <w:rtl/>
        </w:rPr>
        <w:t xml:space="preserve"> הציג בספרו עמדה לפיה</w:t>
      </w:r>
      <w:r w:rsidRPr="00A305BA">
        <w:rPr>
          <w:rFonts w:asciiTheme="majorBidi" w:hAnsiTheme="majorBidi"/>
          <w:rtl/>
        </w:rPr>
        <w:t xml:space="preserve"> כל פעולה של תפיסת רכוש צריכה להיבחן תוך התחשבות </w:t>
      </w:r>
      <w:r w:rsidRPr="00A305BA">
        <w:rPr>
          <w:rFonts w:asciiTheme="majorBidi" w:hAnsiTheme="majorBidi" w:hint="cs"/>
          <w:rtl/>
        </w:rPr>
        <w:t>ב</w:t>
      </w:r>
      <w:r w:rsidRPr="00A305BA">
        <w:rPr>
          <w:rFonts w:asciiTheme="majorBidi" w:hAnsiTheme="majorBidi"/>
          <w:rtl/>
        </w:rPr>
        <w:t xml:space="preserve">כלל הנסיבות, וזאת לאור דיני הלחימה. </w:t>
      </w:r>
      <w:r w:rsidRPr="00A305BA">
        <w:rPr>
          <w:rFonts w:asciiTheme="majorBidi" w:hAnsiTheme="majorBidi" w:hint="cs"/>
          <w:rtl/>
        </w:rPr>
        <w:t xml:space="preserve">אולם, </w:t>
      </w:r>
      <w:r w:rsidRPr="00656E50">
        <w:rPr>
          <w:rFonts w:hint="cs"/>
          <w:rtl/>
        </w:rPr>
        <w:t xml:space="preserve">פרופ' דינשטיין </w:t>
      </w:r>
      <w:r w:rsidRPr="00A305BA">
        <w:rPr>
          <w:rFonts w:asciiTheme="majorBidi" w:hAnsiTheme="majorBidi" w:hint="cs"/>
          <w:rtl/>
        </w:rPr>
        <w:t>הדגיש בספרו כי</w:t>
      </w:r>
      <w:r w:rsidRPr="00A305BA">
        <w:rPr>
          <w:rFonts w:asciiTheme="majorBidi" w:hAnsiTheme="majorBidi"/>
          <w:rtl/>
        </w:rPr>
        <w:t xml:space="preserve"> כיבוד </w:t>
      </w:r>
      <w:r w:rsidRPr="00A305BA">
        <w:rPr>
          <w:rFonts w:asciiTheme="majorBidi" w:hAnsiTheme="majorBidi" w:hint="cs"/>
          <w:rtl/>
        </w:rPr>
        <w:t>הקרקע ו</w:t>
      </w:r>
      <w:r w:rsidRPr="00A305BA">
        <w:rPr>
          <w:rFonts w:asciiTheme="majorBidi" w:hAnsiTheme="majorBidi"/>
          <w:rtl/>
        </w:rPr>
        <w:t xml:space="preserve">הרכוש הפרטי בהתאם </w:t>
      </w:r>
      <w:r w:rsidRPr="00A305BA">
        <w:rPr>
          <w:rFonts w:asciiTheme="majorBidi" w:hAnsiTheme="majorBidi" w:hint="cs"/>
          <w:rtl/>
        </w:rPr>
        <w:t>ל</w:t>
      </w:r>
      <w:r w:rsidRPr="00A305BA">
        <w:rPr>
          <w:rFonts w:asciiTheme="majorBidi" w:hAnsiTheme="majorBidi"/>
          <w:rtl/>
        </w:rPr>
        <w:t xml:space="preserve">תקנה 46 </w:t>
      </w:r>
      <w:r w:rsidRPr="00A305BA">
        <w:rPr>
          <w:rFonts w:asciiTheme="majorBidi" w:hAnsiTheme="majorBidi"/>
          <w:b/>
          <w:bCs/>
          <w:rtl/>
        </w:rPr>
        <w:t xml:space="preserve">אינו כולל רק הגנה </w:t>
      </w:r>
      <w:r w:rsidRPr="00A305BA">
        <w:rPr>
          <w:rFonts w:asciiTheme="majorBidi" w:hAnsiTheme="majorBidi" w:hint="cs"/>
          <w:b/>
          <w:bCs/>
          <w:rtl/>
        </w:rPr>
        <w:t>מפני אובדן ה</w:t>
      </w:r>
      <w:r w:rsidRPr="00A305BA">
        <w:rPr>
          <w:rFonts w:asciiTheme="majorBidi" w:hAnsiTheme="majorBidi"/>
          <w:b/>
          <w:bCs/>
          <w:rtl/>
        </w:rPr>
        <w:t>בעלות</w:t>
      </w:r>
      <w:r w:rsidRPr="00A305BA">
        <w:rPr>
          <w:rFonts w:asciiTheme="majorBidi" w:hAnsiTheme="majorBidi"/>
          <w:rtl/>
        </w:rPr>
        <w:t xml:space="preserve">. </w:t>
      </w:r>
      <w:r w:rsidRPr="00A305BA">
        <w:rPr>
          <w:rFonts w:hint="cs"/>
          <w:rtl/>
        </w:rPr>
        <w:t>פרופ</w:t>
      </w:r>
      <w:r w:rsidRPr="00A305BA">
        <w:rPr>
          <w:rtl/>
        </w:rPr>
        <w:t>'</w:t>
      </w:r>
      <w:r w:rsidRPr="00A305BA">
        <w:rPr>
          <w:rFonts w:asciiTheme="majorBidi" w:hAnsiTheme="majorBidi" w:hint="cs"/>
          <w:rtl/>
        </w:rPr>
        <w:t xml:space="preserve"> דינשטיין הציג כתמיכה לעמדתו את הפסיקות שהוצגו לעיל </w:t>
      </w:r>
      <w:r>
        <w:rPr>
          <w:rFonts w:hint="cs"/>
          <w:rtl/>
        </w:rPr>
        <w:t>מ</w:t>
      </w:r>
      <w:r w:rsidRPr="004937C5">
        <w:rPr>
          <w:rtl/>
        </w:rPr>
        <w:t>משפטי פושעי המלחמה בפני בתי הדין הצבאיים בנירנברג</w:t>
      </w:r>
      <w:r>
        <w:rPr>
          <w:rFonts w:hint="cs"/>
          <w:rtl/>
        </w:rPr>
        <w:t>, כמו גם פ</w:t>
      </w:r>
      <w:r w:rsidRPr="00A305BA">
        <w:rPr>
          <w:rFonts w:asciiTheme="majorBidi" w:hAnsiTheme="majorBidi" w:hint="cs"/>
          <w:rtl/>
        </w:rPr>
        <w:t xml:space="preserve">סיקה של </w:t>
      </w:r>
      <w:r w:rsidRPr="00A305BA">
        <w:rPr>
          <w:rFonts w:asciiTheme="majorBidi" w:hAnsiTheme="majorBidi"/>
          <w:rtl/>
        </w:rPr>
        <w:t xml:space="preserve">בית </w:t>
      </w:r>
      <w:r w:rsidRPr="00A305BA">
        <w:rPr>
          <w:rFonts w:asciiTheme="majorBidi" w:hAnsiTheme="majorBidi"/>
          <w:rtl/>
        </w:rPr>
        <w:lastRenderedPageBreak/>
        <w:t>הדין האירופאי לזכויות אדם</w:t>
      </w:r>
      <w:r w:rsidRPr="00A305BA">
        <w:rPr>
          <w:rFonts w:asciiTheme="majorBidi" w:hAnsiTheme="majorBidi" w:hint="cs"/>
          <w:rtl/>
        </w:rPr>
        <w:t>,</w:t>
      </w:r>
      <w:r w:rsidRPr="00A305BA">
        <w:rPr>
          <w:rFonts w:asciiTheme="majorBidi" w:hAnsiTheme="majorBidi"/>
          <w:rtl/>
        </w:rPr>
        <w:t xml:space="preserve"> </w:t>
      </w:r>
      <w:r w:rsidRPr="00A305BA">
        <w:rPr>
          <w:rFonts w:asciiTheme="majorBidi" w:hAnsiTheme="majorBidi" w:hint="cs"/>
          <w:rtl/>
        </w:rPr>
        <w:t xml:space="preserve">אשר </w:t>
      </w:r>
      <w:r w:rsidRPr="00A305BA">
        <w:rPr>
          <w:rFonts w:asciiTheme="majorBidi" w:hAnsiTheme="majorBidi"/>
          <w:rtl/>
        </w:rPr>
        <w:t>קבע</w:t>
      </w:r>
      <w:r w:rsidRPr="00A305BA">
        <w:rPr>
          <w:rFonts w:asciiTheme="majorBidi" w:hAnsiTheme="majorBidi" w:hint="cs"/>
          <w:rtl/>
        </w:rPr>
        <w:t>ה</w:t>
      </w:r>
      <w:r w:rsidRPr="00A305BA">
        <w:rPr>
          <w:rFonts w:asciiTheme="majorBidi" w:hAnsiTheme="majorBidi"/>
          <w:rtl/>
        </w:rPr>
        <w:t xml:space="preserve"> כי מניעת גישה לשטח לזמן רב משמעותה למעשה שלילת בעלות</w:t>
      </w:r>
      <w:r w:rsidRPr="00A305BA">
        <w:rPr>
          <w:rFonts w:asciiTheme="majorBidi" w:hAnsiTheme="majorBidi" w:hint="cs"/>
          <w:rtl/>
        </w:rPr>
        <w:t>,</w:t>
      </w:r>
      <w:r w:rsidRPr="00A305BA">
        <w:rPr>
          <w:rFonts w:asciiTheme="majorBidi" w:hAnsiTheme="majorBidi"/>
          <w:rtl/>
        </w:rPr>
        <w:t xml:space="preserve"> המהווה הפרה של תקנה 46 לתקנות האג.</w:t>
      </w:r>
      <w:r>
        <w:rPr>
          <w:rStyle w:val="a6"/>
          <w:rFonts w:asciiTheme="majorBidi" w:hAnsiTheme="majorBidi"/>
          <w:rtl/>
        </w:rPr>
        <w:footnoteReference w:id="30"/>
      </w:r>
      <w:r w:rsidRPr="00A305BA">
        <w:rPr>
          <w:rFonts w:asciiTheme="majorBidi" w:hAnsiTheme="majorBidi"/>
          <w:b/>
          <w:bCs/>
          <w:rtl/>
        </w:rPr>
        <w:t xml:space="preserve"> </w:t>
      </w:r>
    </w:p>
    <w:p w:rsidR="00E34EF1" w:rsidRPr="00A305BA" w:rsidRDefault="00E34EF1" w:rsidP="00A305BA">
      <w:pPr>
        <w:pStyle w:val="a3"/>
        <w:numPr>
          <w:ilvl w:val="0"/>
          <w:numId w:val="18"/>
        </w:numPr>
        <w:bidi/>
        <w:spacing w:before="120" w:after="120" w:line="360" w:lineRule="auto"/>
        <w:ind w:left="363" w:hanging="357"/>
        <w:contextualSpacing w:val="0"/>
        <w:rPr>
          <w:b/>
          <w:bCs/>
          <w:u w:val="single"/>
        </w:rPr>
      </w:pPr>
      <w:r>
        <w:rPr>
          <w:rFonts w:hint="cs"/>
          <w:b/>
          <w:bCs/>
          <w:u w:val="single"/>
          <w:rtl/>
        </w:rPr>
        <w:t>פרשנות האיסור על פגיעה בקניין פרטי בחוקת בית הדין הפלילי הבין-לאומי</w:t>
      </w:r>
    </w:p>
    <w:p w:rsidR="00E34EF1" w:rsidRPr="00656E50" w:rsidRDefault="00E34EF1" w:rsidP="00A305BA">
      <w:pPr>
        <w:pStyle w:val="a3"/>
        <w:numPr>
          <w:ilvl w:val="0"/>
          <w:numId w:val="1"/>
        </w:numPr>
        <w:bidi/>
        <w:spacing w:before="120" w:after="120" w:line="360" w:lineRule="auto"/>
        <w:ind w:left="425" w:hanging="357"/>
        <w:contextualSpacing w:val="0"/>
        <w:rPr>
          <w:rStyle w:val="apple-style-span"/>
          <w:rFonts w:asciiTheme="majorBidi" w:hAnsiTheme="majorBidi"/>
        </w:rPr>
      </w:pPr>
      <w:r w:rsidRPr="00656E50">
        <w:rPr>
          <w:rFonts w:asciiTheme="majorBidi" w:hAnsiTheme="majorBidi"/>
          <w:rtl/>
        </w:rPr>
        <w:t>סעי</w:t>
      </w:r>
      <w:r w:rsidRPr="00656E50">
        <w:rPr>
          <w:rFonts w:asciiTheme="majorBidi" w:hAnsiTheme="majorBidi" w:hint="cs"/>
          <w:rtl/>
        </w:rPr>
        <w:t>ף</w:t>
      </w:r>
      <w:r w:rsidRPr="00656E50">
        <w:rPr>
          <w:rFonts w:asciiTheme="majorBidi" w:hAnsiTheme="majorBidi"/>
          <w:rtl/>
        </w:rPr>
        <w:t xml:space="preserve"> 8(2)(</w:t>
      </w:r>
      <w:r w:rsidRPr="00656E50">
        <w:rPr>
          <w:rFonts w:asciiTheme="majorBidi" w:hAnsiTheme="majorBidi"/>
        </w:rPr>
        <w:t>a</w:t>
      </w:r>
      <w:r w:rsidRPr="00656E50">
        <w:rPr>
          <w:rFonts w:asciiTheme="majorBidi" w:hAnsiTheme="majorBidi"/>
          <w:rtl/>
        </w:rPr>
        <w:t>)(</w:t>
      </w:r>
      <w:r w:rsidRPr="00656E50">
        <w:rPr>
          <w:rFonts w:asciiTheme="majorBidi" w:hAnsiTheme="majorBidi"/>
        </w:rPr>
        <w:t>iv</w:t>
      </w:r>
      <w:r w:rsidRPr="00656E50">
        <w:rPr>
          <w:rFonts w:asciiTheme="majorBidi" w:hAnsiTheme="majorBidi"/>
          <w:rtl/>
        </w:rPr>
        <w:t>) לחוקת בית הדין הפלילי עוסק בעבירה של הרס רכוש והחרמתו</w:t>
      </w:r>
      <w:r w:rsidRPr="00656E50">
        <w:rPr>
          <w:rFonts w:asciiTheme="majorBidi" w:hAnsiTheme="majorBidi" w:hint="cs"/>
          <w:rtl/>
        </w:rPr>
        <w:t>.</w:t>
      </w:r>
      <w:r w:rsidRPr="00656E50">
        <w:rPr>
          <w:rStyle w:val="a6"/>
          <w:rFonts w:asciiTheme="majorBidi" w:hAnsiTheme="majorBidi"/>
          <w:rtl/>
        </w:rPr>
        <w:footnoteReference w:id="31"/>
      </w:r>
      <w:r w:rsidRPr="00656E50">
        <w:rPr>
          <w:rFonts w:asciiTheme="majorBidi" w:hAnsiTheme="majorBidi"/>
          <w:rtl/>
        </w:rPr>
        <w:t xml:space="preserve"> </w:t>
      </w:r>
      <w:r w:rsidRPr="00656E50">
        <w:rPr>
          <w:rStyle w:val="apple-style-span"/>
          <w:rFonts w:asciiTheme="majorBidi" w:hAnsiTheme="majorBidi"/>
          <w:rtl/>
        </w:rPr>
        <w:t xml:space="preserve">לצורך פרשנות הסעיף, </w:t>
      </w:r>
      <w:r>
        <w:rPr>
          <w:rStyle w:val="apple-style-span"/>
          <w:rFonts w:asciiTheme="majorBidi" w:hAnsiTheme="majorBidi" w:hint="cs"/>
          <w:rtl/>
        </w:rPr>
        <w:t xml:space="preserve">מסמך הפרשנות למסמך </w:t>
      </w:r>
      <w:r w:rsidRPr="00656E50">
        <w:rPr>
          <w:rStyle w:val="apple-style-span"/>
          <w:rFonts w:asciiTheme="majorBidi" w:hAnsiTheme="majorBidi"/>
          <w:rtl/>
        </w:rPr>
        <w:t>יסודות הפשעים של ח</w:t>
      </w:r>
      <w:r>
        <w:rPr>
          <w:rStyle w:val="apple-style-span"/>
          <w:rFonts w:asciiTheme="majorBidi" w:hAnsiTheme="majorBidi"/>
          <w:rtl/>
        </w:rPr>
        <w:t xml:space="preserve">וקת בית הדין הפלילי הבין-לאומי </w:t>
      </w:r>
      <w:r>
        <w:rPr>
          <w:rStyle w:val="apple-style-span"/>
          <w:rFonts w:asciiTheme="majorBidi" w:hAnsiTheme="majorBidi" w:hint="cs"/>
          <w:rtl/>
        </w:rPr>
        <w:t>ה</w:t>
      </w:r>
      <w:r w:rsidRPr="00656E50">
        <w:rPr>
          <w:rStyle w:val="apple-style-span"/>
          <w:rFonts w:asciiTheme="majorBidi" w:hAnsiTheme="majorBidi"/>
          <w:rtl/>
        </w:rPr>
        <w:t xml:space="preserve">פנה לתקנה 46 לתקנות האג כמקור משפטי בהקשר של </w:t>
      </w:r>
      <w:r w:rsidRPr="00656E50">
        <w:rPr>
          <w:rFonts w:asciiTheme="majorBidi" w:hAnsiTheme="majorBidi"/>
          <w:rtl/>
        </w:rPr>
        <w:t>הריסה (</w:t>
      </w:r>
      <w:r>
        <w:rPr>
          <w:rFonts w:asciiTheme="majorBidi" w:hAnsiTheme="majorBidi"/>
        </w:rPr>
        <w:t>d</w:t>
      </w:r>
      <w:r w:rsidRPr="00656E50">
        <w:rPr>
          <w:rFonts w:asciiTheme="majorBidi" w:hAnsiTheme="majorBidi"/>
        </w:rPr>
        <w:t>estruction</w:t>
      </w:r>
      <w:r w:rsidRPr="00656E50">
        <w:rPr>
          <w:rFonts w:asciiTheme="majorBidi" w:hAnsiTheme="majorBidi"/>
          <w:rtl/>
        </w:rPr>
        <w:t>)</w:t>
      </w:r>
      <w:r w:rsidRPr="00656E50">
        <w:rPr>
          <w:rFonts w:asciiTheme="majorBidi" w:hAnsiTheme="majorBidi"/>
        </w:rPr>
        <w:t xml:space="preserve"> </w:t>
      </w:r>
      <w:r w:rsidRPr="00656E50">
        <w:rPr>
          <w:rFonts w:asciiTheme="majorBidi" w:hAnsiTheme="majorBidi"/>
          <w:rtl/>
        </w:rPr>
        <w:t>ובהקשר של החרמה</w:t>
      </w:r>
      <w:r w:rsidRPr="00656E50">
        <w:rPr>
          <w:rFonts w:asciiTheme="majorBidi" w:hAnsiTheme="majorBidi"/>
        </w:rPr>
        <w:t xml:space="preserve"> </w:t>
      </w:r>
      <w:r w:rsidRPr="00656E50">
        <w:rPr>
          <w:rFonts w:asciiTheme="majorBidi" w:hAnsiTheme="majorBidi"/>
          <w:rtl/>
        </w:rPr>
        <w:t>(</w:t>
      </w:r>
      <w:r>
        <w:rPr>
          <w:rFonts w:asciiTheme="majorBidi" w:hAnsiTheme="majorBidi"/>
        </w:rPr>
        <w:t>a</w:t>
      </w:r>
      <w:r w:rsidRPr="00656E50">
        <w:rPr>
          <w:rFonts w:asciiTheme="majorBidi" w:hAnsiTheme="majorBidi"/>
        </w:rPr>
        <w:t>ppropriation</w:t>
      </w:r>
      <w:r w:rsidRPr="00656E50">
        <w:rPr>
          <w:rFonts w:asciiTheme="majorBidi" w:hAnsiTheme="majorBidi"/>
          <w:rtl/>
        </w:rPr>
        <w:t>).</w:t>
      </w:r>
      <w:r w:rsidRPr="00656E50">
        <w:rPr>
          <w:rStyle w:val="a6"/>
          <w:rFonts w:asciiTheme="majorBidi" w:hAnsiTheme="majorBidi"/>
          <w:rtl/>
        </w:rPr>
        <w:footnoteReference w:id="32"/>
      </w:r>
      <w:r w:rsidRPr="00656E50">
        <w:rPr>
          <w:rStyle w:val="apple-style-span"/>
          <w:rFonts w:asciiTheme="majorBidi" w:hAnsiTheme="majorBidi"/>
          <w:rtl/>
        </w:rPr>
        <w:t xml:space="preserve"> בהקשר של החרמה, מסמך </w:t>
      </w:r>
      <w:r>
        <w:rPr>
          <w:rStyle w:val="apple-style-span"/>
          <w:rFonts w:asciiTheme="majorBidi" w:hAnsiTheme="majorBidi" w:hint="cs"/>
          <w:rtl/>
        </w:rPr>
        <w:t>הפרשנות ה</w:t>
      </w:r>
      <w:r w:rsidRPr="00656E50">
        <w:rPr>
          <w:rStyle w:val="apple-style-span"/>
          <w:rFonts w:asciiTheme="majorBidi" w:hAnsiTheme="majorBidi"/>
          <w:rtl/>
        </w:rPr>
        <w:t>דגיש כי אין סעיפים המתייחסים באופן ספציפי להחרמה של</w:t>
      </w:r>
      <w:r>
        <w:rPr>
          <w:rStyle w:val="apple-style-span"/>
          <w:rFonts w:asciiTheme="majorBidi" w:hAnsiTheme="majorBidi"/>
          <w:rtl/>
        </w:rPr>
        <w:t xml:space="preserve"> רכוש ומגדירים </w:t>
      </w:r>
      <w:r>
        <w:rPr>
          <w:rStyle w:val="apple-style-span"/>
          <w:rFonts w:asciiTheme="majorBidi" w:hAnsiTheme="majorBidi" w:hint="cs"/>
          <w:rtl/>
        </w:rPr>
        <w:t>אילו מעשים</w:t>
      </w:r>
      <w:r w:rsidRPr="00656E50">
        <w:rPr>
          <w:rStyle w:val="apple-style-span"/>
          <w:rFonts w:asciiTheme="majorBidi" w:hAnsiTheme="majorBidi"/>
          <w:rtl/>
        </w:rPr>
        <w:t xml:space="preserve"> </w:t>
      </w:r>
      <w:r>
        <w:rPr>
          <w:rStyle w:val="apple-style-span"/>
          <w:rFonts w:asciiTheme="majorBidi" w:hAnsiTheme="majorBidi" w:hint="cs"/>
          <w:rtl/>
        </w:rPr>
        <w:t>נחשבים</w:t>
      </w:r>
      <w:r>
        <w:rPr>
          <w:rStyle w:val="apple-style-span"/>
          <w:rFonts w:asciiTheme="majorBidi" w:hAnsiTheme="majorBidi"/>
          <w:rtl/>
        </w:rPr>
        <w:t xml:space="preserve"> הפרה של סעיף זה. המסמך </w:t>
      </w:r>
      <w:r>
        <w:rPr>
          <w:rStyle w:val="apple-style-span"/>
          <w:rFonts w:asciiTheme="majorBidi" w:hAnsiTheme="majorBidi" w:hint="cs"/>
          <w:rtl/>
        </w:rPr>
        <w:t>ה</w:t>
      </w:r>
      <w:r w:rsidRPr="00656E50">
        <w:rPr>
          <w:rStyle w:val="apple-style-span"/>
          <w:rFonts w:asciiTheme="majorBidi" w:hAnsiTheme="majorBidi"/>
          <w:rtl/>
        </w:rPr>
        <w:t>דגיש כי מונחים נוספים כגון ניצול השטח</w:t>
      </w:r>
      <w:r w:rsidRPr="00656E50">
        <w:rPr>
          <w:rStyle w:val="a6"/>
          <w:rFonts w:asciiTheme="majorBidi" w:hAnsiTheme="majorBidi"/>
          <w:rtl/>
        </w:rPr>
        <w:footnoteReference w:id="33"/>
      </w:r>
      <w:r>
        <w:rPr>
          <w:rFonts w:asciiTheme="majorBidi" w:hAnsiTheme="majorBidi" w:hint="cs"/>
          <w:rtl/>
        </w:rPr>
        <w:t xml:space="preserve"> (</w:t>
      </w:r>
      <w:r>
        <w:rPr>
          <w:rFonts w:asciiTheme="majorBidi" w:hAnsiTheme="majorBidi"/>
        </w:rPr>
        <w:t>ex</w:t>
      </w:r>
      <w:r w:rsidRPr="00656E50">
        <w:rPr>
          <w:rFonts w:asciiTheme="majorBidi" w:hAnsiTheme="majorBidi"/>
        </w:rPr>
        <w:t>ploitation</w:t>
      </w:r>
      <w:r>
        <w:rPr>
          <w:rFonts w:asciiTheme="majorBidi" w:hAnsiTheme="majorBidi" w:hint="cs"/>
          <w:rtl/>
        </w:rPr>
        <w:t>)</w:t>
      </w:r>
      <w:r w:rsidRPr="00656E50">
        <w:rPr>
          <w:rStyle w:val="apple-style-span"/>
          <w:rFonts w:asciiTheme="majorBidi" w:hAnsiTheme="majorBidi"/>
        </w:rPr>
        <w:t xml:space="preserve"> </w:t>
      </w:r>
      <w:r w:rsidRPr="00656E50">
        <w:rPr>
          <w:rStyle w:val="apple-style-span"/>
          <w:rFonts w:asciiTheme="majorBidi" w:hAnsiTheme="majorBidi"/>
          <w:rtl/>
        </w:rPr>
        <w:t xml:space="preserve"> רלוונט</w:t>
      </w:r>
      <w:r>
        <w:rPr>
          <w:rStyle w:val="apple-style-span"/>
          <w:rFonts w:asciiTheme="majorBidi" w:hAnsiTheme="majorBidi" w:hint="cs"/>
          <w:rtl/>
        </w:rPr>
        <w:t>י</w:t>
      </w:r>
      <w:r w:rsidRPr="00656E50">
        <w:rPr>
          <w:rStyle w:val="apple-style-span"/>
          <w:rFonts w:asciiTheme="majorBidi" w:hAnsiTheme="majorBidi"/>
          <w:rtl/>
        </w:rPr>
        <w:t xml:space="preserve">ים </w:t>
      </w:r>
      <w:r w:rsidRPr="00656E50">
        <w:rPr>
          <w:rStyle w:val="apple-style-span"/>
          <w:rFonts w:asciiTheme="majorBidi" w:hAnsiTheme="majorBidi" w:hint="cs"/>
          <w:rtl/>
        </w:rPr>
        <w:t>אף</w:t>
      </w:r>
      <w:r w:rsidRPr="00656E50">
        <w:rPr>
          <w:rStyle w:val="apple-style-span"/>
          <w:rFonts w:asciiTheme="majorBidi" w:hAnsiTheme="majorBidi"/>
          <w:rtl/>
        </w:rPr>
        <w:t xml:space="preserve"> הם</w:t>
      </w:r>
      <w:r w:rsidRPr="00656E50">
        <w:rPr>
          <w:rStyle w:val="apple-style-span"/>
          <w:rFonts w:asciiTheme="majorBidi" w:hAnsiTheme="majorBidi" w:hint="cs"/>
          <w:rtl/>
        </w:rPr>
        <w:t xml:space="preserve"> בעת פרשנות הסעיף</w:t>
      </w:r>
      <w:r w:rsidRPr="00656E50">
        <w:rPr>
          <w:rStyle w:val="apple-style-span"/>
          <w:rFonts w:asciiTheme="majorBidi" w:hAnsiTheme="majorBidi"/>
          <w:rtl/>
        </w:rPr>
        <w:t>.</w:t>
      </w:r>
    </w:p>
    <w:p w:rsidR="008000A2" w:rsidRPr="00656E50" w:rsidRDefault="00E34EF1" w:rsidP="004C5E13">
      <w:pPr>
        <w:pStyle w:val="a3"/>
        <w:numPr>
          <w:ilvl w:val="0"/>
          <w:numId w:val="1"/>
        </w:numPr>
        <w:bidi/>
        <w:spacing w:before="120" w:after="120" w:line="360" w:lineRule="auto"/>
        <w:ind w:left="425" w:hanging="357"/>
        <w:contextualSpacing w:val="0"/>
        <w:rPr>
          <w:rFonts w:asciiTheme="majorBidi" w:hAnsiTheme="majorBidi"/>
        </w:rPr>
      </w:pPr>
      <w:r w:rsidRPr="00656E50">
        <w:rPr>
          <w:rStyle w:val="apple-style-span"/>
          <w:rFonts w:asciiTheme="majorBidi" w:hAnsiTheme="majorBidi"/>
          <w:rtl/>
        </w:rPr>
        <w:t xml:space="preserve">סעיף </w:t>
      </w:r>
      <w:r w:rsidRPr="00656E50">
        <w:rPr>
          <w:rFonts w:asciiTheme="majorBidi" w:hAnsiTheme="majorBidi"/>
          <w:rtl/>
        </w:rPr>
        <w:t>8(2)(</w:t>
      </w:r>
      <w:r w:rsidRPr="00656E50">
        <w:rPr>
          <w:rFonts w:asciiTheme="majorBidi" w:hAnsiTheme="majorBidi"/>
        </w:rPr>
        <w:t>b</w:t>
      </w:r>
      <w:r w:rsidRPr="00656E50">
        <w:rPr>
          <w:rFonts w:asciiTheme="majorBidi" w:hAnsiTheme="majorBidi"/>
          <w:rtl/>
        </w:rPr>
        <w:t>)(</w:t>
      </w:r>
      <w:r w:rsidRPr="00656E50">
        <w:rPr>
          <w:rFonts w:asciiTheme="majorBidi" w:hAnsiTheme="majorBidi"/>
        </w:rPr>
        <w:t>xiii</w:t>
      </w:r>
      <w:r w:rsidRPr="00656E50">
        <w:rPr>
          <w:rFonts w:asciiTheme="majorBidi" w:hAnsiTheme="majorBidi"/>
          <w:rtl/>
        </w:rPr>
        <w:t>)</w:t>
      </w:r>
      <w:r w:rsidRPr="00656E50">
        <w:rPr>
          <w:rStyle w:val="apple-style-span"/>
          <w:rFonts w:asciiTheme="majorBidi" w:hAnsiTheme="majorBidi"/>
          <w:rtl/>
        </w:rPr>
        <w:t xml:space="preserve"> לחוקת בית הדין הפלילי </w:t>
      </w:r>
      <w:r w:rsidRPr="00656E50">
        <w:rPr>
          <w:rFonts w:asciiTheme="majorBidi" w:hAnsiTheme="majorBidi"/>
          <w:rtl/>
        </w:rPr>
        <w:t>ע</w:t>
      </w:r>
      <w:r>
        <w:rPr>
          <w:rFonts w:asciiTheme="majorBidi" w:hAnsiTheme="majorBidi" w:hint="cs"/>
          <w:rtl/>
        </w:rPr>
        <w:t>ו</w:t>
      </w:r>
      <w:r w:rsidRPr="00656E50">
        <w:rPr>
          <w:rFonts w:asciiTheme="majorBidi" w:hAnsiTheme="majorBidi"/>
          <w:rtl/>
        </w:rPr>
        <w:t xml:space="preserve">סק גם הוא בהריסה או תפיסה של רכושו של האויב. </w:t>
      </w:r>
      <w:r w:rsidRPr="00656E50">
        <w:rPr>
          <w:rFonts w:asciiTheme="majorBidi" w:hAnsiTheme="majorBidi" w:hint="cs"/>
          <w:rtl/>
        </w:rPr>
        <w:t>על פי</w:t>
      </w:r>
      <w:r w:rsidRPr="00656E50">
        <w:rPr>
          <w:rFonts w:asciiTheme="majorBidi" w:hAnsiTheme="majorBidi"/>
          <w:rtl/>
        </w:rPr>
        <w:t xml:space="preserve"> סעיף זה</w:t>
      </w:r>
      <w:r w:rsidRPr="00656E50">
        <w:rPr>
          <w:rFonts w:asciiTheme="majorBidi" w:hAnsiTheme="majorBidi" w:hint="cs"/>
          <w:rtl/>
        </w:rPr>
        <w:t>,</w:t>
      </w:r>
      <w:r w:rsidRPr="00656E50">
        <w:rPr>
          <w:rFonts w:asciiTheme="majorBidi" w:hAnsiTheme="majorBidi"/>
          <w:rtl/>
        </w:rPr>
        <w:t xml:space="preserve"> הריסתו של רכוש האויב או תפיסתו אסורה</w:t>
      </w:r>
      <w:r w:rsidRPr="00656E50">
        <w:rPr>
          <w:rFonts w:asciiTheme="majorBidi" w:hAnsiTheme="majorBidi" w:hint="cs"/>
          <w:rtl/>
        </w:rPr>
        <w:t>,</w:t>
      </w:r>
      <w:r w:rsidRPr="00656E50">
        <w:rPr>
          <w:rFonts w:asciiTheme="majorBidi" w:hAnsiTheme="majorBidi"/>
          <w:rtl/>
        </w:rPr>
        <w:t xml:space="preserve"> אלא אם ההריסה או התפיסה </w:t>
      </w:r>
      <w:r>
        <w:rPr>
          <w:rFonts w:asciiTheme="majorBidi" w:hAnsiTheme="majorBidi" w:hint="cs"/>
          <w:rtl/>
        </w:rPr>
        <w:t>נדרשו</w:t>
      </w:r>
      <w:r w:rsidRPr="00656E50">
        <w:rPr>
          <w:rFonts w:asciiTheme="majorBidi" w:hAnsiTheme="majorBidi"/>
          <w:rtl/>
        </w:rPr>
        <w:t xml:space="preserve"> באופן הכרחי לצורכי המלחמה. סעיף זה מתבסס באופן ישיר על </w:t>
      </w:r>
      <w:r>
        <w:rPr>
          <w:rFonts w:asciiTheme="majorBidi" w:hAnsiTheme="majorBidi" w:hint="cs"/>
          <w:rtl/>
        </w:rPr>
        <w:t xml:space="preserve">תקנה </w:t>
      </w:r>
      <w:r w:rsidRPr="00656E50">
        <w:rPr>
          <w:rFonts w:asciiTheme="majorBidi" w:hAnsiTheme="majorBidi"/>
          <w:rtl/>
        </w:rPr>
        <w:t>23(</w:t>
      </w:r>
      <w:r>
        <w:rPr>
          <w:rFonts w:asciiTheme="majorBidi" w:hAnsiTheme="majorBidi" w:hint="cs"/>
          <w:rtl/>
        </w:rPr>
        <w:t>ז</w:t>
      </w:r>
      <w:r w:rsidRPr="00656E50">
        <w:rPr>
          <w:rFonts w:asciiTheme="majorBidi" w:hAnsiTheme="majorBidi"/>
          <w:rtl/>
        </w:rPr>
        <w:t>) לתקנות האג ומפנה לתקנה 46</w:t>
      </w:r>
      <w:r>
        <w:rPr>
          <w:rFonts w:asciiTheme="majorBidi" w:hAnsiTheme="majorBidi"/>
        </w:rPr>
        <w:t xml:space="preserve"> </w:t>
      </w:r>
      <w:r>
        <w:rPr>
          <w:rFonts w:asciiTheme="majorBidi" w:hAnsiTheme="majorBidi" w:hint="cs"/>
          <w:rtl/>
        </w:rPr>
        <w:t>לתקנות האג</w:t>
      </w:r>
      <w:r w:rsidRPr="00656E50">
        <w:rPr>
          <w:rFonts w:asciiTheme="majorBidi" w:hAnsiTheme="majorBidi"/>
          <w:rtl/>
        </w:rPr>
        <w:t xml:space="preserve"> כמקור משפטי במקרה של הריסה (</w:t>
      </w:r>
      <w:r>
        <w:rPr>
          <w:rFonts w:asciiTheme="majorBidi" w:hAnsiTheme="majorBidi"/>
        </w:rPr>
        <w:t>d</w:t>
      </w:r>
      <w:r w:rsidRPr="00656E50">
        <w:rPr>
          <w:rFonts w:asciiTheme="majorBidi" w:hAnsiTheme="majorBidi"/>
        </w:rPr>
        <w:t>estruction</w:t>
      </w:r>
      <w:r w:rsidRPr="00656E50">
        <w:rPr>
          <w:rFonts w:asciiTheme="majorBidi" w:hAnsiTheme="majorBidi"/>
          <w:rtl/>
        </w:rPr>
        <w:t>)</w:t>
      </w:r>
      <w:r w:rsidRPr="00656E50">
        <w:rPr>
          <w:rFonts w:asciiTheme="majorBidi" w:hAnsiTheme="majorBidi"/>
        </w:rPr>
        <w:t xml:space="preserve"> </w:t>
      </w:r>
      <w:r w:rsidRPr="00656E50">
        <w:rPr>
          <w:rFonts w:asciiTheme="majorBidi" w:hAnsiTheme="majorBidi"/>
          <w:rtl/>
        </w:rPr>
        <w:t>ובהקשר של החרמה</w:t>
      </w:r>
      <w:r w:rsidRPr="00656E50">
        <w:rPr>
          <w:rFonts w:asciiTheme="majorBidi" w:hAnsiTheme="majorBidi"/>
        </w:rPr>
        <w:t xml:space="preserve"> </w:t>
      </w:r>
      <w:r w:rsidRPr="00656E50">
        <w:rPr>
          <w:rFonts w:asciiTheme="majorBidi" w:hAnsiTheme="majorBidi"/>
          <w:rtl/>
        </w:rPr>
        <w:t>(</w:t>
      </w:r>
      <w:r>
        <w:rPr>
          <w:rFonts w:asciiTheme="majorBidi" w:hAnsiTheme="majorBidi"/>
        </w:rPr>
        <w:t>s</w:t>
      </w:r>
      <w:r w:rsidRPr="00656E50">
        <w:rPr>
          <w:rFonts w:asciiTheme="majorBidi" w:hAnsiTheme="majorBidi"/>
        </w:rPr>
        <w:t>eizure</w:t>
      </w:r>
      <w:r w:rsidRPr="00656E50">
        <w:rPr>
          <w:rFonts w:asciiTheme="majorBidi" w:hAnsiTheme="majorBidi"/>
          <w:rtl/>
        </w:rPr>
        <w:t xml:space="preserve">). מסמך </w:t>
      </w:r>
      <w:r>
        <w:rPr>
          <w:rFonts w:asciiTheme="majorBidi" w:hAnsiTheme="majorBidi" w:hint="cs"/>
          <w:rtl/>
        </w:rPr>
        <w:t>הפרשנות</w:t>
      </w:r>
      <w:r w:rsidRPr="00656E50">
        <w:rPr>
          <w:rFonts w:asciiTheme="majorBidi" w:hAnsiTheme="majorBidi"/>
          <w:rtl/>
        </w:rPr>
        <w:t xml:space="preserve"> ציין כי סקירה ספרותית </w:t>
      </w:r>
      <w:r>
        <w:rPr>
          <w:rFonts w:asciiTheme="majorBidi" w:hAnsiTheme="majorBidi" w:hint="cs"/>
          <w:rtl/>
        </w:rPr>
        <w:t>ה</w:t>
      </w:r>
      <w:r w:rsidRPr="00656E50">
        <w:rPr>
          <w:rFonts w:asciiTheme="majorBidi" w:hAnsiTheme="majorBidi"/>
          <w:rtl/>
        </w:rPr>
        <w:t>צביעה על כך שאין</w:t>
      </w:r>
      <w:r w:rsidRPr="00656E50">
        <w:rPr>
          <w:rFonts w:asciiTheme="majorBidi" w:hAnsiTheme="majorBidi" w:hint="cs"/>
          <w:rtl/>
        </w:rPr>
        <w:t xml:space="preserve"> הבחנה ברורה או</w:t>
      </w:r>
      <w:r w:rsidRPr="00656E50">
        <w:rPr>
          <w:rFonts w:asciiTheme="majorBidi" w:hAnsiTheme="majorBidi"/>
          <w:rtl/>
        </w:rPr>
        <w:t xml:space="preserve"> פרשנות יחידה למונחים </w:t>
      </w:r>
      <w:r>
        <w:rPr>
          <w:rFonts w:asciiTheme="majorBidi" w:hAnsiTheme="majorBidi"/>
        </w:rPr>
        <w:t>s</w:t>
      </w:r>
      <w:r w:rsidRPr="00656E50">
        <w:rPr>
          <w:rFonts w:asciiTheme="majorBidi" w:hAnsiTheme="majorBidi"/>
        </w:rPr>
        <w:t xml:space="preserve">eizure </w:t>
      </w:r>
      <w:r w:rsidRPr="00656E50">
        <w:rPr>
          <w:rFonts w:asciiTheme="majorBidi" w:hAnsiTheme="majorBidi" w:hint="cs"/>
          <w:rtl/>
        </w:rPr>
        <w:t xml:space="preserve"> ו</w:t>
      </w:r>
      <w:r>
        <w:rPr>
          <w:rFonts w:asciiTheme="majorBidi" w:hAnsiTheme="majorBidi"/>
        </w:rPr>
        <w:t>r</w:t>
      </w:r>
      <w:r w:rsidRPr="00656E50">
        <w:rPr>
          <w:rFonts w:asciiTheme="majorBidi" w:hAnsiTheme="majorBidi"/>
        </w:rPr>
        <w:t>equisition-</w:t>
      </w:r>
      <w:r>
        <w:rPr>
          <w:rFonts w:asciiTheme="majorBidi" w:hAnsiTheme="majorBidi" w:hint="cs"/>
          <w:rtl/>
        </w:rPr>
        <w:t>,</w:t>
      </w:r>
      <w:r w:rsidRPr="00656E50">
        <w:rPr>
          <w:rFonts w:asciiTheme="majorBidi" w:hAnsiTheme="majorBidi"/>
          <w:rtl/>
        </w:rPr>
        <w:t xml:space="preserve"> שמשמעותם יכולה להשתנות בהתבסס על מצב משפטי ספציפי.</w:t>
      </w:r>
      <w:r w:rsidRPr="00656E50">
        <w:rPr>
          <w:rStyle w:val="a6"/>
          <w:rFonts w:asciiTheme="majorBidi" w:hAnsiTheme="majorBidi"/>
          <w:rtl/>
        </w:rPr>
        <w:footnoteReference w:id="34"/>
      </w:r>
      <w:r w:rsidRPr="00656E50">
        <w:rPr>
          <w:rFonts w:asciiTheme="majorBidi" w:hAnsiTheme="majorBidi"/>
          <w:rtl/>
        </w:rPr>
        <w:t xml:space="preserve"> </w:t>
      </w:r>
    </w:p>
    <w:p w:rsidR="00327C2E" w:rsidRPr="00504CBB" w:rsidRDefault="00504CBB" w:rsidP="007B2D18">
      <w:pPr>
        <w:pStyle w:val="a3"/>
        <w:numPr>
          <w:ilvl w:val="0"/>
          <w:numId w:val="1"/>
        </w:numPr>
        <w:bidi/>
        <w:spacing w:before="120" w:after="120" w:line="360" w:lineRule="auto"/>
        <w:ind w:left="425" w:hanging="357"/>
        <w:contextualSpacing w:val="0"/>
        <w:rPr>
          <w:rFonts w:asciiTheme="majorBidi" w:hAnsiTheme="majorBidi"/>
        </w:rPr>
      </w:pPr>
      <w:r>
        <w:rPr>
          <w:rFonts w:asciiTheme="majorBidi" w:hAnsiTheme="majorBidi" w:hint="cs"/>
          <w:rtl/>
        </w:rPr>
        <w:t>לאור הפסיקה והספרות אשר הוצג</w:t>
      </w:r>
      <w:r w:rsidR="00DC1280">
        <w:rPr>
          <w:rFonts w:asciiTheme="majorBidi" w:hAnsiTheme="majorBidi" w:hint="cs"/>
          <w:rtl/>
        </w:rPr>
        <w:t>ו</w:t>
      </w:r>
      <w:r>
        <w:rPr>
          <w:rFonts w:asciiTheme="majorBidi" w:hAnsiTheme="majorBidi" w:hint="cs"/>
          <w:rtl/>
        </w:rPr>
        <w:t xml:space="preserve"> לעיל,</w:t>
      </w:r>
      <w:r w:rsidR="00327C2E">
        <w:rPr>
          <w:rFonts w:asciiTheme="majorBidi" w:hAnsiTheme="majorBidi" w:hint="cs"/>
          <w:rtl/>
        </w:rPr>
        <w:t xml:space="preserve"> נראה כי </w:t>
      </w:r>
      <w:r w:rsidR="00327C2E" w:rsidRPr="00656E50">
        <w:rPr>
          <w:rFonts w:asciiTheme="majorBidi" w:hAnsiTheme="majorBidi"/>
          <w:rtl/>
        </w:rPr>
        <w:t>יש לפרש את ה</w:t>
      </w:r>
      <w:r w:rsidR="00327C2E" w:rsidRPr="00656E50">
        <w:rPr>
          <w:rFonts w:asciiTheme="majorBidi" w:hAnsiTheme="majorBidi" w:hint="cs"/>
          <w:rtl/>
        </w:rPr>
        <w:t>מונח</w:t>
      </w:r>
      <w:r w:rsidR="00327C2E" w:rsidRPr="00656E50">
        <w:rPr>
          <w:rFonts w:asciiTheme="majorBidi" w:hAnsiTheme="majorBidi"/>
          <w:rtl/>
        </w:rPr>
        <w:t xml:space="preserve"> </w:t>
      </w:r>
      <w:r w:rsidR="003E0D4A">
        <w:rPr>
          <w:rFonts w:asciiTheme="majorBidi" w:hAnsiTheme="majorBidi"/>
        </w:rPr>
        <w:t>c</w:t>
      </w:r>
      <w:r w:rsidR="00334E27">
        <w:rPr>
          <w:rFonts w:asciiTheme="majorBidi" w:hAnsiTheme="majorBidi"/>
        </w:rPr>
        <w:t>onfiscat</w:t>
      </w:r>
      <w:r w:rsidR="00E00366">
        <w:rPr>
          <w:rFonts w:asciiTheme="majorBidi" w:hAnsiTheme="majorBidi"/>
        </w:rPr>
        <w:t>ed</w:t>
      </w:r>
      <w:r w:rsidR="00327C2E" w:rsidRPr="00656E50">
        <w:rPr>
          <w:rFonts w:asciiTheme="majorBidi" w:hAnsiTheme="majorBidi"/>
          <w:rtl/>
        </w:rPr>
        <w:t xml:space="preserve"> המופיע ב</w:t>
      </w:r>
      <w:r w:rsidR="00327C2E" w:rsidRPr="00656E50">
        <w:rPr>
          <w:rFonts w:asciiTheme="majorBidi" w:hAnsiTheme="majorBidi" w:hint="cs"/>
          <w:rtl/>
        </w:rPr>
        <w:t>תקנה</w:t>
      </w:r>
      <w:r w:rsidR="00327C2E" w:rsidRPr="00656E50">
        <w:rPr>
          <w:rFonts w:asciiTheme="majorBidi" w:hAnsiTheme="majorBidi"/>
          <w:rtl/>
        </w:rPr>
        <w:t xml:space="preserve"> 46 לתקנות האג באופן רחב</w:t>
      </w:r>
      <w:r w:rsidR="00032AB8">
        <w:rPr>
          <w:rFonts w:asciiTheme="majorBidi" w:hAnsiTheme="majorBidi" w:hint="cs"/>
          <w:rtl/>
        </w:rPr>
        <w:t xml:space="preserve">. הסעיף </w:t>
      </w:r>
      <w:r w:rsidR="00327C2E" w:rsidRPr="00656E50">
        <w:rPr>
          <w:rFonts w:asciiTheme="majorBidi" w:hAnsiTheme="majorBidi"/>
          <w:rtl/>
        </w:rPr>
        <w:t>אינו כולל רק איסור על הח</w:t>
      </w:r>
      <w:r w:rsidR="00327C2E" w:rsidRPr="00656E50">
        <w:rPr>
          <w:rFonts w:asciiTheme="majorBidi" w:hAnsiTheme="majorBidi" w:hint="cs"/>
          <w:rtl/>
        </w:rPr>
        <w:t>רמה</w:t>
      </w:r>
      <w:r w:rsidR="00327C2E" w:rsidRPr="00656E50">
        <w:rPr>
          <w:rFonts w:asciiTheme="majorBidi" w:hAnsiTheme="majorBidi"/>
          <w:rtl/>
        </w:rPr>
        <w:t xml:space="preserve"> </w:t>
      </w:r>
      <w:r w:rsidR="003E4C9F">
        <w:rPr>
          <w:rFonts w:asciiTheme="majorBidi" w:hAnsiTheme="majorBidi" w:hint="cs"/>
          <w:rtl/>
        </w:rPr>
        <w:t>בשטח הכבוש</w:t>
      </w:r>
      <w:r w:rsidR="00834D12">
        <w:rPr>
          <w:rFonts w:asciiTheme="majorBidi" w:hAnsiTheme="majorBidi" w:hint="cs"/>
          <w:rtl/>
        </w:rPr>
        <w:t>,</w:t>
      </w:r>
      <w:r w:rsidR="003E4C9F">
        <w:rPr>
          <w:rFonts w:asciiTheme="majorBidi" w:hAnsiTheme="majorBidi" w:hint="cs"/>
          <w:rtl/>
        </w:rPr>
        <w:t xml:space="preserve"> </w:t>
      </w:r>
      <w:r w:rsidR="00327C2E" w:rsidRPr="00656E50">
        <w:rPr>
          <w:rFonts w:asciiTheme="majorBidi" w:hAnsiTheme="majorBidi"/>
          <w:rtl/>
        </w:rPr>
        <w:t>אלא גם אוסר</w:t>
      </w:r>
      <w:r w:rsidR="003E4C9F">
        <w:rPr>
          <w:rFonts w:asciiTheme="majorBidi" w:hAnsiTheme="majorBidi" w:hint="cs"/>
          <w:rtl/>
        </w:rPr>
        <w:t xml:space="preserve"> על</w:t>
      </w:r>
      <w:r w:rsidR="00327C2E" w:rsidRPr="00656E50">
        <w:rPr>
          <w:rFonts w:asciiTheme="majorBidi" w:hAnsiTheme="majorBidi"/>
          <w:rtl/>
        </w:rPr>
        <w:t xml:space="preserve"> </w:t>
      </w:r>
      <w:r w:rsidR="00DD71EF">
        <w:rPr>
          <w:rFonts w:asciiTheme="majorBidi" w:hAnsiTheme="majorBidi" w:hint="cs"/>
          <w:rtl/>
        </w:rPr>
        <w:t>הפקעה</w:t>
      </w:r>
      <w:r w:rsidR="00327C2E" w:rsidRPr="00656E50">
        <w:rPr>
          <w:rFonts w:asciiTheme="majorBidi" w:hAnsiTheme="majorBidi"/>
          <w:rtl/>
        </w:rPr>
        <w:t xml:space="preserve"> של </w:t>
      </w:r>
      <w:r w:rsidR="00E00366">
        <w:rPr>
          <w:rFonts w:asciiTheme="majorBidi" w:hAnsiTheme="majorBidi" w:hint="cs"/>
          <w:rtl/>
        </w:rPr>
        <w:t>קרקע ורכוש פרטי</w:t>
      </w:r>
      <w:r w:rsidR="00327C2E" w:rsidRPr="00656E50">
        <w:rPr>
          <w:rFonts w:asciiTheme="majorBidi" w:hAnsiTheme="majorBidi"/>
          <w:rtl/>
        </w:rPr>
        <w:t xml:space="preserve"> </w:t>
      </w:r>
      <w:r w:rsidR="00EF7D3D">
        <w:rPr>
          <w:rFonts w:asciiTheme="majorBidi" w:hAnsiTheme="majorBidi" w:hint="cs"/>
          <w:rtl/>
        </w:rPr>
        <w:t>שלא למטרה צבאית ו</w:t>
      </w:r>
      <w:r w:rsidR="00327C2E" w:rsidRPr="00656E50">
        <w:rPr>
          <w:rFonts w:asciiTheme="majorBidi" w:hAnsiTheme="majorBidi"/>
          <w:rtl/>
        </w:rPr>
        <w:t>בניגוד לרצונם</w:t>
      </w:r>
      <w:r w:rsidR="00327C2E" w:rsidRPr="00656E50">
        <w:rPr>
          <w:rFonts w:asciiTheme="majorBidi" w:hAnsiTheme="majorBidi" w:hint="cs"/>
          <w:rtl/>
        </w:rPr>
        <w:t xml:space="preserve"> או הסכמתם</w:t>
      </w:r>
      <w:r w:rsidR="00327C2E" w:rsidRPr="00656E50">
        <w:rPr>
          <w:rFonts w:asciiTheme="majorBidi" w:hAnsiTheme="majorBidi"/>
          <w:rtl/>
        </w:rPr>
        <w:t xml:space="preserve"> של </w:t>
      </w:r>
      <w:r w:rsidR="00DC1280">
        <w:rPr>
          <w:rFonts w:asciiTheme="majorBidi" w:hAnsiTheme="majorBidi" w:hint="cs"/>
          <w:rtl/>
        </w:rPr>
        <w:t>הבעלים</w:t>
      </w:r>
      <w:r w:rsidR="00327C2E" w:rsidRPr="00656E50">
        <w:rPr>
          <w:rFonts w:asciiTheme="majorBidi" w:hAnsiTheme="majorBidi"/>
          <w:rtl/>
        </w:rPr>
        <w:t>.</w:t>
      </w:r>
      <w:r w:rsidR="00327C2E" w:rsidRPr="00656E50">
        <w:rPr>
          <w:rFonts w:asciiTheme="majorBidi" w:hAnsiTheme="majorBidi"/>
          <w:b/>
          <w:bCs/>
          <w:rtl/>
        </w:rPr>
        <w:t xml:space="preserve"> </w:t>
      </w:r>
      <w:r w:rsidR="00834D12">
        <w:rPr>
          <w:rFonts w:asciiTheme="majorBidi" w:hAnsiTheme="majorBidi" w:hint="cs"/>
          <w:rtl/>
        </w:rPr>
        <w:t>במילים אחרות</w:t>
      </w:r>
      <w:r w:rsidR="00327C2E" w:rsidRPr="00504CBB">
        <w:rPr>
          <w:rFonts w:asciiTheme="majorBidi" w:hAnsiTheme="majorBidi"/>
          <w:rtl/>
        </w:rPr>
        <w:t xml:space="preserve">, </w:t>
      </w:r>
      <w:r w:rsidR="00327C2E" w:rsidRPr="00284168">
        <w:rPr>
          <w:rFonts w:asciiTheme="majorBidi" w:hAnsiTheme="majorBidi" w:hint="cs"/>
          <w:b/>
          <w:bCs/>
          <w:rtl/>
        </w:rPr>
        <w:t>הפקעה בה ניתנת תמורה</w:t>
      </w:r>
      <w:r w:rsidR="00834D12" w:rsidRPr="00284168">
        <w:rPr>
          <w:rFonts w:asciiTheme="majorBidi" w:hAnsiTheme="majorBidi" w:hint="cs"/>
          <w:b/>
          <w:bCs/>
          <w:rtl/>
        </w:rPr>
        <w:t>,</w:t>
      </w:r>
      <w:r w:rsidR="00327C2E" w:rsidRPr="00284168">
        <w:rPr>
          <w:rFonts w:asciiTheme="majorBidi" w:hAnsiTheme="majorBidi" w:hint="cs"/>
          <w:b/>
          <w:bCs/>
          <w:rtl/>
        </w:rPr>
        <w:t xml:space="preserve"> אך </w:t>
      </w:r>
      <w:r w:rsidR="00834D12" w:rsidRPr="00284168">
        <w:rPr>
          <w:rFonts w:asciiTheme="majorBidi" w:hAnsiTheme="majorBidi" w:hint="cs"/>
          <w:b/>
          <w:bCs/>
          <w:rtl/>
        </w:rPr>
        <w:t xml:space="preserve">היא </w:t>
      </w:r>
      <w:r w:rsidR="00327C2E" w:rsidRPr="00284168">
        <w:rPr>
          <w:rFonts w:asciiTheme="majorBidi" w:hAnsiTheme="majorBidi" w:hint="cs"/>
          <w:b/>
          <w:bCs/>
          <w:rtl/>
        </w:rPr>
        <w:t xml:space="preserve">נעשית </w:t>
      </w:r>
      <w:r w:rsidR="00327C2E" w:rsidRPr="00284168">
        <w:rPr>
          <w:rFonts w:asciiTheme="majorBidi" w:hAnsiTheme="majorBidi"/>
          <w:b/>
          <w:bCs/>
          <w:rtl/>
        </w:rPr>
        <w:t xml:space="preserve">בניגוד לרצונם של בעלי השטח, </w:t>
      </w:r>
      <w:r w:rsidR="00327C2E" w:rsidRPr="00284168">
        <w:rPr>
          <w:rFonts w:asciiTheme="majorBidi" w:hAnsiTheme="majorBidi" w:hint="cs"/>
          <w:b/>
          <w:bCs/>
          <w:rtl/>
        </w:rPr>
        <w:t>בין אם מדובר בהעברת</w:t>
      </w:r>
      <w:r w:rsidR="00327C2E" w:rsidRPr="00284168">
        <w:rPr>
          <w:rFonts w:asciiTheme="majorBidi" w:hAnsiTheme="majorBidi"/>
          <w:b/>
          <w:bCs/>
          <w:rtl/>
        </w:rPr>
        <w:t xml:space="preserve"> בעלות</w:t>
      </w:r>
      <w:r w:rsidR="00544A82" w:rsidRPr="00284168">
        <w:rPr>
          <w:rFonts w:asciiTheme="majorBidi" w:hAnsiTheme="majorBidi"/>
          <w:b/>
          <w:bCs/>
          <w:rtl/>
        </w:rPr>
        <w:t xml:space="preserve"> </w:t>
      </w:r>
      <w:r w:rsidR="00327C2E" w:rsidRPr="00284168">
        <w:rPr>
          <w:rFonts w:asciiTheme="majorBidi" w:hAnsiTheme="majorBidi" w:hint="cs"/>
          <w:b/>
          <w:bCs/>
          <w:rtl/>
        </w:rPr>
        <w:t>ובין אם מדובר על</w:t>
      </w:r>
      <w:r w:rsidR="00327C2E" w:rsidRPr="00284168">
        <w:rPr>
          <w:rFonts w:asciiTheme="majorBidi" w:hAnsiTheme="majorBidi"/>
          <w:b/>
          <w:bCs/>
          <w:rtl/>
        </w:rPr>
        <w:t xml:space="preserve"> הפקעה זמנית</w:t>
      </w:r>
      <w:r w:rsidR="00327C2E" w:rsidRPr="00284168">
        <w:rPr>
          <w:rFonts w:asciiTheme="majorBidi" w:hAnsiTheme="majorBidi" w:hint="cs"/>
          <w:b/>
          <w:bCs/>
          <w:rtl/>
        </w:rPr>
        <w:t>,</w:t>
      </w:r>
      <w:r w:rsidR="00327C2E" w:rsidRPr="00284168">
        <w:rPr>
          <w:rFonts w:asciiTheme="majorBidi" w:hAnsiTheme="majorBidi"/>
          <w:b/>
          <w:bCs/>
          <w:rtl/>
        </w:rPr>
        <w:t xml:space="preserve"> </w:t>
      </w:r>
      <w:r w:rsidR="007B2D18" w:rsidRPr="00284168">
        <w:rPr>
          <w:rFonts w:asciiTheme="majorBidi" w:hAnsiTheme="majorBidi" w:hint="cs"/>
          <w:b/>
          <w:bCs/>
          <w:rtl/>
        </w:rPr>
        <w:t>עשויה להיחשב ל</w:t>
      </w:r>
      <w:r w:rsidR="00327C2E" w:rsidRPr="00284168">
        <w:rPr>
          <w:rFonts w:asciiTheme="majorBidi" w:hAnsiTheme="majorBidi"/>
          <w:b/>
          <w:bCs/>
          <w:rtl/>
        </w:rPr>
        <w:t xml:space="preserve">הפרה של תקנה 46 </w:t>
      </w:r>
      <w:r w:rsidR="00327C2E" w:rsidRPr="00284168">
        <w:rPr>
          <w:rFonts w:asciiTheme="majorBidi" w:hAnsiTheme="majorBidi" w:hint="cs"/>
          <w:b/>
          <w:bCs/>
          <w:rtl/>
        </w:rPr>
        <w:t>לתקנות האג</w:t>
      </w:r>
      <w:r w:rsidR="00327C2E" w:rsidRPr="00504CBB">
        <w:rPr>
          <w:rFonts w:asciiTheme="majorBidi" w:hAnsiTheme="majorBidi"/>
          <w:rtl/>
        </w:rPr>
        <w:t xml:space="preserve">. </w:t>
      </w:r>
    </w:p>
    <w:sectPr w:rsidR="00327C2E" w:rsidRPr="00504CBB" w:rsidSect="004F015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77C" w:rsidRDefault="007D677C" w:rsidP="006711A2">
      <w:pPr>
        <w:spacing w:after="0" w:line="240" w:lineRule="auto"/>
      </w:pPr>
      <w:r>
        <w:separator/>
      </w:r>
    </w:p>
  </w:endnote>
  <w:endnote w:type="continuationSeparator" w:id="0">
    <w:p w:rsidR="007D677C" w:rsidRDefault="007D677C" w:rsidP="00671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92" w:rsidRDefault="005A0A9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981767268"/>
      <w:docPartObj>
        <w:docPartGallery w:val="Page Numbers (Bottom of Page)"/>
        <w:docPartUnique/>
      </w:docPartObj>
    </w:sdtPr>
    <w:sdtEndPr>
      <w:rPr>
        <w:cs/>
      </w:rPr>
    </w:sdtEndPr>
    <w:sdtContent>
      <w:p w:rsidR="004E2BDD" w:rsidRPr="007057CA" w:rsidRDefault="004E2BDD">
        <w:pPr>
          <w:pStyle w:val="af0"/>
          <w:jc w:val="center"/>
          <w:rPr>
            <w:sz w:val="22"/>
            <w:szCs w:val="22"/>
            <w:rtl/>
            <w:cs/>
          </w:rPr>
        </w:pPr>
        <w:r w:rsidRPr="007057CA">
          <w:rPr>
            <w:sz w:val="22"/>
            <w:szCs w:val="22"/>
          </w:rPr>
          <w:fldChar w:fldCharType="begin"/>
        </w:r>
        <w:r w:rsidRPr="007057CA">
          <w:rPr>
            <w:sz w:val="22"/>
            <w:szCs w:val="22"/>
            <w:rtl/>
            <w:cs/>
          </w:rPr>
          <w:instrText>PAGE   \* MERGEFORMAT</w:instrText>
        </w:r>
        <w:r w:rsidRPr="007057CA">
          <w:rPr>
            <w:sz w:val="22"/>
            <w:szCs w:val="22"/>
          </w:rPr>
          <w:fldChar w:fldCharType="separate"/>
        </w:r>
        <w:r w:rsidR="00CA66E7" w:rsidRPr="00CA66E7">
          <w:rPr>
            <w:rFonts w:cs="Times New Roman"/>
            <w:noProof/>
            <w:sz w:val="22"/>
            <w:szCs w:val="22"/>
            <w:lang w:val="he-IL"/>
          </w:rPr>
          <w:t>1</w:t>
        </w:r>
        <w:r w:rsidRPr="007057CA">
          <w:rPr>
            <w:sz w:val="22"/>
            <w:szCs w:val="22"/>
          </w:rPr>
          <w:fldChar w:fldCharType="end"/>
        </w:r>
      </w:p>
    </w:sdtContent>
  </w:sdt>
  <w:p w:rsidR="004E2BDD" w:rsidRPr="007057CA" w:rsidRDefault="004E2BDD">
    <w:pPr>
      <w:pStyle w:val="af0"/>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92" w:rsidRDefault="005A0A9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77C" w:rsidRDefault="007D677C" w:rsidP="006711A2">
      <w:pPr>
        <w:spacing w:after="0" w:line="240" w:lineRule="auto"/>
      </w:pPr>
      <w:r>
        <w:separator/>
      </w:r>
    </w:p>
  </w:footnote>
  <w:footnote w:type="continuationSeparator" w:id="0">
    <w:p w:rsidR="007D677C" w:rsidRDefault="007D677C" w:rsidP="006711A2">
      <w:pPr>
        <w:spacing w:after="0" w:line="240" w:lineRule="auto"/>
      </w:pPr>
      <w:r>
        <w:continuationSeparator/>
      </w:r>
    </w:p>
  </w:footnote>
  <w:footnote w:id="1">
    <w:p w:rsidR="00E34EF1" w:rsidRPr="00AE0827" w:rsidRDefault="00E34EF1" w:rsidP="00AE0827">
      <w:pPr>
        <w:pStyle w:val="a4"/>
        <w:bidi/>
      </w:pPr>
      <w:r>
        <w:rPr>
          <w:rStyle w:val="a6"/>
        </w:rPr>
        <w:footnoteRef/>
      </w:r>
      <w:r>
        <w:rPr>
          <w:rFonts w:hint="cs"/>
          <w:rtl/>
        </w:rPr>
        <w:t xml:space="preserve"> </w:t>
      </w:r>
      <w:r w:rsidRPr="007A511A">
        <w:t>Convention (IV) Respecting the Laws and Customs of War on Land and its Annex: Regulations concerning the Laws and Customs of War on Land. The Hague, 18 October 1907</w:t>
      </w:r>
      <w:r>
        <w:t>.</w:t>
      </w:r>
    </w:p>
  </w:footnote>
  <w:footnote w:id="2">
    <w:p w:rsidR="00E34EF1" w:rsidRPr="006711A2" w:rsidRDefault="00E34EF1" w:rsidP="0018346E">
      <w:pPr>
        <w:pStyle w:val="a4"/>
        <w:bidi/>
        <w:rPr>
          <w:rtl/>
        </w:rPr>
      </w:pPr>
      <w:r>
        <w:rPr>
          <w:rStyle w:val="a6"/>
        </w:rPr>
        <w:footnoteRef/>
      </w:r>
      <w:r>
        <w:rPr>
          <w:rFonts w:hint="cs"/>
          <w:rtl/>
        </w:rPr>
        <w:t xml:space="preserve">פס' 272 לתגובה המקדמית מטעם הממשלה, </w:t>
      </w:r>
      <w:r w:rsidRPr="006711A2">
        <w:rPr>
          <w:rtl/>
        </w:rPr>
        <w:t>בג"ץ 1308/17 ; בג"ץ 2055/17</w:t>
      </w:r>
      <w:r>
        <w:rPr>
          <w:rFonts w:hint="cs"/>
          <w:rtl/>
        </w:rPr>
        <w:t xml:space="preserve"> (להלן: "</w:t>
      </w:r>
      <w:r w:rsidRPr="00DE6178">
        <w:rPr>
          <w:rFonts w:hint="cs"/>
          <w:b/>
          <w:bCs/>
          <w:rtl/>
        </w:rPr>
        <w:t>תגובת הממשלה</w:t>
      </w:r>
      <w:r>
        <w:rPr>
          <w:rFonts w:hint="cs"/>
          <w:rtl/>
        </w:rPr>
        <w:t>")</w:t>
      </w:r>
    </w:p>
  </w:footnote>
  <w:footnote w:id="3">
    <w:p w:rsidR="00E34EF1" w:rsidRDefault="00E34EF1" w:rsidP="00880B14">
      <w:pPr>
        <w:pStyle w:val="a4"/>
        <w:bidi/>
        <w:jc w:val="left"/>
        <w:rPr>
          <w:rtl/>
        </w:rPr>
      </w:pPr>
      <w:r>
        <w:rPr>
          <w:rStyle w:val="a6"/>
        </w:rPr>
        <w:footnoteRef/>
      </w:r>
      <w:r>
        <w:rPr>
          <w:rFonts w:hint="cs"/>
          <w:rtl/>
        </w:rPr>
        <w:t xml:space="preserve"> </w:t>
      </w:r>
      <w:r w:rsidRPr="007A511A">
        <w:t>Convention (IV) Relative to the Protection of Civilian Persons in Time of War. Geneva, 12 August 1949</w:t>
      </w:r>
      <w:r w:rsidRPr="007A511A">
        <w:rPr>
          <w:rFonts w:hint="cs"/>
          <w:rtl/>
        </w:rPr>
        <w:t>.</w:t>
      </w:r>
    </w:p>
  </w:footnote>
  <w:footnote w:id="4">
    <w:p w:rsidR="00E34EF1" w:rsidRPr="006711A2" w:rsidRDefault="00E34EF1" w:rsidP="00AE0827">
      <w:pPr>
        <w:pStyle w:val="a4"/>
        <w:bidi/>
        <w:rPr>
          <w:rtl/>
        </w:rPr>
      </w:pPr>
      <w:r>
        <w:rPr>
          <w:rStyle w:val="a6"/>
        </w:rPr>
        <w:footnoteRef/>
      </w:r>
      <w:r w:rsidRPr="00AE0827">
        <w:rPr>
          <w:rFonts w:hint="cs"/>
          <w:b/>
          <w:bCs/>
          <w:rtl/>
        </w:rPr>
        <w:t>תגובת הממשלה</w:t>
      </w:r>
      <w:r>
        <w:rPr>
          <w:rFonts w:hint="cs"/>
          <w:rtl/>
        </w:rPr>
        <w:t xml:space="preserve">, לעיל ה"ש 2, בפס'  274-275.  </w:t>
      </w:r>
    </w:p>
  </w:footnote>
  <w:footnote w:id="5">
    <w:p w:rsidR="00E34EF1" w:rsidRPr="007A511A" w:rsidRDefault="00E34EF1" w:rsidP="00880B14">
      <w:pPr>
        <w:pStyle w:val="a4"/>
        <w:bidi/>
        <w:contextualSpacing/>
        <w:rPr>
          <w:rtl/>
        </w:rPr>
      </w:pPr>
      <w:r w:rsidRPr="007A511A">
        <w:rPr>
          <w:rStyle w:val="a6"/>
        </w:rPr>
        <w:footnoteRef/>
      </w:r>
      <w:r w:rsidRPr="007A511A">
        <w:rPr>
          <w:rtl/>
        </w:rPr>
        <w:t>מדינת ישראל מכירה בכך שתקנות האג חלות על השטחים המצויים בתפיסה לוחמתית, שכן מקובל לראות בהוראות של תקנות האג ביטוי למשפט הבין</w:t>
      </w:r>
      <w:r>
        <w:rPr>
          <w:rFonts w:hint="cs"/>
          <w:rtl/>
        </w:rPr>
        <w:t>-</w:t>
      </w:r>
      <w:r w:rsidRPr="007A511A">
        <w:rPr>
          <w:rtl/>
        </w:rPr>
        <w:t>לאומי המנהגי החל בישראל.</w:t>
      </w:r>
    </w:p>
  </w:footnote>
  <w:footnote w:id="6">
    <w:p w:rsidR="00E34EF1" w:rsidRDefault="00E34EF1" w:rsidP="00AE0827">
      <w:pPr>
        <w:bidi/>
        <w:spacing w:after="0" w:line="240" w:lineRule="auto"/>
        <w:contextualSpacing/>
        <w:rPr>
          <w:sz w:val="20"/>
          <w:szCs w:val="20"/>
          <w:rtl/>
        </w:rPr>
      </w:pPr>
      <w:r>
        <w:rPr>
          <w:rStyle w:val="a6"/>
          <w:sz w:val="20"/>
          <w:szCs w:val="20"/>
        </w:rPr>
        <w:footnoteRef/>
      </w:r>
      <w:r w:rsidRPr="007A511A">
        <w:rPr>
          <w:rFonts w:hint="cs"/>
          <w:sz w:val="20"/>
          <w:szCs w:val="20"/>
          <w:shd w:val="clear" w:color="auto" w:fill="FFFFFF"/>
          <w:rtl/>
          <w:lang w:eastAsia="he-IL"/>
        </w:rPr>
        <w:t>בג"ץ 393/82</w:t>
      </w:r>
      <w:r w:rsidRPr="007A511A">
        <w:rPr>
          <w:rFonts w:hint="cs"/>
          <w:sz w:val="20"/>
          <w:szCs w:val="20"/>
          <w:lang w:eastAsia="he-IL"/>
        </w:rPr>
        <w:t> </w:t>
      </w:r>
      <w:r w:rsidRPr="007A511A">
        <w:rPr>
          <w:rFonts w:hint="cs"/>
          <w:b/>
          <w:bCs/>
          <w:sz w:val="20"/>
          <w:szCs w:val="20"/>
          <w:shd w:val="clear" w:color="auto" w:fill="FFFFFF"/>
          <w:rtl/>
          <w:lang w:eastAsia="he-IL"/>
        </w:rPr>
        <w:t>ג'מעית אסכאן אלמעלמון אלתעאוניה אלמהודה אלמסאוליה, אגודה שיתופית רשומה כדין במפקד אזור יהודה והשומרון נ' מפקד כוחות צה"ל באזור יהודה והשומרון</w:t>
      </w:r>
      <w:r w:rsidRPr="007A511A">
        <w:rPr>
          <w:rFonts w:hint="cs"/>
          <w:sz w:val="20"/>
          <w:szCs w:val="20"/>
          <w:shd w:val="clear" w:color="auto" w:fill="FFFFFF"/>
          <w:rtl/>
          <w:lang w:eastAsia="he-IL"/>
        </w:rPr>
        <w:t>,</w:t>
      </w:r>
      <w:r w:rsidRPr="007A511A">
        <w:rPr>
          <w:rFonts w:hint="cs"/>
          <w:b/>
          <w:bCs/>
          <w:sz w:val="20"/>
          <w:szCs w:val="20"/>
          <w:shd w:val="clear" w:color="auto" w:fill="FFFFFF"/>
          <w:rtl/>
          <w:lang w:eastAsia="he-IL"/>
        </w:rPr>
        <w:t xml:space="preserve"> </w:t>
      </w:r>
      <w:r w:rsidRPr="007A511A">
        <w:rPr>
          <w:rFonts w:hint="cs"/>
          <w:sz w:val="20"/>
          <w:szCs w:val="20"/>
          <w:shd w:val="clear" w:color="auto" w:fill="FFFFFF"/>
          <w:rtl/>
          <w:lang w:eastAsia="he-IL"/>
        </w:rPr>
        <w:t>פ"ד לז(4) 785, 79</w:t>
      </w:r>
      <w:r>
        <w:rPr>
          <w:rFonts w:hint="cs"/>
          <w:sz w:val="20"/>
          <w:szCs w:val="20"/>
          <w:shd w:val="clear" w:color="auto" w:fill="FFFFFF"/>
          <w:rtl/>
          <w:lang w:eastAsia="he-IL"/>
        </w:rPr>
        <w:t>4</w:t>
      </w:r>
      <w:r w:rsidRPr="007A511A">
        <w:rPr>
          <w:rFonts w:hint="cs"/>
          <w:sz w:val="20"/>
          <w:szCs w:val="20"/>
          <w:shd w:val="clear" w:color="auto" w:fill="FFFFFF"/>
          <w:rtl/>
          <w:lang w:eastAsia="he-IL"/>
        </w:rPr>
        <w:t xml:space="preserve"> (1983);</w:t>
      </w:r>
      <w:r>
        <w:rPr>
          <w:rFonts w:hint="cs"/>
          <w:sz w:val="20"/>
          <w:szCs w:val="20"/>
          <w:rtl/>
        </w:rPr>
        <w:t xml:space="preserve"> </w:t>
      </w:r>
      <w:r w:rsidRPr="00334E27">
        <w:rPr>
          <w:b/>
          <w:bCs/>
          <w:sz w:val="20"/>
          <w:szCs w:val="20"/>
          <w:rtl/>
        </w:rPr>
        <w:t>בג"ץ 10356/02  הס נ' מפקד כוחות צה"ל בגדה המערבית, פ"ד נח(3) 443</w:t>
      </w:r>
      <w:r>
        <w:rPr>
          <w:rFonts w:hint="cs"/>
          <w:b/>
          <w:bCs/>
          <w:sz w:val="20"/>
          <w:szCs w:val="20"/>
          <w:rtl/>
        </w:rPr>
        <w:t>, 445</w:t>
      </w:r>
      <w:r w:rsidRPr="00334E27">
        <w:rPr>
          <w:b/>
          <w:bCs/>
          <w:sz w:val="20"/>
          <w:szCs w:val="20"/>
          <w:rtl/>
        </w:rPr>
        <w:t xml:space="preserve"> (2004)</w:t>
      </w:r>
      <w:r>
        <w:rPr>
          <w:rFonts w:hint="cs"/>
          <w:sz w:val="20"/>
          <w:szCs w:val="20"/>
          <w:rtl/>
        </w:rPr>
        <w:t xml:space="preserve">; בג"ץ 2164/09 </w:t>
      </w:r>
      <w:r>
        <w:rPr>
          <w:rFonts w:hint="cs"/>
          <w:b/>
          <w:bCs/>
          <w:sz w:val="20"/>
          <w:szCs w:val="20"/>
          <w:rtl/>
        </w:rPr>
        <w:t xml:space="preserve">יש דין- ארגון מתנדבים למען זכויות אדם </w:t>
      </w:r>
      <w:r>
        <w:rPr>
          <w:rFonts w:hint="cs"/>
          <w:sz w:val="20"/>
          <w:szCs w:val="20"/>
          <w:rtl/>
        </w:rPr>
        <w:t>נ'</w:t>
      </w:r>
      <w:r>
        <w:rPr>
          <w:rFonts w:hint="cs"/>
          <w:b/>
          <w:bCs/>
          <w:sz w:val="20"/>
          <w:szCs w:val="20"/>
          <w:rtl/>
        </w:rPr>
        <w:t xml:space="preserve"> מפקד כוחות צה"ל בגדה המערבית</w:t>
      </w:r>
      <w:r>
        <w:rPr>
          <w:rFonts w:hint="cs"/>
          <w:sz w:val="20"/>
          <w:szCs w:val="20"/>
          <w:rtl/>
        </w:rPr>
        <w:t xml:space="preserve">, בעמ' 18 (טרם פורסם, 26.12.2011). </w:t>
      </w:r>
    </w:p>
  </w:footnote>
  <w:footnote w:id="7">
    <w:p w:rsidR="00E34EF1" w:rsidRPr="007A511A" w:rsidRDefault="00E34EF1" w:rsidP="00880B14">
      <w:pPr>
        <w:pStyle w:val="a4"/>
        <w:bidi/>
        <w:contextualSpacing/>
        <w:rPr>
          <w:rtl/>
        </w:rPr>
      </w:pPr>
      <w:r w:rsidRPr="007A511A">
        <w:rPr>
          <w:rStyle w:val="a6"/>
        </w:rPr>
        <w:footnoteRef/>
      </w:r>
      <w:r w:rsidRPr="007A511A">
        <w:rPr>
          <w:rtl/>
        </w:rPr>
        <w:t xml:space="preserve"> </w:t>
      </w:r>
      <w:r w:rsidRPr="007A511A">
        <w:rPr>
          <w:rFonts w:hint="cs"/>
          <w:rtl/>
        </w:rPr>
        <w:t xml:space="preserve">ראו לעניין זה: </w:t>
      </w:r>
      <w:r w:rsidRPr="007A511A">
        <w:t xml:space="preserve">Meir Shamgar, "International Law and the Administered Territories", 1 </w:t>
      </w:r>
      <w:r w:rsidRPr="007A511A">
        <w:rPr>
          <w:b/>
          <w:bCs/>
        </w:rPr>
        <w:t>Isr. Y. B. on Hum. Rights</w:t>
      </w:r>
      <w:r w:rsidRPr="007A511A">
        <w:t xml:space="preserve"> (1971), 266</w:t>
      </w:r>
      <w:r w:rsidRPr="007A511A">
        <w:rPr>
          <w:rtl/>
        </w:rPr>
        <w:t>; ראו גם מספר רב של פסקי דין של בית המשפט העליון: בג"ץ 33</w:t>
      </w:r>
      <w:r w:rsidRPr="007A511A">
        <w:rPr>
          <w:rFonts w:hint="cs"/>
          <w:rtl/>
        </w:rPr>
        <w:t>7</w:t>
      </w:r>
      <w:r w:rsidRPr="007A511A">
        <w:rPr>
          <w:rtl/>
        </w:rPr>
        <w:t xml:space="preserve">/71 </w:t>
      </w:r>
      <w:r w:rsidRPr="007A511A">
        <w:rPr>
          <w:b/>
          <w:bCs/>
          <w:rtl/>
        </w:rPr>
        <w:t>אלג'מעיה אלמסיחיה נ' שר הביטחון ואח'</w:t>
      </w:r>
      <w:r w:rsidRPr="007A511A">
        <w:rPr>
          <w:rtl/>
        </w:rPr>
        <w:t xml:space="preserve"> פ"</w:t>
      </w:r>
      <w:r w:rsidRPr="007A511A">
        <w:rPr>
          <w:rFonts w:hint="cs"/>
          <w:rtl/>
        </w:rPr>
        <w:t xml:space="preserve">ד כו(1)  580 (1972); בג"ץ 302/72 </w:t>
      </w:r>
      <w:r w:rsidRPr="007A511A">
        <w:rPr>
          <w:rFonts w:hint="cs"/>
          <w:b/>
          <w:bCs/>
          <w:rtl/>
        </w:rPr>
        <w:t>אבו חילו נ' ממשלת ישראל ואח'</w:t>
      </w:r>
      <w:r w:rsidRPr="007A511A">
        <w:rPr>
          <w:rFonts w:hint="cs"/>
          <w:rtl/>
        </w:rPr>
        <w:t>, פ"ד כ"ז(2)  169 (1973); בג"ץ</w:t>
      </w:r>
      <w:r w:rsidRPr="007A511A">
        <w:rPr>
          <w:rtl/>
        </w:rPr>
        <w:t xml:space="preserve"> 97/79 </w:t>
      </w:r>
      <w:r w:rsidRPr="007A511A">
        <w:rPr>
          <w:b/>
          <w:bCs/>
          <w:rtl/>
        </w:rPr>
        <w:t>ריאד עבד ראשיד אבו עוואד נ' מפקד אזור יהודה</w:t>
      </w:r>
      <w:r w:rsidRPr="007A511A">
        <w:rPr>
          <w:rFonts w:hint="cs"/>
          <w:b/>
          <w:bCs/>
          <w:rtl/>
        </w:rPr>
        <w:t>,</w:t>
      </w:r>
      <w:r w:rsidRPr="007A511A">
        <w:rPr>
          <w:b/>
          <w:bCs/>
          <w:rtl/>
        </w:rPr>
        <w:t xml:space="preserve"> </w:t>
      </w:r>
      <w:r w:rsidRPr="007A511A">
        <w:rPr>
          <w:rtl/>
        </w:rPr>
        <w:t>פ"ד לג(3)</w:t>
      </w:r>
      <w:r w:rsidRPr="007A511A">
        <w:rPr>
          <w:rFonts w:hint="cs"/>
          <w:rtl/>
        </w:rPr>
        <w:t xml:space="preserve"> </w:t>
      </w:r>
      <w:r w:rsidRPr="007A511A">
        <w:rPr>
          <w:rtl/>
        </w:rPr>
        <w:t>309</w:t>
      </w:r>
      <w:r w:rsidRPr="007A511A">
        <w:rPr>
          <w:rFonts w:hint="cs"/>
          <w:rtl/>
        </w:rPr>
        <w:t>,</w:t>
      </w:r>
      <w:r w:rsidRPr="007A511A">
        <w:rPr>
          <w:rtl/>
        </w:rPr>
        <w:t xml:space="preserve"> 317-318</w:t>
      </w:r>
      <w:r w:rsidRPr="007A511A">
        <w:rPr>
          <w:rFonts w:hint="cs"/>
          <w:rtl/>
        </w:rPr>
        <w:t xml:space="preserve"> (1979); </w:t>
      </w:r>
      <w:r w:rsidRPr="007A511A">
        <w:rPr>
          <w:rFonts w:hint="cs"/>
          <w:shd w:val="clear" w:color="auto" w:fill="FFFFFF"/>
          <w:rtl/>
          <w:lang w:eastAsia="he-IL"/>
        </w:rPr>
        <w:t>בג"ץ 61/80</w:t>
      </w:r>
      <w:r w:rsidRPr="007A511A">
        <w:rPr>
          <w:rFonts w:hint="cs"/>
          <w:lang w:eastAsia="he-IL"/>
        </w:rPr>
        <w:t> </w:t>
      </w:r>
      <w:r w:rsidRPr="007A511A">
        <w:rPr>
          <w:rFonts w:hint="cs"/>
          <w:b/>
          <w:bCs/>
          <w:shd w:val="clear" w:color="auto" w:fill="FFFFFF"/>
          <w:rtl/>
          <w:lang w:eastAsia="he-IL"/>
        </w:rPr>
        <w:t>העצני נ' מדינת ישראל</w:t>
      </w:r>
      <w:r w:rsidRPr="007A511A">
        <w:rPr>
          <w:rFonts w:hint="cs"/>
          <w:shd w:val="clear" w:color="auto" w:fill="FFFFFF"/>
          <w:lang w:eastAsia="he-IL"/>
        </w:rPr>
        <w:t>,</w:t>
      </w:r>
      <w:r w:rsidRPr="007A511A">
        <w:rPr>
          <w:rFonts w:hint="cs"/>
          <w:shd w:val="clear" w:color="auto" w:fill="FFFFFF"/>
          <w:rtl/>
          <w:lang w:eastAsia="he-IL"/>
        </w:rPr>
        <w:t xml:space="preserve"> פ"ד לד(3) 595 (1980); בג"ץ 2056/04 </w:t>
      </w:r>
      <w:r w:rsidRPr="007A511A">
        <w:rPr>
          <w:rFonts w:hint="cs"/>
          <w:b/>
          <w:bCs/>
          <w:shd w:val="clear" w:color="auto" w:fill="FFFFFF"/>
          <w:rtl/>
          <w:lang w:eastAsia="he-IL"/>
        </w:rPr>
        <w:t>מועצת הכפר בית סוריק נ' ממשלת ישראל</w:t>
      </w:r>
      <w:r w:rsidRPr="007A511A">
        <w:rPr>
          <w:rFonts w:hint="cs"/>
          <w:shd w:val="clear" w:color="auto" w:fill="FFFFFF"/>
          <w:rtl/>
          <w:lang w:eastAsia="he-IL"/>
        </w:rPr>
        <w:t xml:space="preserve">, פס' 23 לפסק הדין (2004) (להלן: </w:t>
      </w:r>
      <w:r w:rsidRPr="007A511A">
        <w:rPr>
          <w:rFonts w:hint="cs"/>
          <w:b/>
          <w:bCs/>
          <w:shd w:val="clear" w:color="auto" w:fill="FFFFFF"/>
          <w:rtl/>
          <w:lang w:eastAsia="he-IL"/>
        </w:rPr>
        <w:t>עניין בית סוריק</w:t>
      </w:r>
      <w:r w:rsidRPr="007A511A">
        <w:rPr>
          <w:rFonts w:hint="cs"/>
          <w:shd w:val="clear" w:color="auto" w:fill="FFFFFF"/>
          <w:rtl/>
          <w:lang w:eastAsia="he-IL"/>
        </w:rPr>
        <w:t>)</w:t>
      </w:r>
      <w:r w:rsidRPr="007A511A">
        <w:rPr>
          <w:rFonts w:hint="cs"/>
          <w:rtl/>
        </w:rPr>
        <w:t xml:space="preserve">. שאלת תחולתן של אמנות ג'נבה </w:t>
      </w:r>
      <w:r w:rsidRPr="007A511A">
        <w:rPr>
          <w:rStyle w:val="apple-style-span"/>
          <w:rFonts w:hint="cs"/>
          <w:rtl/>
        </w:rPr>
        <w:t xml:space="preserve">באיו"ש </w:t>
      </w:r>
      <w:r w:rsidRPr="007A511A">
        <w:rPr>
          <w:rFonts w:hint="cs"/>
          <w:rtl/>
        </w:rPr>
        <w:t xml:space="preserve">טרם הוכרעה על ידי בית המשפט העליון, </w:t>
      </w:r>
      <w:r w:rsidRPr="007A511A">
        <w:rPr>
          <w:shd w:val="clear" w:color="auto" w:fill="FFFFFF"/>
          <w:rtl/>
        </w:rPr>
        <w:t xml:space="preserve">בג"ץ 1661205 </w:t>
      </w:r>
      <w:r w:rsidRPr="007A511A">
        <w:rPr>
          <w:b/>
          <w:bCs/>
          <w:shd w:val="clear" w:color="auto" w:fill="FFFFFF"/>
          <w:rtl/>
        </w:rPr>
        <w:t>המועצה האזורית חוף עזה נ' כנסת ישראל</w:t>
      </w:r>
      <w:r w:rsidRPr="007A511A">
        <w:rPr>
          <w:shd w:val="clear" w:color="auto" w:fill="FFFFFF"/>
          <w:rtl/>
        </w:rPr>
        <w:t>, פ"ד נט</w:t>
      </w:r>
      <w:r w:rsidRPr="007A511A">
        <w:rPr>
          <w:rFonts w:hint="cs"/>
          <w:shd w:val="clear" w:color="auto" w:fill="FFFFFF"/>
          <w:rtl/>
        </w:rPr>
        <w:t xml:space="preserve">, 491, בעמ' </w:t>
      </w:r>
      <w:r w:rsidRPr="007A511A">
        <w:rPr>
          <w:shd w:val="clear" w:color="auto" w:fill="FFFFFF"/>
          <w:rtl/>
        </w:rPr>
        <w:t>514</w:t>
      </w:r>
      <w:r>
        <w:rPr>
          <w:rFonts w:hint="cs"/>
          <w:rtl/>
        </w:rPr>
        <w:t>, 516-517 (2005).</w:t>
      </w:r>
    </w:p>
  </w:footnote>
  <w:footnote w:id="8">
    <w:p w:rsidR="00E34EF1" w:rsidRPr="0046124A" w:rsidRDefault="00E34EF1" w:rsidP="00507AB8">
      <w:pPr>
        <w:pStyle w:val="a4"/>
        <w:bidi/>
        <w:jc w:val="left"/>
        <w:rPr>
          <w:rtl/>
        </w:rPr>
      </w:pPr>
      <w:r>
        <w:rPr>
          <w:rStyle w:val="a6"/>
        </w:rPr>
        <w:footnoteRef/>
      </w:r>
      <w:r>
        <w:rPr>
          <w:rFonts w:hint="cs"/>
          <w:rtl/>
        </w:rPr>
        <w:t xml:space="preserve">יצוין כי אין תרגום רשמי בעברית לאמנת האג וכי מזכר זה מציג לעיתים קרובות את התרגום של מונח גם באנגלית על מנת לדייק. </w:t>
      </w:r>
    </w:p>
  </w:footnote>
  <w:footnote w:id="9">
    <w:p w:rsidR="00E34EF1" w:rsidRPr="00926B23" w:rsidRDefault="00E34EF1" w:rsidP="00926B23">
      <w:pPr>
        <w:pStyle w:val="a4"/>
        <w:jc w:val="right"/>
      </w:pPr>
      <w:r>
        <w:t xml:space="preserve"> </w:t>
      </w:r>
      <w:r>
        <w:rPr>
          <w:rStyle w:val="apple-style-span"/>
          <w:rFonts w:asciiTheme="majorBidi" w:hAnsiTheme="majorBidi" w:hint="cs"/>
          <w:rtl/>
        </w:rPr>
        <w:t xml:space="preserve">יצוין כי טקסט זה שימש כבסיס להסכמים וחוקים מאוחרים יותר, כגון תקנות האג ואמנות ג'נבה.  </w:t>
      </w:r>
      <w:r>
        <w:rPr>
          <w:rStyle w:val="a6"/>
        </w:rPr>
        <w:footnoteRef/>
      </w:r>
      <w:r>
        <w:t xml:space="preserve"> </w:t>
      </w:r>
    </w:p>
  </w:footnote>
  <w:footnote w:id="10">
    <w:p w:rsidR="00E34EF1" w:rsidRPr="00E34EF1" w:rsidRDefault="00E34EF1" w:rsidP="00E34EF1">
      <w:pPr>
        <w:pStyle w:val="a4"/>
        <w:bidi/>
        <w:rPr>
          <w:rtl/>
        </w:rPr>
      </w:pPr>
      <w:r>
        <w:rPr>
          <w:rStyle w:val="a6"/>
        </w:rPr>
        <w:footnoteRef/>
      </w:r>
      <w:r w:rsidRPr="00E34EF1">
        <w:rPr>
          <w:rFonts w:hint="cs"/>
          <w:rtl/>
        </w:rPr>
        <w:t>הצהרה זו הייתה טיוטת הסכם בין-לאומי שאומצה על ידי מדינות לאחר מלחמת פרוסיה</w:t>
      </w:r>
      <w:r>
        <w:rPr>
          <w:rFonts w:hint="cs"/>
          <w:rtl/>
        </w:rPr>
        <w:t>-</w:t>
      </w:r>
      <w:r w:rsidRPr="00E34EF1">
        <w:rPr>
          <w:rFonts w:hint="cs"/>
          <w:rtl/>
        </w:rPr>
        <w:t>צרפת</w:t>
      </w:r>
      <w:r>
        <w:rPr>
          <w:rFonts w:hint="cs"/>
          <w:rtl/>
        </w:rPr>
        <w:t>.</w:t>
      </w:r>
      <w:r w:rsidRPr="00E34EF1">
        <w:rPr>
          <w:rtl/>
        </w:rPr>
        <w:t xml:space="preserve"> </w:t>
      </w:r>
    </w:p>
  </w:footnote>
  <w:footnote w:id="11">
    <w:p w:rsidR="00E34EF1" w:rsidRPr="00E34EF1" w:rsidRDefault="00E34EF1" w:rsidP="00E34EF1">
      <w:pPr>
        <w:pStyle w:val="a4"/>
        <w:bidi/>
        <w:jc w:val="left"/>
        <w:rPr>
          <w:rtl/>
        </w:rPr>
      </w:pPr>
      <w:r>
        <w:rPr>
          <w:rStyle w:val="a6"/>
        </w:rPr>
        <w:footnoteRef/>
      </w:r>
      <w:r>
        <w:rPr>
          <w:rFonts w:hint="cs"/>
          <w:rtl/>
        </w:rPr>
        <w:t xml:space="preserve">מדריך זה אומץ על ידי המכון </w:t>
      </w:r>
      <w:r>
        <w:rPr>
          <w:rtl/>
        </w:rPr>
        <w:t>למשפט בי</w:t>
      </w:r>
      <w:r>
        <w:rPr>
          <w:rFonts w:hint="cs"/>
          <w:rtl/>
        </w:rPr>
        <w:t>ן-</w:t>
      </w:r>
      <w:r>
        <w:rPr>
          <w:rtl/>
        </w:rPr>
        <w:t>לאומי, שנוסד בשנת 1873</w:t>
      </w:r>
      <w:r>
        <w:rPr>
          <w:rFonts w:hint="cs"/>
          <w:rtl/>
        </w:rPr>
        <w:t>.</w:t>
      </w:r>
      <w:r w:rsidRPr="00E34EF1">
        <w:rPr>
          <w:rtl/>
        </w:rPr>
        <w:t xml:space="preserve"> </w:t>
      </w:r>
      <w:r>
        <w:rPr>
          <w:rtl/>
        </w:rPr>
        <w:t>מטרת</w:t>
      </w:r>
      <w:r>
        <w:rPr>
          <w:rFonts w:hint="cs"/>
          <w:rtl/>
        </w:rPr>
        <w:t xml:space="preserve"> המכון היא</w:t>
      </w:r>
      <w:r w:rsidRPr="00E34EF1">
        <w:rPr>
          <w:rtl/>
        </w:rPr>
        <w:t xml:space="preserve"> לסייע לצמיחתו של המשפט הבין-לאומי, תוך </w:t>
      </w:r>
      <w:r>
        <w:rPr>
          <w:rFonts w:hint="cs"/>
          <w:rtl/>
        </w:rPr>
        <w:t xml:space="preserve">הענקת </w:t>
      </w:r>
      <w:r w:rsidRPr="00E34EF1">
        <w:rPr>
          <w:rtl/>
        </w:rPr>
        <w:t xml:space="preserve">סיוע לקודיפיקציה הדרגתית </w:t>
      </w:r>
      <w:r>
        <w:rPr>
          <w:rFonts w:hint="cs"/>
          <w:rtl/>
        </w:rPr>
        <w:t xml:space="preserve">של </w:t>
      </w:r>
      <w:r w:rsidRPr="00E34EF1">
        <w:rPr>
          <w:rtl/>
        </w:rPr>
        <w:t>ה</w:t>
      </w:r>
      <w:r>
        <w:rPr>
          <w:rtl/>
        </w:rPr>
        <w:t>משפט הבי</w:t>
      </w:r>
      <w:r>
        <w:rPr>
          <w:rFonts w:hint="cs"/>
          <w:rtl/>
        </w:rPr>
        <w:t>ן-</w:t>
      </w:r>
      <w:r w:rsidRPr="00E34EF1">
        <w:rPr>
          <w:rtl/>
        </w:rPr>
        <w:t xml:space="preserve">לאומי. </w:t>
      </w:r>
    </w:p>
  </w:footnote>
  <w:footnote w:id="12">
    <w:p w:rsidR="00507AB8" w:rsidRPr="00032AB8" w:rsidRDefault="00507AB8" w:rsidP="00507AB8">
      <w:pPr>
        <w:pStyle w:val="a4"/>
        <w:bidi/>
        <w:rPr>
          <w:rtl/>
        </w:rPr>
      </w:pPr>
      <w:r w:rsidRPr="00032AB8">
        <w:rPr>
          <w:rStyle w:val="a6"/>
        </w:rPr>
        <w:footnoteRef/>
      </w:r>
      <w:r w:rsidRPr="0020244C">
        <w:rPr>
          <w:rFonts w:hint="cs"/>
          <w:rtl/>
        </w:rPr>
        <w:t>בג"ץ 8887/06 אל</w:t>
      </w:r>
      <w:r w:rsidRPr="00032AB8">
        <w:rPr>
          <w:b/>
          <w:bCs/>
        </w:rPr>
        <w:t>-</w:t>
      </w:r>
      <w:r w:rsidRPr="00032AB8">
        <w:rPr>
          <w:rFonts w:hint="cs"/>
          <w:b/>
          <w:bCs/>
          <w:rtl/>
        </w:rPr>
        <w:t>נאבות נ'</w:t>
      </w:r>
      <w:r w:rsidRPr="00032AB8">
        <w:rPr>
          <w:rFonts w:hint="cs"/>
          <w:b/>
          <w:bCs/>
        </w:rPr>
        <w:t xml:space="preserve"> </w:t>
      </w:r>
      <w:r w:rsidRPr="00032AB8">
        <w:rPr>
          <w:rFonts w:hint="cs"/>
          <w:b/>
          <w:bCs/>
          <w:rtl/>
        </w:rPr>
        <w:t>שר</w:t>
      </w:r>
      <w:r w:rsidRPr="00032AB8">
        <w:rPr>
          <w:rFonts w:hint="cs"/>
          <w:b/>
          <w:bCs/>
        </w:rPr>
        <w:t xml:space="preserve"> </w:t>
      </w:r>
      <w:r w:rsidRPr="00032AB8">
        <w:rPr>
          <w:rFonts w:hint="cs"/>
          <w:b/>
          <w:bCs/>
          <w:rtl/>
        </w:rPr>
        <w:t>הבטחון</w:t>
      </w:r>
      <w:r w:rsidRPr="00032AB8">
        <w:rPr>
          <w:rFonts w:hint="cs"/>
          <w:rtl/>
        </w:rPr>
        <w:t>, פס' 16</w:t>
      </w:r>
      <w:r w:rsidRPr="0020244C">
        <w:rPr>
          <w:rtl/>
        </w:rPr>
        <w:t xml:space="preserve"> לפסק הדין</w:t>
      </w:r>
      <w:r w:rsidRPr="00032AB8">
        <w:rPr>
          <w:rFonts w:hint="cs"/>
          <w:rtl/>
        </w:rPr>
        <w:t xml:space="preserve"> (טרם פורסם, </w:t>
      </w:r>
      <w:r w:rsidRPr="0020244C">
        <w:rPr>
          <w:rtl/>
        </w:rPr>
        <w:t xml:space="preserve">ניתן </w:t>
      </w:r>
      <w:r w:rsidRPr="00750650">
        <w:rPr>
          <w:rtl/>
        </w:rPr>
        <w:t xml:space="preserve">ביום </w:t>
      </w:r>
      <w:r w:rsidRPr="00750650">
        <w:rPr>
          <w:rFonts w:hint="cs"/>
          <w:rtl/>
        </w:rPr>
        <w:t>2.8.2011).</w:t>
      </w:r>
      <w:r w:rsidRPr="00750650">
        <w:rPr>
          <w:rFonts w:hint="cs"/>
          <w:b/>
          <w:bCs/>
          <w:rtl/>
        </w:rPr>
        <w:t>;</w:t>
      </w:r>
      <w:r w:rsidRPr="00750650">
        <w:rPr>
          <w:rFonts w:hint="cs"/>
          <w:rtl/>
        </w:rPr>
        <w:t xml:space="preserve"> בג"ץ 5665/11 </w:t>
      </w:r>
      <w:r w:rsidRPr="00750650">
        <w:rPr>
          <w:rFonts w:hint="cs"/>
          <w:b/>
          <w:bCs/>
          <w:rtl/>
        </w:rPr>
        <w:t>כפר אדומים כפר שיתופי להתיישבות קהילתית בע"מ נ' שר הביטחון</w:t>
      </w:r>
      <w:r w:rsidRPr="00750650">
        <w:rPr>
          <w:rFonts w:hint="cs"/>
          <w:rtl/>
        </w:rPr>
        <w:t xml:space="preserve">, פס' 13 </w:t>
      </w:r>
      <w:r w:rsidRPr="00750650">
        <w:rPr>
          <w:rtl/>
        </w:rPr>
        <w:t xml:space="preserve">לפסק הדין </w:t>
      </w:r>
      <w:r w:rsidRPr="00750650">
        <w:rPr>
          <w:rFonts w:hint="cs"/>
          <w:rtl/>
        </w:rPr>
        <w:t xml:space="preserve">(10.10.2012 טרם פורסם, </w:t>
      </w:r>
      <w:r w:rsidRPr="00750650">
        <w:rPr>
          <w:rtl/>
        </w:rPr>
        <w:t>ניתן ביום</w:t>
      </w:r>
      <w:r w:rsidRPr="00750650">
        <w:rPr>
          <w:rFonts w:hint="cs"/>
          <w:rtl/>
        </w:rPr>
        <w:t>); בג"ץ 390/79</w:t>
      </w:r>
      <w:r w:rsidRPr="00750650">
        <w:rPr>
          <w:rFonts w:hint="cs"/>
        </w:rPr>
        <w:t> </w:t>
      </w:r>
      <w:r w:rsidRPr="00750650">
        <w:rPr>
          <w:rFonts w:hint="cs"/>
          <w:b/>
          <w:bCs/>
          <w:rtl/>
        </w:rPr>
        <w:t>דויקאת נ' ממשלת ישראל</w:t>
      </w:r>
      <w:r w:rsidRPr="00750650">
        <w:rPr>
          <w:rFonts w:hint="cs"/>
          <w:rtl/>
        </w:rPr>
        <w:t>,</w:t>
      </w:r>
      <w:r w:rsidRPr="00750650">
        <w:rPr>
          <w:rFonts w:hint="cs"/>
        </w:rPr>
        <w:t> </w:t>
      </w:r>
      <w:r w:rsidRPr="00750650">
        <w:rPr>
          <w:rFonts w:hint="cs"/>
          <w:rtl/>
        </w:rPr>
        <w:t>פ"ד לד(1) 1, 12 (1979)</w:t>
      </w:r>
      <w:r>
        <w:rPr>
          <w:rFonts w:hint="cs"/>
          <w:rtl/>
        </w:rPr>
        <w:t xml:space="preserve">  </w:t>
      </w:r>
    </w:p>
  </w:footnote>
  <w:footnote w:id="13">
    <w:p w:rsidR="00507AB8" w:rsidRPr="00032AB8" w:rsidRDefault="00507AB8" w:rsidP="00507AB8">
      <w:pPr>
        <w:pStyle w:val="a4"/>
        <w:bidi/>
        <w:contextualSpacing/>
        <w:rPr>
          <w:rtl/>
        </w:rPr>
      </w:pPr>
      <w:r w:rsidRPr="00032AB8">
        <w:rPr>
          <w:rStyle w:val="a6"/>
        </w:rPr>
        <w:footnoteRef/>
      </w:r>
      <w:r w:rsidRPr="00032AB8">
        <w:rPr>
          <w:rFonts w:hint="cs"/>
          <w:rtl/>
        </w:rPr>
        <w:t xml:space="preserve"> </w:t>
      </w:r>
      <w:r w:rsidRPr="00750650">
        <w:rPr>
          <w:rtl/>
        </w:rPr>
        <w:t>בג"ץ 9949/08</w:t>
      </w:r>
      <w:r w:rsidRPr="0006452F">
        <w:rPr>
          <w:b/>
          <w:bCs/>
          <w:rtl/>
        </w:rPr>
        <w:t xml:space="preserve"> מרים חסן עבד אלקרים חמאד נ' שר הביטחון, </w:t>
      </w:r>
      <w:r w:rsidRPr="0020244C">
        <w:rPr>
          <w:rtl/>
        </w:rPr>
        <w:t>פס' 15 לפסק הדין (טרם פורסם, ניתן ביום 14.11.16).</w:t>
      </w:r>
    </w:p>
  </w:footnote>
  <w:footnote w:id="14">
    <w:p w:rsidR="00E34EF1" w:rsidRDefault="00E34EF1" w:rsidP="00F1389B">
      <w:pPr>
        <w:pStyle w:val="a4"/>
        <w:bidi/>
        <w:jc w:val="left"/>
        <w:rPr>
          <w:rtl/>
        </w:rPr>
      </w:pPr>
      <w:r>
        <w:rPr>
          <w:rStyle w:val="a6"/>
        </w:rPr>
        <w:footnoteRef/>
      </w:r>
      <w:r w:rsidRPr="0006452F">
        <w:rPr>
          <w:rFonts w:hint="cs"/>
          <w:rtl/>
        </w:rPr>
        <w:t>תקנה 47 לתקנות האג מהווה גם  היא כלל האוסר על ביזה. לכלל זה אין חריגים.</w:t>
      </w:r>
      <w:r>
        <w:rPr>
          <w:rFonts w:hint="cs"/>
          <w:rtl/>
        </w:rPr>
        <w:t xml:space="preserve"> ראה גם: </w:t>
      </w:r>
    </w:p>
    <w:p w:rsidR="00E34EF1" w:rsidRDefault="00E34EF1" w:rsidP="00281312">
      <w:pPr>
        <w:pStyle w:val="a4"/>
        <w:bidi/>
        <w:contextualSpacing/>
        <w:jc w:val="left"/>
        <w:rPr>
          <w:rtl/>
        </w:rPr>
      </w:pPr>
      <w:r w:rsidRPr="007A511A">
        <w:t xml:space="preserve">Gerhard von Glahn, </w:t>
      </w:r>
      <w:r w:rsidRPr="007A511A">
        <w:rPr>
          <w:b/>
          <w:bCs/>
        </w:rPr>
        <w:t>The Occupation of Enemy Territory: A Commentary on the Law and Practice of Belligerent Occupation</w:t>
      </w:r>
      <w:r w:rsidRPr="007A511A">
        <w:t xml:space="preserve"> (1957)</w:t>
      </w:r>
      <w:r>
        <w:rPr>
          <w:rFonts w:hint="cs"/>
          <w:rtl/>
        </w:rPr>
        <w:t xml:space="preserve"> (להלן: "</w:t>
      </w:r>
      <w:r>
        <w:t>("</w:t>
      </w:r>
      <w:r w:rsidRPr="00334E27">
        <w:rPr>
          <w:b/>
          <w:bCs/>
        </w:rPr>
        <w:t xml:space="preserve">von </w:t>
      </w:r>
      <w:r>
        <w:rPr>
          <w:b/>
          <w:bCs/>
        </w:rPr>
        <w:t>G</w:t>
      </w:r>
      <w:r w:rsidRPr="00334E27">
        <w:rPr>
          <w:b/>
          <w:bCs/>
        </w:rPr>
        <w:t>lahn</w:t>
      </w:r>
    </w:p>
    <w:p w:rsidR="00E34EF1" w:rsidRDefault="00E34EF1" w:rsidP="0036507B">
      <w:pPr>
        <w:pStyle w:val="a4"/>
        <w:bidi/>
        <w:contextualSpacing/>
        <w:jc w:val="left"/>
      </w:pPr>
      <w:r>
        <w:rPr>
          <w:rFonts w:hint="cs"/>
          <w:rtl/>
        </w:rPr>
        <w:t xml:space="preserve">ראה גם: </w:t>
      </w:r>
      <w:r>
        <w:t xml:space="preserve">Yutaka Arai, </w:t>
      </w:r>
      <w:r w:rsidRPr="0036507B">
        <w:rPr>
          <w:b/>
          <w:bCs/>
        </w:rPr>
        <w:t>The Law of Occupation Continuity and Change of International Humanitarian Law, and its Interaction with International Human Rights Law</w:t>
      </w:r>
      <w:r>
        <w:t xml:space="preserve"> (2009)</w:t>
      </w:r>
    </w:p>
    <w:p w:rsidR="00E34EF1" w:rsidRPr="0006452F" w:rsidRDefault="00E34EF1" w:rsidP="0036507B">
      <w:pPr>
        <w:pStyle w:val="a4"/>
        <w:bidi/>
        <w:contextualSpacing/>
        <w:jc w:val="left"/>
      </w:pPr>
      <w:r>
        <w:rPr>
          <w:rFonts w:hint="cs"/>
          <w:rtl/>
        </w:rPr>
        <w:t xml:space="preserve">בעמ' 218-220. </w:t>
      </w:r>
      <w:r>
        <w:t xml:space="preserve">  </w:t>
      </w:r>
    </w:p>
  </w:footnote>
  <w:footnote w:id="15">
    <w:p w:rsidR="00E34EF1" w:rsidRDefault="00E34EF1" w:rsidP="00F1389B">
      <w:pPr>
        <w:pStyle w:val="a4"/>
        <w:bidi/>
        <w:contextualSpacing/>
        <w:rPr>
          <w:rtl/>
        </w:rPr>
      </w:pPr>
      <w:r>
        <w:rPr>
          <w:rStyle w:val="a6"/>
        </w:rPr>
        <w:footnoteRef/>
      </w:r>
      <w:r>
        <w:rPr>
          <w:rFonts w:hint="cs"/>
          <w:rtl/>
        </w:rPr>
        <w:t xml:space="preserve">לפי </w:t>
      </w:r>
      <w:r w:rsidRPr="00756BA3">
        <w:rPr>
          <w:rFonts w:hint="cs"/>
          <w:rtl/>
        </w:rPr>
        <w:t xml:space="preserve">תקנה 53 </w:t>
      </w:r>
      <w:r>
        <w:rPr>
          <w:rFonts w:hint="cs"/>
          <w:rtl/>
        </w:rPr>
        <w:t xml:space="preserve">לתקנות האג המעצמה הכובשת </w:t>
      </w:r>
      <w:r w:rsidRPr="004E2BDD">
        <w:rPr>
          <w:rtl/>
        </w:rPr>
        <w:t>רשאי</w:t>
      </w:r>
      <w:r>
        <w:rPr>
          <w:rFonts w:hint="cs"/>
          <w:rtl/>
        </w:rPr>
        <w:t>ת</w:t>
      </w:r>
      <w:r>
        <w:rPr>
          <w:rtl/>
        </w:rPr>
        <w:t xml:space="preserve"> לקבל לרשות</w:t>
      </w:r>
      <w:r>
        <w:rPr>
          <w:rFonts w:hint="cs"/>
          <w:rtl/>
        </w:rPr>
        <w:t>ה</w:t>
      </w:r>
      <w:r w:rsidRPr="004E2BDD">
        <w:rPr>
          <w:rtl/>
        </w:rPr>
        <w:t xml:space="preserve"> רק את המזומנים, הקרנות וניירות-הע</w:t>
      </w:r>
      <w:r>
        <w:rPr>
          <w:rtl/>
        </w:rPr>
        <w:t>רך הניתנים למימוש והשייכים</w:t>
      </w:r>
      <w:r w:rsidRPr="004E2BDD">
        <w:rPr>
          <w:rtl/>
        </w:rPr>
        <w:t xml:space="preserve"> למדינה, וכן את מחסני הנשק, אמצעי התובלה, מחס</w:t>
      </w:r>
      <w:r>
        <w:rPr>
          <w:rFonts w:hint="cs"/>
          <w:rtl/>
        </w:rPr>
        <w:t>נ</w:t>
      </w:r>
      <w:r w:rsidRPr="004E2BDD">
        <w:rPr>
          <w:rtl/>
        </w:rPr>
        <w:t xml:space="preserve">ים ואספקה ובדרך כלל כל </w:t>
      </w:r>
      <w:r>
        <w:rPr>
          <w:rFonts w:hint="cs"/>
          <w:rtl/>
        </w:rPr>
        <w:t>ה</w:t>
      </w:r>
      <w:r w:rsidRPr="004E2BDD">
        <w:rPr>
          <w:rtl/>
        </w:rPr>
        <w:t>נכסי</w:t>
      </w:r>
      <w:r>
        <w:rPr>
          <w:rFonts w:hint="cs"/>
          <w:rtl/>
        </w:rPr>
        <w:t>ם</w:t>
      </w:r>
      <w:r>
        <w:rPr>
          <w:rtl/>
        </w:rPr>
        <w:t xml:space="preserve"> </w:t>
      </w:r>
      <w:r>
        <w:rPr>
          <w:rFonts w:hint="cs"/>
          <w:rtl/>
        </w:rPr>
        <w:t>הניידים</w:t>
      </w:r>
      <w:r w:rsidRPr="004E2BDD">
        <w:rPr>
          <w:rtl/>
        </w:rPr>
        <w:t xml:space="preserve"> של המדינה הניתנים לשימוש לצרכי פעולות המלחמה.</w:t>
      </w:r>
    </w:p>
  </w:footnote>
  <w:footnote w:id="16">
    <w:p w:rsidR="00E34EF1" w:rsidRDefault="00E34EF1" w:rsidP="00507AB8">
      <w:pPr>
        <w:pStyle w:val="a4"/>
        <w:bidi/>
        <w:contextualSpacing/>
        <w:rPr>
          <w:rtl/>
        </w:rPr>
      </w:pPr>
      <w:r>
        <w:rPr>
          <w:rStyle w:val="a6"/>
        </w:rPr>
        <w:footnoteRef/>
      </w:r>
      <w:r>
        <w:rPr>
          <w:rFonts w:hint="cs"/>
          <w:rtl/>
        </w:rPr>
        <w:t xml:space="preserve"> </w:t>
      </w:r>
      <w:r w:rsidRPr="00334E27">
        <w:rPr>
          <w:b/>
          <w:bCs/>
        </w:rPr>
        <w:t xml:space="preserve">von </w:t>
      </w:r>
      <w:r>
        <w:rPr>
          <w:b/>
          <w:bCs/>
        </w:rPr>
        <w:t>G</w:t>
      </w:r>
      <w:r w:rsidRPr="00334E27">
        <w:rPr>
          <w:b/>
          <w:bCs/>
        </w:rPr>
        <w:t>lahn</w:t>
      </w:r>
      <w:r>
        <w:rPr>
          <w:rFonts w:hint="cs"/>
          <w:rtl/>
        </w:rPr>
        <w:t>, לעיל ה"ש 1</w:t>
      </w:r>
      <w:r w:rsidR="00507AB8">
        <w:rPr>
          <w:rFonts w:hint="cs"/>
          <w:rtl/>
        </w:rPr>
        <w:t>4</w:t>
      </w:r>
      <w:r>
        <w:rPr>
          <w:rFonts w:hint="cs"/>
          <w:rtl/>
        </w:rPr>
        <w:t xml:space="preserve">, בעמ' 186.  </w:t>
      </w:r>
    </w:p>
  </w:footnote>
  <w:footnote w:id="17">
    <w:p w:rsidR="00E34EF1" w:rsidRDefault="00E34EF1" w:rsidP="00F1389B">
      <w:pPr>
        <w:pStyle w:val="a4"/>
        <w:bidi/>
        <w:jc w:val="left"/>
        <w:rPr>
          <w:rtl/>
        </w:rPr>
      </w:pPr>
      <w:r>
        <w:rPr>
          <w:rStyle w:val="a6"/>
        </w:rPr>
        <w:footnoteRef/>
      </w:r>
      <w:r>
        <w:rPr>
          <w:rFonts w:hint="cs"/>
          <w:rtl/>
        </w:rPr>
        <w:t>ראה:</w:t>
      </w:r>
    </w:p>
    <w:p w:rsidR="00E34EF1" w:rsidRPr="00F1389B" w:rsidRDefault="00E34EF1" w:rsidP="00F1389B">
      <w:pPr>
        <w:pStyle w:val="a4"/>
        <w:bidi/>
        <w:rPr>
          <w:rtl/>
        </w:rPr>
      </w:pPr>
      <w:r>
        <w:t xml:space="preserve">Georg </w:t>
      </w:r>
      <w:r w:rsidRPr="0006452F">
        <w:t xml:space="preserve">Schwarzenberger, </w:t>
      </w:r>
      <w:r w:rsidRPr="0020244C">
        <w:rPr>
          <w:b/>
          <w:bCs/>
        </w:rPr>
        <w:t>The protection of Private Property in the law of Belligerent Occupation</w:t>
      </w:r>
      <w:r w:rsidRPr="0006452F">
        <w:t xml:space="preserve"> (1968)</w:t>
      </w:r>
      <w:r>
        <w:rPr>
          <w:rFonts w:hint="cs"/>
          <w:rtl/>
        </w:rPr>
        <w:t xml:space="preserve"> בעמ' </w:t>
      </w:r>
      <w:r w:rsidRPr="0006452F">
        <w:t>245, 251</w:t>
      </w:r>
      <w:r>
        <w:t>, 268</w:t>
      </w:r>
      <w:r>
        <w:rPr>
          <w:rFonts w:hint="cs"/>
          <w:rtl/>
        </w:rPr>
        <w:t>. (להלן: "</w:t>
      </w:r>
      <w:r w:rsidRPr="00D200FB">
        <w:rPr>
          <w:b/>
          <w:bCs/>
        </w:rPr>
        <w:t>Schwarzenberger</w:t>
      </w:r>
      <w:r>
        <w:rPr>
          <w:rFonts w:hint="cs"/>
          <w:rtl/>
        </w:rPr>
        <w:t>")</w:t>
      </w:r>
    </w:p>
  </w:footnote>
  <w:footnote w:id="18">
    <w:p w:rsidR="00E34EF1" w:rsidRDefault="00E34EF1" w:rsidP="00507AB8">
      <w:pPr>
        <w:pStyle w:val="a4"/>
        <w:bidi/>
        <w:contextualSpacing/>
        <w:rPr>
          <w:rtl/>
        </w:rPr>
      </w:pPr>
      <w:r>
        <w:rPr>
          <w:rStyle w:val="a6"/>
        </w:rPr>
        <w:footnoteRef/>
      </w:r>
      <w:r>
        <w:rPr>
          <w:rFonts w:hint="cs"/>
          <w:rtl/>
        </w:rPr>
        <w:t>ראה:</w:t>
      </w:r>
    </w:p>
    <w:p w:rsidR="00E34EF1" w:rsidRPr="005166F2" w:rsidRDefault="00E34EF1" w:rsidP="005166F2">
      <w:pPr>
        <w:pStyle w:val="a4"/>
        <w:bidi/>
        <w:contextualSpacing/>
        <w:rPr>
          <w:rtl/>
        </w:rPr>
      </w:pPr>
      <w:r>
        <w:rPr>
          <w:rFonts w:hint="cs"/>
          <w:rtl/>
        </w:rPr>
        <w:t xml:space="preserve"> </w:t>
      </w:r>
      <w:r>
        <w:t xml:space="preserve">US </w:t>
      </w:r>
      <w:r w:rsidRPr="006711A2">
        <w:t xml:space="preserve">Military Tribunal at Nuremberg, </w:t>
      </w:r>
      <w:r>
        <w:rPr>
          <w:b/>
          <w:bCs/>
        </w:rPr>
        <w:t>T</w:t>
      </w:r>
      <w:r w:rsidRPr="005166F2">
        <w:rPr>
          <w:b/>
          <w:bCs/>
        </w:rPr>
        <w:t>he United States of</w:t>
      </w:r>
      <w:r>
        <w:rPr>
          <w:rFonts w:ascii="Arial" w:hAnsi="Arial" w:cs="Arial"/>
          <w:b/>
          <w:bCs/>
          <w:i/>
          <w:iCs/>
          <w:color w:val="222222"/>
          <w:sz w:val="21"/>
          <w:szCs w:val="21"/>
          <w:shd w:val="clear" w:color="auto" w:fill="FFFFFF"/>
        </w:rPr>
        <w:t xml:space="preserve"> </w:t>
      </w:r>
      <w:r w:rsidRPr="005166F2">
        <w:rPr>
          <w:b/>
          <w:bCs/>
        </w:rPr>
        <w:t>America vs. Alfried Krupp, et al.</w:t>
      </w:r>
      <w:r w:rsidRPr="006711A2">
        <w:t xml:space="preserve">, Judgement, </w:t>
      </w:r>
      <w:r>
        <w:t>(</w:t>
      </w:r>
      <w:r w:rsidRPr="006711A2">
        <w:t>30 June 1948</w:t>
      </w:r>
      <w:r>
        <w:t>)</w:t>
      </w:r>
      <w:r w:rsidRPr="005166F2">
        <w:rPr>
          <w:b/>
          <w:bCs/>
        </w:rPr>
        <w:t>.</w:t>
      </w:r>
    </w:p>
  </w:footnote>
  <w:footnote w:id="19">
    <w:p w:rsidR="00E34EF1" w:rsidRPr="005A0A92" w:rsidRDefault="00E34EF1" w:rsidP="00507AB8">
      <w:pPr>
        <w:pStyle w:val="a4"/>
        <w:bidi/>
        <w:rPr>
          <w:rtl/>
        </w:rPr>
      </w:pPr>
      <w:r>
        <w:rPr>
          <w:rStyle w:val="a6"/>
        </w:rPr>
        <w:footnoteRef/>
      </w:r>
      <w:r>
        <w:rPr>
          <w:rFonts w:hint="cs"/>
          <w:rtl/>
        </w:rPr>
        <w:t>שם, בעמ'</w:t>
      </w:r>
      <w:r w:rsidRPr="005A0A92">
        <w:rPr>
          <w:rFonts w:hint="cs"/>
          <w:rtl/>
        </w:rPr>
        <w:t xml:space="preserve"> 1344</w:t>
      </w:r>
      <w:r>
        <w:rPr>
          <w:rFonts w:hint="cs"/>
          <w:rtl/>
        </w:rPr>
        <w:t>.</w:t>
      </w:r>
    </w:p>
    <w:p w:rsidR="00E34EF1" w:rsidRPr="005A0A92" w:rsidRDefault="00E34EF1" w:rsidP="005A0A92">
      <w:pPr>
        <w:pStyle w:val="a4"/>
        <w:bidi/>
        <w:contextualSpacing/>
        <w:rPr>
          <w:i/>
          <w:iCs/>
          <w:rtl/>
        </w:rPr>
      </w:pPr>
      <w:r w:rsidRPr="005A0A92">
        <w:rPr>
          <w:i/>
          <w:iCs/>
        </w:rPr>
        <w:t>it appears that the terms ‘plunder’, ‘spoliation’ and ‘exploitation’ may be used interchangeably with the term ‘appropriation'</w:t>
      </w:r>
    </w:p>
  </w:footnote>
  <w:footnote w:id="20">
    <w:p w:rsidR="00E34EF1" w:rsidRDefault="00E34EF1" w:rsidP="00507AB8">
      <w:pPr>
        <w:pStyle w:val="a4"/>
        <w:bidi/>
      </w:pPr>
      <w:r>
        <w:rPr>
          <w:rStyle w:val="a6"/>
        </w:rPr>
        <w:footnoteRef/>
      </w:r>
      <w:r>
        <w:rPr>
          <w:rFonts w:hint="cs"/>
          <w:rtl/>
        </w:rPr>
        <w:t xml:space="preserve"> שם, בעמ' 1341-1342.</w:t>
      </w:r>
    </w:p>
  </w:footnote>
  <w:footnote w:id="21">
    <w:p w:rsidR="00E34EF1" w:rsidRPr="005A0A92" w:rsidRDefault="00E34EF1" w:rsidP="00507AB8">
      <w:pPr>
        <w:pStyle w:val="a4"/>
        <w:bidi/>
        <w:rPr>
          <w:rtl/>
        </w:rPr>
      </w:pPr>
      <w:r w:rsidRPr="005A0A92">
        <w:rPr>
          <w:rStyle w:val="a6"/>
        </w:rPr>
        <w:footnoteRef/>
      </w:r>
      <w:r>
        <w:rPr>
          <w:rFonts w:hint="cs"/>
          <w:rtl/>
        </w:rPr>
        <w:t>שם, בעמ'</w:t>
      </w:r>
      <w:r w:rsidRPr="005A0A92">
        <w:rPr>
          <w:rFonts w:hint="cs"/>
          <w:rtl/>
        </w:rPr>
        <w:t xml:space="preserve"> 1341-1342</w:t>
      </w:r>
      <w:r>
        <w:rPr>
          <w:rFonts w:hint="cs"/>
          <w:rtl/>
        </w:rPr>
        <w:t>.</w:t>
      </w:r>
    </w:p>
  </w:footnote>
  <w:footnote w:id="22">
    <w:p w:rsidR="00E34EF1" w:rsidRPr="005A0A92" w:rsidRDefault="00E34EF1" w:rsidP="00507AB8">
      <w:pPr>
        <w:pStyle w:val="a4"/>
        <w:bidi/>
        <w:rPr>
          <w:rtl/>
        </w:rPr>
      </w:pPr>
      <w:r w:rsidRPr="005A0A92">
        <w:rPr>
          <w:rStyle w:val="a6"/>
        </w:rPr>
        <w:footnoteRef/>
      </w:r>
      <w:r w:rsidRPr="005A0A92">
        <w:rPr>
          <w:rFonts w:hint="cs"/>
          <w:rtl/>
        </w:rPr>
        <w:t>ראה:</w:t>
      </w:r>
    </w:p>
    <w:p w:rsidR="00E34EF1" w:rsidRPr="005166F2" w:rsidRDefault="00E34EF1" w:rsidP="005166F2">
      <w:pPr>
        <w:pStyle w:val="a4"/>
        <w:bidi/>
        <w:rPr>
          <w:rtl/>
        </w:rPr>
      </w:pPr>
      <w:r>
        <w:t xml:space="preserve">US </w:t>
      </w:r>
      <w:r w:rsidRPr="006711A2">
        <w:t>Military Tribunal at Nuremberg,</w:t>
      </w:r>
      <w:r w:rsidRPr="005166F2">
        <w:t xml:space="preserve"> </w:t>
      </w:r>
      <w:r w:rsidRPr="005166F2">
        <w:rPr>
          <w:b/>
          <w:bCs/>
        </w:rPr>
        <w:t xml:space="preserve">The United States of America vs. Carl Krauch, et al. (I. G. Farben Trial) </w:t>
      </w:r>
      <w:r w:rsidRPr="005166F2">
        <w:t xml:space="preserve">, Judgement, </w:t>
      </w:r>
      <w:r>
        <w:t>(</w:t>
      </w:r>
      <w:r w:rsidRPr="005166F2">
        <w:t>29 July 1948</w:t>
      </w:r>
      <w:r>
        <w:t>)</w:t>
      </w:r>
    </w:p>
  </w:footnote>
  <w:footnote w:id="23">
    <w:p w:rsidR="00E34EF1" w:rsidRPr="00254C04" w:rsidRDefault="00E34EF1" w:rsidP="00D200FB">
      <w:pPr>
        <w:pStyle w:val="a4"/>
        <w:bidi/>
        <w:rPr>
          <w:rtl/>
        </w:rPr>
      </w:pPr>
      <w:r w:rsidRPr="00254C04">
        <w:rPr>
          <w:rStyle w:val="a6"/>
        </w:rPr>
        <w:footnoteRef/>
      </w:r>
      <w:r w:rsidRPr="00254C04">
        <w:rPr>
          <w:rFonts w:hint="cs"/>
          <w:rtl/>
        </w:rPr>
        <w:t>שם, ב</w:t>
      </w:r>
      <w:r w:rsidRPr="00254C04">
        <w:rPr>
          <w:rtl/>
        </w:rPr>
        <w:t>פס' 113</w:t>
      </w:r>
      <w:r w:rsidRPr="00254C04">
        <w:rPr>
          <w:rFonts w:hint="cs"/>
          <w:rtl/>
        </w:rPr>
        <w:t>5.</w:t>
      </w:r>
    </w:p>
  </w:footnote>
  <w:footnote w:id="24">
    <w:p w:rsidR="00E34EF1" w:rsidRDefault="00E34EF1" w:rsidP="0006452F">
      <w:pPr>
        <w:pStyle w:val="a4"/>
        <w:bidi/>
        <w:contextualSpacing/>
      </w:pPr>
      <w:r>
        <w:rPr>
          <w:rStyle w:val="a6"/>
        </w:rPr>
        <w:footnoteRef/>
      </w:r>
      <w:r>
        <w:t xml:space="preserve"> </w:t>
      </w:r>
      <w:r w:rsidRPr="006711A2">
        <w:rPr>
          <w:rtl/>
        </w:rPr>
        <w:t xml:space="preserve">בג”צ 606/78, 610/78 </w:t>
      </w:r>
      <w:r w:rsidRPr="0008787E">
        <w:rPr>
          <w:b/>
          <w:bCs/>
          <w:rtl/>
        </w:rPr>
        <w:t>איוב נ’ שר הביטחון</w:t>
      </w:r>
      <w:r w:rsidRPr="006711A2">
        <w:rPr>
          <w:rtl/>
        </w:rPr>
        <w:t xml:space="preserve"> (</w:t>
      </w:r>
      <w:r>
        <w:rPr>
          <w:rFonts w:hint="cs"/>
          <w:rtl/>
        </w:rPr>
        <w:t>1979</w:t>
      </w:r>
      <w:r w:rsidRPr="006711A2">
        <w:rPr>
          <w:rFonts w:hint="cs"/>
          <w:rtl/>
        </w:rPr>
        <w:t>)</w:t>
      </w:r>
      <w:r>
        <w:rPr>
          <w:rFonts w:hint="cs"/>
          <w:rtl/>
        </w:rPr>
        <w:t>.</w:t>
      </w:r>
    </w:p>
  </w:footnote>
  <w:footnote w:id="25">
    <w:p w:rsidR="00E34EF1" w:rsidRPr="00656E50" w:rsidRDefault="00E34EF1" w:rsidP="00162FE0">
      <w:pPr>
        <w:pStyle w:val="a4"/>
        <w:bidi/>
        <w:rPr>
          <w:rtl/>
        </w:rPr>
      </w:pPr>
      <w:r>
        <w:rPr>
          <w:rStyle w:val="a6"/>
        </w:rPr>
        <w:footnoteRef/>
      </w:r>
      <w:r>
        <w:t xml:space="preserve"> </w:t>
      </w:r>
      <w:r>
        <w:rPr>
          <w:rFonts w:hint="cs"/>
          <w:rtl/>
        </w:rPr>
        <w:t>פס' 272 לתגובה הממשלה.</w:t>
      </w:r>
    </w:p>
  </w:footnote>
  <w:footnote w:id="26">
    <w:p w:rsidR="00E34EF1" w:rsidRPr="00524827" w:rsidRDefault="00E34EF1" w:rsidP="00507AB8">
      <w:pPr>
        <w:pStyle w:val="a4"/>
        <w:bidi/>
        <w:jc w:val="left"/>
        <w:rPr>
          <w:rtl/>
        </w:rPr>
      </w:pPr>
      <w:r>
        <w:rPr>
          <w:rStyle w:val="a6"/>
        </w:rPr>
        <w:footnoteRef/>
      </w:r>
      <w:r>
        <w:rPr>
          <w:rFonts w:hint="cs"/>
          <w:rtl/>
        </w:rPr>
        <w:t xml:space="preserve"> סעיף 23(ז)  לתקנות האג אוסר של </w:t>
      </w:r>
      <w:r w:rsidRPr="003A6E06">
        <w:rPr>
          <w:rFonts w:hint="cs"/>
          <w:rtl/>
        </w:rPr>
        <w:t xml:space="preserve"> השמדה או החרמה של</w:t>
      </w:r>
      <w:r w:rsidRPr="003A6E06">
        <w:rPr>
          <w:rtl/>
        </w:rPr>
        <w:t xml:space="preserve"> רכוש האויב, חוץ אם השמדה או החרמה כזו נדרשת במפגיע ע"י צרכי המלחמה</w:t>
      </w:r>
      <w:r>
        <w:t xml:space="preserve">  </w:t>
      </w:r>
      <w:r>
        <w:rPr>
          <w:rFonts w:hint="cs"/>
          <w:rtl/>
        </w:rPr>
        <w:t xml:space="preserve">אך נמצא תחת חלק מספר שתיים לתקנות האג </w:t>
      </w:r>
      <w:r w:rsidRPr="00F12EEA">
        <w:rPr>
          <w:rFonts w:hint="cs"/>
          <w:rtl/>
        </w:rPr>
        <w:t xml:space="preserve">החל בזמן סכסוך פעיל </w:t>
      </w:r>
      <w:r w:rsidRPr="00F12EEA">
        <w:t>Hostilities</w:t>
      </w:r>
      <w:r>
        <w:t>)</w:t>
      </w:r>
      <w:r>
        <w:rPr>
          <w:rFonts w:hint="cs"/>
          <w:rtl/>
        </w:rPr>
        <w:t xml:space="preserve">). בעוד הסעיפים הרלוונטיים לעניינו נמצאים בפרק המתייחס לשלטון הצבאי על שטח מדינה אויבת. </w:t>
      </w:r>
      <w:r>
        <w:t xml:space="preserve"> (</w:t>
      </w:r>
      <w:r w:rsidRPr="001A447F">
        <w:t>M</w:t>
      </w:r>
      <w:r>
        <w:t>ilitary Authority Over The Territory of The Hostile State)</w:t>
      </w:r>
    </w:p>
  </w:footnote>
  <w:footnote w:id="27">
    <w:p w:rsidR="00E34EF1" w:rsidRPr="006711A2" w:rsidRDefault="00E34EF1" w:rsidP="00507AB8">
      <w:pPr>
        <w:pStyle w:val="a4"/>
        <w:bidi/>
        <w:rPr>
          <w:rtl/>
        </w:rPr>
      </w:pPr>
      <w:r>
        <w:rPr>
          <w:rStyle w:val="a6"/>
        </w:rPr>
        <w:footnoteRef/>
      </w:r>
      <w:r w:rsidRPr="005166F2">
        <w:rPr>
          <w:rFonts w:hint="cs"/>
          <w:b/>
          <w:bCs/>
          <w:rtl/>
        </w:rPr>
        <w:t>עניין איוב</w:t>
      </w:r>
      <w:r>
        <w:rPr>
          <w:rFonts w:hint="cs"/>
          <w:rtl/>
        </w:rPr>
        <w:t>, לעיל ה"ש 2</w:t>
      </w:r>
      <w:r w:rsidR="00507AB8">
        <w:rPr>
          <w:rFonts w:hint="cs"/>
          <w:rtl/>
        </w:rPr>
        <w:t>4</w:t>
      </w:r>
      <w:r>
        <w:rPr>
          <w:rFonts w:hint="cs"/>
          <w:rtl/>
        </w:rPr>
        <w:t xml:space="preserve">, פסק דינו של השופט ויתקון. </w:t>
      </w:r>
    </w:p>
  </w:footnote>
  <w:footnote w:id="28">
    <w:p w:rsidR="00E34EF1" w:rsidRPr="00A305BA" w:rsidRDefault="00E34EF1" w:rsidP="00507AB8">
      <w:pPr>
        <w:pStyle w:val="a4"/>
        <w:bidi/>
        <w:rPr>
          <w:rtl/>
        </w:rPr>
      </w:pPr>
      <w:r>
        <w:rPr>
          <w:rStyle w:val="a6"/>
        </w:rPr>
        <w:footnoteRef/>
      </w:r>
      <w:r>
        <w:rPr>
          <w:rFonts w:hint="cs"/>
          <w:rtl/>
        </w:rPr>
        <w:t xml:space="preserve"> </w:t>
      </w:r>
      <w:r w:rsidRPr="00B9304C">
        <w:t>Schwarzenberger</w:t>
      </w:r>
      <w:r w:rsidRPr="00B9304C">
        <w:rPr>
          <w:rFonts w:hint="cs"/>
          <w:rtl/>
        </w:rPr>
        <w:t xml:space="preserve"> </w:t>
      </w:r>
      <w:r>
        <w:rPr>
          <w:rFonts w:hint="cs"/>
          <w:rtl/>
        </w:rPr>
        <w:t xml:space="preserve">עצמו ציין </w:t>
      </w:r>
      <w:r w:rsidRPr="00B9304C">
        <w:rPr>
          <w:rFonts w:hint="cs"/>
          <w:rtl/>
        </w:rPr>
        <w:t>כי תנאי זה</w:t>
      </w:r>
      <w:r w:rsidRPr="00B9304C">
        <w:rPr>
          <w:rFonts w:asciiTheme="majorBidi" w:hAnsiTheme="majorBidi" w:hint="cs"/>
          <w:rtl/>
        </w:rPr>
        <w:t xml:space="preserve"> לא זכה להתייחסות רבה בפסיקת טריבונלים בין-לאומיים.</w:t>
      </w:r>
    </w:p>
  </w:footnote>
  <w:footnote w:id="29">
    <w:p w:rsidR="00E34EF1" w:rsidRDefault="00E34EF1" w:rsidP="00507AB8">
      <w:pPr>
        <w:pStyle w:val="a4"/>
        <w:bidi/>
        <w:rPr>
          <w:rtl/>
        </w:rPr>
      </w:pPr>
      <w:r w:rsidRPr="00D200FB">
        <w:rPr>
          <w:b/>
          <w:bCs/>
        </w:rPr>
        <w:t>Schwarzenberger</w:t>
      </w:r>
      <w:r>
        <w:rPr>
          <w:rStyle w:val="a6"/>
        </w:rPr>
        <w:t xml:space="preserve"> </w:t>
      </w:r>
      <w:r>
        <w:rPr>
          <w:rStyle w:val="a6"/>
        </w:rPr>
        <w:footnoteRef/>
      </w:r>
      <w:r>
        <w:rPr>
          <w:rFonts w:hint="cs"/>
          <w:rtl/>
        </w:rPr>
        <w:t>, לעיל ה"ש 1</w:t>
      </w:r>
      <w:r w:rsidR="00507AB8">
        <w:rPr>
          <w:rFonts w:hint="cs"/>
          <w:rtl/>
        </w:rPr>
        <w:t>7</w:t>
      </w:r>
      <w:r>
        <w:rPr>
          <w:rFonts w:hint="cs"/>
          <w:rtl/>
        </w:rPr>
        <w:t>, בעמ' 269-272.</w:t>
      </w:r>
    </w:p>
    <w:p w:rsidR="00E34EF1" w:rsidRPr="0046124A" w:rsidRDefault="00E34EF1" w:rsidP="00B9304C">
      <w:pPr>
        <w:pStyle w:val="a4"/>
        <w:bidi/>
        <w:rPr>
          <w:rtl/>
        </w:rPr>
      </w:pPr>
      <w:r w:rsidRPr="00BF6630">
        <w:rPr>
          <w:rtl/>
        </w:rPr>
        <w:t>הדרישה לפיה ההפקעה תהיה מוגבלת לצרכים צבאיים נתמכה במספר החלטות של מספר טריבונלים לבוררות (</w:t>
      </w:r>
      <w:r w:rsidRPr="00BF6630">
        <w:t>Mixed Arbitral Tribunals</w:t>
      </w:r>
      <w:r w:rsidRPr="00BF6630">
        <w:rPr>
          <w:rtl/>
        </w:rPr>
        <w:t xml:space="preserve">) שפעלו לאחר מלחמת העולם הראשונה. הטריבונלים סברו כי הפקעות שאינן לצורך צבאי אינן עומדות עם תקנה 52 לתקנות האג.  הפסיקה אף התייחסה לתנאי העוסק בפיצוי וקבעה כי התשלום צריך להיות ראוי ביחס לפגיעה ולאובדן שנגרמו בעקבות </w:t>
      </w:r>
      <w:r w:rsidRPr="0046124A">
        <w:rPr>
          <w:rtl/>
        </w:rPr>
        <w:t>ההפקעה ושעליו להינתן תוך זמן סביר</w:t>
      </w:r>
      <w:r w:rsidRPr="0046124A">
        <w:rPr>
          <w:rFonts w:hint="cs"/>
          <w:rtl/>
        </w:rPr>
        <w:t xml:space="preserve">. ראה גם: </w:t>
      </w:r>
    </w:p>
    <w:p w:rsidR="00E34EF1" w:rsidRPr="0046124A" w:rsidRDefault="00E34EF1" w:rsidP="000F6EBF">
      <w:pPr>
        <w:pStyle w:val="a4"/>
        <w:bidi/>
      </w:pPr>
      <w:r w:rsidRPr="0046124A">
        <w:t>Anglo-German M.A.T Ralli Brothers v. Germany (1923-1924)</w:t>
      </w:r>
    </w:p>
    <w:p w:rsidR="00E34EF1" w:rsidRPr="0046124A" w:rsidRDefault="00E34EF1" w:rsidP="000F6EBF">
      <w:pPr>
        <w:pStyle w:val="a4"/>
        <w:bidi/>
        <w:rPr>
          <w:rtl/>
        </w:rPr>
      </w:pPr>
      <w:r w:rsidRPr="0046124A">
        <w:t>Belgo-German M.A.T Joseph Zurstrassen et Cie v. Germany (1924)</w:t>
      </w:r>
    </w:p>
    <w:p w:rsidR="00E34EF1" w:rsidRPr="008000A2" w:rsidRDefault="00E34EF1" w:rsidP="000F6EBF">
      <w:pPr>
        <w:pStyle w:val="a4"/>
        <w:bidi/>
        <w:rPr>
          <w:rtl/>
        </w:rPr>
      </w:pPr>
      <w:r w:rsidRPr="0046124A">
        <w:t>Franco- German M.A.T Gros Roman et Cie v. Germany (1924)</w:t>
      </w:r>
      <w:r>
        <w:rPr>
          <w:rFonts w:hint="cs"/>
          <w:rtl/>
        </w:rPr>
        <w:t xml:space="preserve"> </w:t>
      </w:r>
    </w:p>
  </w:footnote>
  <w:footnote w:id="30">
    <w:p w:rsidR="00E34EF1" w:rsidRPr="00DC1280" w:rsidRDefault="00E34EF1" w:rsidP="0030501C">
      <w:pPr>
        <w:pStyle w:val="a4"/>
        <w:bidi/>
        <w:rPr>
          <w:rtl/>
        </w:rPr>
      </w:pPr>
      <w:r>
        <w:rPr>
          <w:rStyle w:val="a6"/>
        </w:rPr>
        <w:footnoteRef/>
      </w:r>
      <w:r>
        <w:rPr>
          <w:rFonts w:hint="cs"/>
          <w:rtl/>
        </w:rPr>
        <w:t xml:space="preserve"> </w:t>
      </w:r>
      <w:r w:rsidRPr="007A511A">
        <w:t xml:space="preserve">Yoram Dinstein, </w:t>
      </w:r>
      <w:r w:rsidRPr="00F712F5">
        <w:rPr>
          <w:b/>
          <w:bCs/>
        </w:rPr>
        <w:t>The Law of Occupation</w:t>
      </w:r>
      <w:r w:rsidRPr="007A511A">
        <w:t xml:space="preserve"> </w:t>
      </w:r>
      <w:r>
        <w:t>225</w:t>
      </w:r>
      <w:r w:rsidRPr="007A511A">
        <w:t xml:space="preserve"> (2009)</w:t>
      </w:r>
      <w:r>
        <w:rPr>
          <w:rFonts w:hint="cs"/>
          <w:rtl/>
        </w:rPr>
        <w:t>;</w:t>
      </w:r>
      <w:r>
        <w:t xml:space="preserve">European Court of Human Rights, </w:t>
      </w:r>
      <w:r w:rsidRPr="00BF08CF">
        <w:rPr>
          <w:b/>
          <w:bCs/>
        </w:rPr>
        <w:t>Loizidou v. Turkey</w:t>
      </w:r>
      <w:r>
        <w:t xml:space="preserve"> (Merits) (1996)</w:t>
      </w:r>
    </w:p>
  </w:footnote>
  <w:footnote w:id="31">
    <w:p w:rsidR="00E34EF1" w:rsidRDefault="00E34EF1" w:rsidP="008000A2">
      <w:pPr>
        <w:pStyle w:val="a4"/>
        <w:bidi/>
        <w:rPr>
          <w:rtl/>
        </w:rPr>
      </w:pPr>
      <w:r>
        <w:rPr>
          <w:rStyle w:val="a6"/>
        </w:rPr>
        <w:footnoteRef/>
      </w:r>
      <w:r w:rsidRPr="008443D6">
        <w:rPr>
          <w:rFonts w:asciiTheme="majorBidi" w:hAnsiTheme="majorBidi"/>
          <w:rtl/>
        </w:rPr>
        <w:t>סעי</w:t>
      </w:r>
      <w:r w:rsidRPr="008443D6">
        <w:rPr>
          <w:rFonts w:asciiTheme="majorBidi" w:hAnsiTheme="majorBidi" w:hint="cs"/>
          <w:rtl/>
        </w:rPr>
        <w:t>ף</w:t>
      </w:r>
      <w:r w:rsidRPr="008443D6">
        <w:rPr>
          <w:rFonts w:asciiTheme="majorBidi" w:hAnsiTheme="majorBidi"/>
          <w:rtl/>
        </w:rPr>
        <w:t xml:space="preserve"> 8(2)(</w:t>
      </w:r>
      <w:r w:rsidRPr="008443D6">
        <w:rPr>
          <w:rFonts w:asciiTheme="majorBidi" w:hAnsiTheme="majorBidi"/>
        </w:rPr>
        <w:t>a</w:t>
      </w:r>
      <w:r w:rsidRPr="008443D6">
        <w:rPr>
          <w:rFonts w:asciiTheme="majorBidi" w:hAnsiTheme="majorBidi"/>
          <w:rtl/>
        </w:rPr>
        <w:t>)(</w:t>
      </w:r>
      <w:r w:rsidRPr="008443D6">
        <w:rPr>
          <w:rFonts w:asciiTheme="majorBidi" w:hAnsiTheme="majorBidi"/>
        </w:rPr>
        <w:t>iv</w:t>
      </w:r>
      <w:r w:rsidRPr="008443D6">
        <w:rPr>
          <w:rFonts w:asciiTheme="majorBidi" w:hAnsiTheme="majorBidi"/>
          <w:rtl/>
        </w:rPr>
        <w:t>)</w:t>
      </w:r>
      <w:r>
        <w:rPr>
          <w:rFonts w:hint="cs"/>
          <w:rtl/>
        </w:rPr>
        <w:t xml:space="preserve"> מתבסס על סעיף 147 לאמנות ג'נבה העוסק בהפרות חמורות של אמנת ג'נבה הרביעית. </w:t>
      </w:r>
    </w:p>
  </w:footnote>
  <w:footnote w:id="32">
    <w:p w:rsidR="00E34EF1" w:rsidRDefault="00E34EF1" w:rsidP="00D3194E">
      <w:pPr>
        <w:pStyle w:val="a4"/>
        <w:bidi/>
        <w:rPr>
          <w:rtl/>
        </w:rPr>
      </w:pPr>
      <w:r>
        <w:rPr>
          <w:rStyle w:val="a6"/>
        </w:rPr>
        <w:footnoteRef/>
      </w:r>
      <w:r>
        <w:rPr>
          <w:rFonts w:hint="cs"/>
          <w:rtl/>
        </w:rPr>
        <w:t>ראה:</w:t>
      </w:r>
    </w:p>
    <w:p w:rsidR="00E34EF1" w:rsidRDefault="00E34EF1" w:rsidP="00DA246B">
      <w:pPr>
        <w:pStyle w:val="a4"/>
        <w:bidi/>
        <w:rPr>
          <w:highlight w:val="yellow"/>
          <w:rtl/>
        </w:rPr>
      </w:pPr>
      <w:r w:rsidRPr="00D3194E">
        <w:t xml:space="preserve"> </w:t>
      </w:r>
      <w:r w:rsidRPr="00780B9E">
        <w:t>Knut Dörmann</w:t>
      </w:r>
      <w:r>
        <w:t xml:space="preserve">, </w:t>
      </w:r>
      <w:r w:rsidRPr="005166F2">
        <w:rPr>
          <w:b/>
          <w:bCs/>
        </w:rPr>
        <w:t>Elements of War Crimes under the Rome Statute of the International Criminal Court - sources and commentary</w:t>
      </w:r>
      <w:r>
        <w:t xml:space="preserve"> (2003).</w:t>
      </w:r>
      <w:r>
        <w:rPr>
          <w:rFonts w:hint="cs"/>
          <w:rtl/>
        </w:rPr>
        <w:t xml:space="preserve"> בעמ' 93</w:t>
      </w:r>
      <w:r w:rsidRPr="00DA246B">
        <w:rPr>
          <w:rFonts w:hint="cs"/>
          <w:rtl/>
        </w:rPr>
        <w:t xml:space="preserve">. (להלן: </w:t>
      </w:r>
      <w:r>
        <w:rPr>
          <w:rFonts w:hint="cs"/>
          <w:rtl/>
        </w:rPr>
        <w:t>"</w:t>
      </w:r>
      <w:r w:rsidRPr="00DA246B">
        <w:rPr>
          <w:rFonts w:hint="cs"/>
          <w:b/>
          <w:bCs/>
          <w:rtl/>
        </w:rPr>
        <w:t xml:space="preserve">מסמך פרשנות </w:t>
      </w:r>
      <w:r>
        <w:rPr>
          <w:rFonts w:hint="cs"/>
          <w:b/>
          <w:bCs/>
          <w:rtl/>
        </w:rPr>
        <w:t xml:space="preserve">למסמך </w:t>
      </w:r>
      <w:r w:rsidRPr="00DA246B">
        <w:rPr>
          <w:rFonts w:hint="cs"/>
          <w:b/>
          <w:bCs/>
          <w:rtl/>
        </w:rPr>
        <w:t>יסודות העבירות</w:t>
      </w:r>
      <w:r>
        <w:rPr>
          <w:rFonts w:hint="cs"/>
          <w:rtl/>
        </w:rPr>
        <w:t>"</w:t>
      </w:r>
      <w:r w:rsidRPr="00DA246B">
        <w:rPr>
          <w:rFonts w:hint="cs"/>
          <w:rtl/>
        </w:rPr>
        <w:t>)</w:t>
      </w:r>
    </w:p>
    <w:p w:rsidR="00E34EF1" w:rsidRPr="00780B9E" w:rsidRDefault="00E34EF1" w:rsidP="00D200FB">
      <w:pPr>
        <w:pStyle w:val="a4"/>
        <w:bidi/>
        <w:rPr>
          <w:rtl/>
        </w:rPr>
      </w:pPr>
      <w:r w:rsidRPr="00780B9E">
        <w:rPr>
          <w:rFonts w:hint="cs"/>
          <w:rtl/>
        </w:rPr>
        <w:t>יצוין כי מדובר במסמך פרשנות הכולל התייחסות למסמכי ההכנה של חוקת בית הדין ונ</w:t>
      </w:r>
      <w:r>
        <w:rPr>
          <w:rFonts w:hint="cs"/>
          <w:rtl/>
        </w:rPr>
        <w:t>יתוח של פסיקה קיימת של טריבונלי</w:t>
      </w:r>
      <w:r w:rsidRPr="00780B9E">
        <w:rPr>
          <w:rFonts w:hint="cs"/>
          <w:rtl/>
        </w:rPr>
        <w:t>ם בין לאומיים פלילים על של פשעי מלחמה. (ראה לעיל: מסמך הפרשנות למסמך יסודות העבירה)</w:t>
      </w:r>
    </w:p>
  </w:footnote>
  <w:footnote w:id="33">
    <w:p w:rsidR="00E34EF1" w:rsidRPr="00DA246B" w:rsidRDefault="00E34EF1" w:rsidP="00D200FB">
      <w:pPr>
        <w:pStyle w:val="a4"/>
        <w:bidi/>
        <w:rPr>
          <w:highlight w:val="yellow"/>
          <w:rtl/>
        </w:rPr>
      </w:pPr>
      <w:r w:rsidRPr="00780B9E">
        <w:rPr>
          <w:rStyle w:val="a6"/>
        </w:rPr>
        <w:footnoteRef/>
      </w:r>
      <w:r w:rsidRPr="00D200FB">
        <w:rPr>
          <w:rFonts w:hint="cs"/>
          <w:rtl/>
        </w:rPr>
        <w:t>שם,</w:t>
      </w:r>
      <w:r w:rsidRPr="00780B9E">
        <w:rPr>
          <w:rFonts w:hint="cs"/>
          <w:rtl/>
        </w:rPr>
        <w:t xml:space="preserve"> </w:t>
      </w:r>
      <w:r>
        <w:rPr>
          <w:rFonts w:hint="cs"/>
          <w:rtl/>
        </w:rPr>
        <w:t>בעמ'</w:t>
      </w:r>
      <w:r w:rsidRPr="00780B9E">
        <w:rPr>
          <w:rFonts w:hint="cs"/>
          <w:rtl/>
        </w:rPr>
        <w:t xml:space="preserve"> </w:t>
      </w:r>
      <w:r>
        <w:rPr>
          <w:rFonts w:hint="cs"/>
          <w:rtl/>
        </w:rPr>
        <w:t>92</w:t>
      </w:r>
      <w:r w:rsidRPr="00780B9E">
        <w:rPr>
          <w:rFonts w:hint="cs"/>
          <w:rtl/>
        </w:rPr>
        <w:t>.</w:t>
      </w:r>
    </w:p>
    <w:p w:rsidR="00E34EF1" w:rsidRPr="00780B9E" w:rsidRDefault="00E34EF1" w:rsidP="00780B9E">
      <w:pPr>
        <w:pStyle w:val="a4"/>
      </w:pPr>
      <w:r w:rsidRPr="00780B9E">
        <w:t xml:space="preserve">it appears that the terms ‘plunder’, ‘spoliation’ and ‘exploitation’ may be used interchangeably with the term ‘appropriation' </w:t>
      </w:r>
    </w:p>
  </w:footnote>
  <w:footnote w:id="34">
    <w:p w:rsidR="00E34EF1" w:rsidRPr="00DA246B" w:rsidRDefault="00E34EF1" w:rsidP="00507AB8">
      <w:pPr>
        <w:pStyle w:val="a4"/>
        <w:bidi/>
        <w:rPr>
          <w:highlight w:val="yellow"/>
          <w:rtl/>
        </w:rPr>
      </w:pPr>
      <w:r w:rsidRPr="00780B9E">
        <w:rPr>
          <w:rStyle w:val="a6"/>
        </w:rPr>
        <w:footnoteRef/>
      </w:r>
      <w:r w:rsidRPr="00780B9E">
        <w:t xml:space="preserve"> </w:t>
      </w:r>
      <w:r w:rsidRPr="00DA246B">
        <w:rPr>
          <w:rFonts w:hint="cs"/>
          <w:b/>
          <w:bCs/>
          <w:rtl/>
        </w:rPr>
        <w:t xml:space="preserve">מסמך פרשנות </w:t>
      </w:r>
      <w:r>
        <w:rPr>
          <w:rFonts w:hint="cs"/>
          <w:b/>
          <w:bCs/>
          <w:rtl/>
        </w:rPr>
        <w:t xml:space="preserve">למסמך </w:t>
      </w:r>
      <w:r w:rsidRPr="00DA246B">
        <w:rPr>
          <w:rFonts w:hint="cs"/>
          <w:b/>
          <w:bCs/>
          <w:rtl/>
        </w:rPr>
        <w:t>יסודות העבירות</w:t>
      </w:r>
      <w:r>
        <w:rPr>
          <w:rFonts w:hint="cs"/>
          <w:rtl/>
        </w:rPr>
        <w:t xml:space="preserve">, לעיל ה"ש </w:t>
      </w:r>
      <w:r w:rsidR="00507AB8">
        <w:rPr>
          <w:rFonts w:hint="cs"/>
          <w:rtl/>
        </w:rPr>
        <w:t>32</w:t>
      </w:r>
      <w:r>
        <w:rPr>
          <w:rFonts w:hint="cs"/>
          <w:rtl/>
        </w:rPr>
        <w:t>,</w:t>
      </w:r>
      <w:r w:rsidRPr="00780B9E">
        <w:rPr>
          <w:rFonts w:hint="cs"/>
          <w:rtl/>
        </w:rPr>
        <w:t xml:space="preserve"> </w:t>
      </w:r>
      <w:r>
        <w:rPr>
          <w:rFonts w:hint="cs"/>
          <w:rtl/>
        </w:rPr>
        <w:t>בעמ'</w:t>
      </w:r>
      <w:r w:rsidRPr="00780B9E">
        <w:rPr>
          <w:rFonts w:hint="cs"/>
          <w:rtl/>
        </w:rPr>
        <w:t xml:space="preserve"> </w:t>
      </w:r>
      <w:r>
        <w:rPr>
          <w:rFonts w:hint="cs"/>
          <w:rtl/>
        </w:rPr>
        <w:t>256</w:t>
      </w:r>
      <w:r w:rsidRPr="00780B9E">
        <w:rPr>
          <w:rFonts w:hint="cs"/>
          <w:rtl/>
        </w:rPr>
        <w:t>.</w:t>
      </w:r>
    </w:p>
    <w:p w:rsidR="00E34EF1" w:rsidRPr="006711A2" w:rsidRDefault="00E34EF1" w:rsidP="00DA246B">
      <w:pPr>
        <w:pStyle w:val="a4"/>
        <w:bidi/>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92" w:rsidRDefault="005A0A9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223312"/>
      <w:docPartObj>
        <w:docPartGallery w:val="Watermarks"/>
        <w:docPartUnique/>
      </w:docPartObj>
    </w:sdtPr>
    <w:sdtEndPr/>
    <w:sdtContent>
      <w:p w:rsidR="005A0A92" w:rsidRDefault="00CA66E7">
        <w:pPr>
          <w:pStyle w:val="a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58124" o:spid="_x0000_s2049" type="#_x0000_t136" style="position:absolute;left:0;text-align:left;margin-left:0;margin-top:0;width:365.95pt;height:219.55pt;rotation:315;z-index:-251658752;mso-position-horizontal:center;mso-position-horizontal-relative:margin;mso-position-vertical:center;mso-position-vertical-relative:margin" o:allowincell="f" fillcolor="silver" stroked="f">
              <v:fill opacity=".5"/>
              <v:textpath style="font-family:&quot;calibri&quot;;font-size:1pt" string="טיוטה"/>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92" w:rsidRDefault="005A0A9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DC2"/>
    <w:multiLevelType w:val="hybridMultilevel"/>
    <w:tmpl w:val="EFEA8236"/>
    <w:lvl w:ilvl="0" w:tplc="0409000F">
      <w:start w:val="1"/>
      <w:numFmt w:val="decimal"/>
      <w:lvlText w:val="%1."/>
      <w:lvlJc w:val="left"/>
      <w:pPr>
        <w:ind w:left="291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37D63"/>
    <w:multiLevelType w:val="hybridMultilevel"/>
    <w:tmpl w:val="EEFCC0AA"/>
    <w:lvl w:ilvl="0" w:tplc="0409000F">
      <w:start w:val="1"/>
      <w:numFmt w:val="decimal"/>
      <w:lvlText w:val="%1."/>
      <w:lvlJc w:val="left"/>
      <w:pPr>
        <w:ind w:left="291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6F6889"/>
    <w:multiLevelType w:val="hybridMultilevel"/>
    <w:tmpl w:val="13C6FF78"/>
    <w:lvl w:ilvl="0" w:tplc="0409000F">
      <w:start w:val="1"/>
      <w:numFmt w:val="decimal"/>
      <w:lvlText w:val="%1."/>
      <w:lvlJc w:val="left"/>
      <w:pPr>
        <w:ind w:left="291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01C0D"/>
    <w:multiLevelType w:val="hybridMultilevel"/>
    <w:tmpl w:val="48B0FE14"/>
    <w:lvl w:ilvl="0" w:tplc="0409000F">
      <w:start w:val="1"/>
      <w:numFmt w:val="decimal"/>
      <w:lvlText w:val="%1."/>
      <w:lvlJc w:val="left"/>
      <w:pPr>
        <w:ind w:left="426" w:hanging="360"/>
      </w:pPr>
    </w:lvl>
    <w:lvl w:ilvl="1" w:tplc="04090019">
      <w:start w:val="1"/>
      <w:numFmt w:val="lowerLetter"/>
      <w:lvlText w:val="%2."/>
      <w:lvlJc w:val="left"/>
      <w:pPr>
        <w:ind w:left="-1045" w:hanging="360"/>
      </w:pPr>
    </w:lvl>
    <w:lvl w:ilvl="2" w:tplc="0409001B">
      <w:start w:val="1"/>
      <w:numFmt w:val="lowerRoman"/>
      <w:lvlText w:val="%3."/>
      <w:lvlJc w:val="right"/>
      <w:pPr>
        <w:ind w:left="-325" w:hanging="180"/>
      </w:pPr>
    </w:lvl>
    <w:lvl w:ilvl="3" w:tplc="0409000F">
      <w:start w:val="1"/>
      <w:numFmt w:val="decimal"/>
      <w:lvlText w:val="%4."/>
      <w:lvlJc w:val="left"/>
      <w:pPr>
        <w:ind w:left="395" w:hanging="360"/>
      </w:pPr>
    </w:lvl>
    <w:lvl w:ilvl="4" w:tplc="04090019" w:tentative="1">
      <w:start w:val="1"/>
      <w:numFmt w:val="lowerLetter"/>
      <w:lvlText w:val="%5."/>
      <w:lvlJc w:val="left"/>
      <w:pPr>
        <w:ind w:left="1115" w:hanging="360"/>
      </w:pPr>
    </w:lvl>
    <w:lvl w:ilvl="5" w:tplc="0409001B" w:tentative="1">
      <w:start w:val="1"/>
      <w:numFmt w:val="lowerRoman"/>
      <w:lvlText w:val="%6."/>
      <w:lvlJc w:val="right"/>
      <w:pPr>
        <w:ind w:left="1835" w:hanging="180"/>
      </w:pPr>
    </w:lvl>
    <w:lvl w:ilvl="6" w:tplc="0409000F" w:tentative="1">
      <w:start w:val="1"/>
      <w:numFmt w:val="decimal"/>
      <w:lvlText w:val="%7."/>
      <w:lvlJc w:val="left"/>
      <w:pPr>
        <w:ind w:left="2555" w:hanging="360"/>
      </w:pPr>
    </w:lvl>
    <w:lvl w:ilvl="7" w:tplc="04090019" w:tentative="1">
      <w:start w:val="1"/>
      <w:numFmt w:val="lowerLetter"/>
      <w:lvlText w:val="%8."/>
      <w:lvlJc w:val="left"/>
      <w:pPr>
        <w:ind w:left="3275" w:hanging="360"/>
      </w:pPr>
    </w:lvl>
    <w:lvl w:ilvl="8" w:tplc="0409001B" w:tentative="1">
      <w:start w:val="1"/>
      <w:numFmt w:val="lowerRoman"/>
      <w:lvlText w:val="%9."/>
      <w:lvlJc w:val="right"/>
      <w:pPr>
        <w:ind w:left="3995" w:hanging="180"/>
      </w:pPr>
    </w:lvl>
  </w:abstractNum>
  <w:abstractNum w:abstractNumId="4">
    <w:nsid w:val="2B976B85"/>
    <w:multiLevelType w:val="hybridMultilevel"/>
    <w:tmpl w:val="5D2E3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E57FEA"/>
    <w:multiLevelType w:val="hybridMultilevel"/>
    <w:tmpl w:val="D602BE06"/>
    <w:lvl w:ilvl="0" w:tplc="859AD564">
      <w:numFmt w:val="bullet"/>
      <w:lvlText w:val="•"/>
      <w:lvlJc w:val="left"/>
      <w:pPr>
        <w:ind w:left="1080" w:hanging="720"/>
      </w:pPr>
      <w:rPr>
        <w:rFonts w:ascii="Times New Roman" w:eastAsia="Calibri"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B611F4"/>
    <w:multiLevelType w:val="hybridMultilevel"/>
    <w:tmpl w:val="7DACC80E"/>
    <w:lvl w:ilvl="0" w:tplc="717AE4F0">
      <w:start w:val="1"/>
      <w:numFmt w:val="decimal"/>
      <w:lvlText w:val="%1."/>
      <w:lvlJc w:val="left"/>
      <w:pPr>
        <w:ind w:left="786" w:hanging="360"/>
      </w:pPr>
      <w:rPr>
        <w:rFonts w:cs="David"/>
        <w:b w:val="0"/>
        <w:bCs w:val="0"/>
      </w:rPr>
    </w:lvl>
    <w:lvl w:ilvl="1" w:tplc="04090019">
      <w:start w:val="1"/>
      <w:numFmt w:val="lowerLetter"/>
      <w:lvlText w:val="%2."/>
      <w:lvlJc w:val="left"/>
      <w:pPr>
        <w:ind w:left="1304" w:hanging="360"/>
      </w:pPr>
    </w:lvl>
    <w:lvl w:ilvl="2" w:tplc="0409001B">
      <w:start w:val="1"/>
      <w:numFmt w:val="lowerRoman"/>
      <w:lvlText w:val="%3."/>
      <w:lvlJc w:val="right"/>
      <w:pPr>
        <w:ind w:left="2024" w:hanging="180"/>
      </w:pPr>
    </w:lvl>
    <w:lvl w:ilvl="3" w:tplc="0409000F">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7">
    <w:nsid w:val="3F4871D9"/>
    <w:multiLevelType w:val="hybridMultilevel"/>
    <w:tmpl w:val="752CAAA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566DFE"/>
    <w:multiLevelType w:val="hybridMultilevel"/>
    <w:tmpl w:val="1DA80C6A"/>
    <w:lvl w:ilvl="0" w:tplc="0409000F">
      <w:start w:val="1"/>
      <w:numFmt w:val="decimal"/>
      <w:lvlText w:val="%1."/>
      <w:lvlJc w:val="left"/>
      <w:pPr>
        <w:ind w:left="426" w:hanging="360"/>
      </w:pPr>
    </w:lvl>
    <w:lvl w:ilvl="1" w:tplc="04090019">
      <w:start w:val="1"/>
      <w:numFmt w:val="lowerLetter"/>
      <w:lvlText w:val="%2."/>
      <w:lvlJc w:val="left"/>
      <w:pPr>
        <w:ind w:left="-1045" w:hanging="360"/>
      </w:pPr>
    </w:lvl>
    <w:lvl w:ilvl="2" w:tplc="0409001B">
      <w:start w:val="1"/>
      <w:numFmt w:val="lowerRoman"/>
      <w:lvlText w:val="%3."/>
      <w:lvlJc w:val="right"/>
      <w:pPr>
        <w:ind w:left="-325" w:hanging="180"/>
      </w:pPr>
    </w:lvl>
    <w:lvl w:ilvl="3" w:tplc="0409000F">
      <w:start w:val="1"/>
      <w:numFmt w:val="decimal"/>
      <w:lvlText w:val="%4."/>
      <w:lvlJc w:val="left"/>
      <w:pPr>
        <w:ind w:left="395" w:hanging="360"/>
      </w:pPr>
    </w:lvl>
    <w:lvl w:ilvl="4" w:tplc="04090019" w:tentative="1">
      <w:start w:val="1"/>
      <w:numFmt w:val="lowerLetter"/>
      <w:lvlText w:val="%5."/>
      <w:lvlJc w:val="left"/>
      <w:pPr>
        <w:ind w:left="1115" w:hanging="360"/>
      </w:pPr>
    </w:lvl>
    <w:lvl w:ilvl="5" w:tplc="0409001B" w:tentative="1">
      <w:start w:val="1"/>
      <w:numFmt w:val="lowerRoman"/>
      <w:lvlText w:val="%6."/>
      <w:lvlJc w:val="right"/>
      <w:pPr>
        <w:ind w:left="1835" w:hanging="180"/>
      </w:pPr>
    </w:lvl>
    <w:lvl w:ilvl="6" w:tplc="0409000F" w:tentative="1">
      <w:start w:val="1"/>
      <w:numFmt w:val="decimal"/>
      <w:lvlText w:val="%7."/>
      <w:lvlJc w:val="left"/>
      <w:pPr>
        <w:ind w:left="2555" w:hanging="360"/>
      </w:pPr>
    </w:lvl>
    <w:lvl w:ilvl="7" w:tplc="04090019" w:tentative="1">
      <w:start w:val="1"/>
      <w:numFmt w:val="lowerLetter"/>
      <w:lvlText w:val="%8."/>
      <w:lvlJc w:val="left"/>
      <w:pPr>
        <w:ind w:left="3275" w:hanging="360"/>
      </w:pPr>
    </w:lvl>
    <w:lvl w:ilvl="8" w:tplc="0409001B" w:tentative="1">
      <w:start w:val="1"/>
      <w:numFmt w:val="lowerRoman"/>
      <w:lvlText w:val="%9."/>
      <w:lvlJc w:val="right"/>
      <w:pPr>
        <w:ind w:left="3995" w:hanging="180"/>
      </w:pPr>
    </w:lvl>
  </w:abstractNum>
  <w:abstractNum w:abstractNumId="9">
    <w:nsid w:val="56996F4E"/>
    <w:multiLevelType w:val="hybridMultilevel"/>
    <w:tmpl w:val="EEFCC0AA"/>
    <w:lvl w:ilvl="0" w:tplc="0409000F">
      <w:start w:val="1"/>
      <w:numFmt w:val="decimal"/>
      <w:lvlText w:val="%1."/>
      <w:lvlJc w:val="left"/>
      <w:pPr>
        <w:ind w:left="291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0F0038"/>
    <w:multiLevelType w:val="hybridMultilevel"/>
    <w:tmpl w:val="4736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530101"/>
    <w:multiLevelType w:val="hybridMultilevel"/>
    <w:tmpl w:val="13C6FF78"/>
    <w:lvl w:ilvl="0" w:tplc="0409000F">
      <w:start w:val="1"/>
      <w:numFmt w:val="decimal"/>
      <w:lvlText w:val="%1."/>
      <w:lvlJc w:val="left"/>
      <w:pPr>
        <w:ind w:left="426" w:hanging="360"/>
      </w:pPr>
    </w:lvl>
    <w:lvl w:ilvl="1" w:tplc="04090019">
      <w:start w:val="1"/>
      <w:numFmt w:val="lowerLetter"/>
      <w:lvlText w:val="%2."/>
      <w:lvlJc w:val="left"/>
      <w:pPr>
        <w:ind w:left="-1045" w:hanging="360"/>
      </w:pPr>
    </w:lvl>
    <w:lvl w:ilvl="2" w:tplc="0409001B">
      <w:start w:val="1"/>
      <w:numFmt w:val="lowerRoman"/>
      <w:lvlText w:val="%3."/>
      <w:lvlJc w:val="right"/>
      <w:pPr>
        <w:ind w:left="-325" w:hanging="180"/>
      </w:pPr>
    </w:lvl>
    <w:lvl w:ilvl="3" w:tplc="0409000F">
      <w:start w:val="1"/>
      <w:numFmt w:val="decimal"/>
      <w:lvlText w:val="%4."/>
      <w:lvlJc w:val="left"/>
      <w:pPr>
        <w:ind w:left="395" w:hanging="360"/>
      </w:pPr>
    </w:lvl>
    <w:lvl w:ilvl="4" w:tplc="04090019" w:tentative="1">
      <w:start w:val="1"/>
      <w:numFmt w:val="lowerLetter"/>
      <w:lvlText w:val="%5."/>
      <w:lvlJc w:val="left"/>
      <w:pPr>
        <w:ind w:left="1115" w:hanging="360"/>
      </w:pPr>
    </w:lvl>
    <w:lvl w:ilvl="5" w:tplc="0409001B" w:tentative="1">
      <w:start w:val="1"/>
      <w:numFmt w:val="lowerRoman"/>
      <w:lvlText w:val="%6."/>
      <w:lvlJc w:val="right"/>
      <w:pPr>
        <w:ind w:left="1835" w:hanging="180"/>
      </w:pPr>
    </w:lvl>
    <w:lvl w:ilvl="6" w:tplc="0409000F" w:tentative="1">
      <w:start w:val="1"/>
      <w:numFmt w:val="decimal"/>
      <w:lvlText w:val="%7."/>
      <w:lvlJc w:val="left"/>
      <w:pPr>
        <w:ind w:left="2555" w:hanging="360"/>
      </w:pPr>
    </w:lvl>
    <w:lvl w:ilvl="7" w:tplc="04090019" w:tentative="1">
      <w:start w:val="1"/>
      <w:numFmt w:val="lowerLetter"/>
      <w:lvlText w:val="%8."/>
      <w:lvlJc w:val="left"/>
      <w:pPr>
        <w:ind w:left="3275" w:hanging="360"/>
      </w:pPr>
    </w:lvl>
    <w:lvl w:ilvl="8" w:tplc="0409001B" w:tentative="1">
      <w:start w:val="1"/>
      <w:numFmt w:val="lowerRoman"/>
      <w:lvlText w:val="%9."/>
      <w:lvlJc w:val="right"/>
      <w:pPr>
        <w:ind w:left="3995" w:hanging="180"/>
      </w:pPr>
    </w:lvl>
  </w:abstractNum>
  <w:abstractNum w:abstractNumId="12">
    <w:nsid w:val="6AD667D7"/>
    <w:multiLevelType w:val="hybridMultilevel"/>
    <w:tmpl w:val="8D5A3D44"/>
    <w:lvl w:ilvl="0" w:tplc="77DCBB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0142D8"/>
    <w:multiLevelType w:val="hybridMultilevel"/>
    <w:tmpl w:val="34040366"/>
    <w:lvl w:ilvl="0" w:tplc="859AD564">
      <w:numFmt w:val="bullet"/>
      <w:lvlText w:val="•"/>
      <w:lvlJc w:val="left"/>
      <w:pPr>
        <w:ind w:left="1080" w:hanging="720"/>
      </w:pPr>
      <w:rPr>
        <w:rFonts w:ascii="Times New Roman" w:eastAsia="Calibri"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AF2C5F"/>
    <w:multiLevelType w:val="hybridMultilevel"/>
    <w:tmpl w:val="EEFCC0AA"/>
    <w:lvl w:ilvl="0" w:tplc="0409000F">
      <w:start w:val="1"/>
      <w:numFmt w:val="decimal"/>
      <w:lvlText w:val="%1."/>
      <w:lvlJc w:val="left"/>
      <w:pPr>
        <w:ind w:left="291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3B3153"/>
    <w:multiLevelType w:val="hybridMultilevel"/>
    <w:tmpl w:val="6980D2A4"/>
    <w:lvl w:ilvl="0" w:tplc="15CEF7B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2CC40A6"/>
    <w:multiLevelType w:val="hybridMultilevel"/>
    <w:tmpl w:val="13C6FF78"/>
    <w:lvl w:ilvl="0" w:tplc="0409000F">
      <w:start w:val="1"/>
      <w:numFmt w:val="decimal"/>
      <w:lvlText w:val="%1."/>
      <w:lvlJc w:val="left"/>
      <w:pPr>
        <w:ind w:left="291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950C89"/>
    <w:multiLevelType w:val="hybridMultilevel"/>
    <w:tmpl w:val="0E669DCA"/>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5"/>
  </w:num>
  <w:num w:numId="5">
    <w:abstractNumId w:val="16"/>
  </w:num>
  <w:num w:numId="6">
    <w:abstractNumId w:val="11"/>
  </w:num>
  <w:num w:numId="7">
    <w:abstractNumId w:val="13"/>
  </w:num>
  <w:num w:numId="8">
    <w:abstractNumId w:val="0"/>
  </w:num>
  <w:num w:numId="9">
    <w:abstractNumId w:val="14"/>
  </w:num>
  <w:num w:numId="10">
    <w:abstractNumId w:val="17"/>
  </w:num>
  <w:num w:numId="11">
    <w:abstractNumId w:val="7"/>
  </w:num>
  <w:num w:numId="12">
    <w:abstractNumId w:val="1"/>
  </w:num>
  <w:num w:numId="13">
    <w:abstractNumId w:val="4"/>
  </w:num>
  <w:num w:numId="14">
    <w:abstractNumId w:val="9"/>
  </w:num>
  <w:num w:numId="15">
    <w:abstractNumId w:val="3"/>
  </w:num>
  <w:num w:numId="16">
    <w:abstractNumId w:val="8"/>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1A2"/>
    <w:rsid w:val="0003031C"/>
    <w:rsid w:val="00032251"/>
    <w:rsid w:val="00032AB8"/>
    <w:rsid w:val="00036F4C"/>
    <w:rsid w:val="00056B38"/>
    <w:rsid w:val="0006452F"/>
    <w:rsid w:val="000904BB"/>
    <w:rsid w:val="000A6075"/>
    <w:rsid w:val="000B49B3"/>
    <w:rsid w:val="000B7478"/>
    <w:rsid w:val="000B78F8"/>
    <w:rsid w:val="000F29FC"/>
    <w:rsid w:val="000F4806"/>
    <w:rsid w:val="000F6EBF"/>
    <w:rsid w:val="000F7D12"/>
    <w:rsid w:val="0010339B"/>
    <w:rsid w:val="00131E1A"/>
    <w:rsid w:val="00153407"/>
    <w:rsid w:val="0015666A"/>
    <w:rsid w:val="00162FE0"/>
    <w:rsid w:val="00164BE9"/>
    <w:rsid w:val="0018346E"/>
    <w:rsid w:val="001A0B27"/>
    <w:rsid w:val="001A4393"/>
    <w:rsid w:val="001A528C"/>
    <w:rsid w:val="001B1958"/>
    <w:rsid w:val="0020244C"/>
    <w:rsid w:val="002101F1"/>
    <w:rsid w:val="00222872"/>
    <w:rsid w:val="00223CB3"/>
    <w:rsid w:val="00246367"/>
    <w:rsid w:val="00254C04"/>
    <w:rsid w:val="00263748"/>
    <w:rsid w:val="00267417"/>
    <w:rsid w:val="00271FD5"/>
    <w:rsid w:val="00281312"/>
    <w:rsid w:val="00284168"/>
    <w:rsid w:val="00285A1E"/>
    <w:rsid w:val="002A23B0"/>
    <w:rsid w:val="002C0FE8"/>
    <w:rsid w:val="002D5DB4"/>
    <w:rsid w:val="002D7086"/>
    <w:rsid w:val="002E30CD"/>
    <w:rsid w:val="002F1DA2"/>
    <w:rsid w:val="002F67A8"/>
    <w:rsid w:val="0030501C"/>
    <w:rsid w:val="00314F0B"/>
    <w:rsid w:val="003224E3"/>
    <w:rsid w:val="0032358F"/>
    <w:rsid w:val="00327C2E"/>
    <w:rsid w:val="003307EE"/>
    <w:rsid w:val="00334E27"/>
    <w:rsid w:val="00351BF0"/>
    <w:rsid w:val="0035480F"/>
    <w:rsid w:val="0036507B"/>
    <w:rsid w:val="00366450"/>
    <w:rsid w:val="003845FC"/>
    <w:rsid w:val="0039138D"/>
    <w:rsid w:val="003D675C"/>
    <w:rsid w:val="003E0D4A"/>
    <w:rsid w:val="003E4C9F"/>
    <w:rsid w:val="003E4F8A"/>
    <w:rsid w:val="003E59E5"/>
    <w:rsid w:val="00400A02"/>
    <w:rsid w:val="00430102"/>
    <w:rsid w:val="0043491B"/>
    <w:rsid w:val="0046124A"/>
    <w:rsid w:val="00482E71"/>
    <w:rsid w:val="0048777F"/>
    <w:rsid w:val="004937C5"/>
    <w:rsid w:val="00495B34"/>
    <w:rsid w:val="004C5E13"/>
    <w:rsid w:val="004C70A0"/>
    <w:rsid w:val="004D7DAC"/>
    <w:rsid w:val="004E2BDD"/>
    <w:rsid w:val="004E78AB"/>
    <w:rsid w:val="004F0150"/>
    <w:rsid w:val="004F5197"/>
    <w:rsid w:val="00503355"/>
    <w:rsid w:val="00504CBB"/>
    <w:rsid w:val="00507AB8"/>
    <w:rsid w:val="005166F2"/>
    <w:rsid w:val="005174FC"/>
    <w:rsid w:val="00524827"/>
    <w:rsid w:val="00544A82"/>
    <w:rsid w:val="0057240C"/>
    <w:rsid w:val="00587AC3"/>
    <w:rsid w:val="005A0A92"/>
    <w:rsid w:val="005D1B9C"/>
    <w:rsid w:val="005F5D44"/>
    <w:rsid w:val="0060216D"/>
    <w:rsid w:val="00607418"/>
    <w:rsid w:val="00615225"/>
    <w:rsid w:val="00616F3B"/>
    <w:rsid w:val="00632B3B"/>
    <w:rsid w:val="006420EC"/>
    <w:rsid w:val="00656E50"/>
    <w:rsid w:val="00660642"/>
    <w:rsid w:val="00661379"/>
    <w:rsid w:val="00665FBD"/>
    <w:rsid w:val="006711A2"/>
    <w:rsid w:val="006717EA"/>
    <w:rsid w:val="006870BA"/>
    <w:rsid w:val="006A0A3D"/>
    <w:rsid w:val="006B63FB"/>
    <w:rsid w:val="006F013C"/>
    <w:rsid w:val="006F28B7"/>
    <w:rsid w:val="007057CA"/>
    <w:rsid w:val="00710DD4"/>
    <w:rsid w:val="00713151"/>
    <w:rsid w:val="00720FA8"/>
    <w:rsid w:val="00731A73"/>
    <w:rsid w:val="00750650"/>
    <w:rsid w:val="00750FBE"/>
    <w:rsid w:val="007740D5"/>
    <w:rsid w:val="007756F5"/>
    <w:rsid w:val="00776842"/>
    <w:rsid w:val="00780B9E"/>
    <w:rsid w:val="007B2D18"/>
    <w:rsid w:val="007C44AE"/>
    <w:rsid w:val="007D0297"/>
    <w:rsid w:val="007D2BC1"/>
    <w:rsid w:val="007D2C2D"/>
    <w:rsid w:val="007D677C"/>
    <w:rsid w:val="007E076C"/>
    <w:rsid w:val="007F0579"/>
    <w:rsid w:val="008000A2"/>
    <w:rsid w:val="00811822"/>
    <w:rsid w:val="008139FA"/>
    <w:rsid w:val="00834D12"/>
    <w:rsid w:val="008443D6"/>
    <w:rsid w:val="008524B4"/>
    <w:rsid w:val="008528FC"/>
    <w:rsid w:val="00853B31"/>
    <w:rsid w:val="00873EBF"/>
    <w:rsid w:val="00880B14"/>
    <w:rsid w:val="008A0A15"/>
    <w:rsid w:val="009023DB"/>
    <w:rsid w:val="00913905"/>
    <w:rsid w:val="00920BA0"/>
    <w:rsid w:val="00926B23"/>
    <w:rsid w:val="00971DDB"/>
    <w:rsid w:val="009810B2"/>
    <w:rsid w:val="009907C3"/>
    <w:rsid w:val="009B07C7"/>
    <w:rsid w:val="009D5451"/>
    <w:rsid w:val="009F6124"/>
    <w:rsid w:val="00A074B7"/>
    <w:rsid w:val="00A16446"/>
    <w:rsid w:val="00A27DF1"/>
    <w:rsid w:val="00A302CA"/>
    <w:rsid w:val="00A305BA"/>
    <w:rsid w:val="00A86474"/>
    <w:rsid w:val="00AA48EB"/>
    <w:rsid w:val="00AE0827"/>
    <w:rsid w:val="00B0057F"/>
    <w:rsid w:val="00B5054C"/>
    <w:rsid w:val="00B6344B"/>
    <w:rsid w:val="00B74254"/>
    <w:rsid w:val="00B9304C"/>
    <w:rsid w:val="00BA2FCA"/>
    <w:rsid w:val="00BA7875"/>
    <w:rsid w:val="00BB466E"/>
    <w:rsid w:val="00BB4FB3"/>
    <w:rsid w:val="00BB773C"/>
    <w:rsid w:val="00BC67A9"/>
    <w:rsid w:val="00BD74D0"/>
    <w:rsid w:val="00BE4199"/>
    <w:rsid w:val="00BF08CF"/>
    <w:rsid w:val="00BF3B7D"/>
    <w:rsid w:val="00BF6630"/>
    <w:rsid w:val="00C362E9"/>
    <w:rsid w:val="00C41D26"/>
    <w:rsid w:val="00C87368"/>
    <w:rsid w:val="00C92135"/>
    <w:rsid w:val="00CA2821"/>
    <w:rsid w:val="00CA39E7"/>
    <w:rsid w:val="00CA66E7"/>
    <w:rsid w:val="00CE6372"/>
    <w:rsid w:val="00D04678"/>
    <w:rsid w:val="00D12E68"/>
    <w:rsid w:val="00D200FB"/>
    <w:rsid w:val="00D249FE"/>
    <w:rsid w:val="00D307D0"/>
    <w:rsid w:val="00D3194E"/>
    <w:rsid w:val="00D32021"/>
    <w:rsid w:val="00D513D5"/>
    <w:rsid w:val="00D57DEE"/>
    <w:rsid w:val="00D619C6"/>
    <w:rsid w:val="00D83B97"/>
    <w:rsid w:val="00DA246B"/>
    <w:rsid w:val="00DA3360"/>
    <w:rsid w:val="00DC1280"/>
    <w:rsid w:val="00DD371E"/>
    <w:rsid w:val="00DD71EF"/>
    <w:rsid w:val="00DE6178"/>
    <w:rsid w:val="00DF00A9"/>
    <w:rsid w:val="00E00366"/>
    <w:rsid w:val="00E0187B"/>
    <w:rsid w:val="00E34EF1"/>
    <w:rsid w:val="00E503E6"/>
    <w:rsid w:val="00E552B6"/>
    <w:rsid w:val="00E803E8"/>
    <w:rsid w:val="00E83495"/>
    <w:rsid w:val="00EA1587"/>
    <w:rsid w:val="00EC5602"/>
    <w:rsid w:val="00EE626E"/>
    <w:rsid w:val="00EF1EF8"/>
    <w:rsid w:val="00EF7D3D"/>
    <w:rsid w:val="00F12EEA"/>
    <w:rsid w:val="00F1389B"/>
    <w:rsid w:val="00F31ABC"/>
    <w:rsid w:val="00F51EE4"/>
    <w:rsid w:val="00F712F5"/>
    <w:rsid w:val="00F8090A"/>
    <w:rsid w:val="00F82492"/>
    <w:rsid w:val="00FB3B6E"/>
    <w:rsid w:val="00FD21D8"/>
    <w:rsid w:val="00FD317E"/>
    <w:rsid w:val="00FE74DB"/>
    <w:rsid w:val="00FE7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1A2"/>
    <w:pPr>
      <w:jc w:val="both"/>
    </w:pPr>
    <w:rPr>
      <w:rFonts w:ascii="Times New Roman" w:eastAsia="Calibri"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1A2"/>
    <w:pPr>
      <w:ind w:left="720"/>
      <w:contextualSpacing/>
    </w:pPr>
  </w:style>
  <w:style w:type="paragraph" w:styleId="a4">
    <w:name w:val="footnote text"/>
    <w:basedOn w:val="a"/>
    <w:link w:val="a5"/>
    <w:uiPriority w:val="99"/>
    <w:unhideWhenUsed/>
    <w:rsid w:val="006711A2"/>
    <w:pPr>
      <w:spacing w:after="0" w:line="240" w:lineRule="auto"/>
    </w:pPr>
    <w:rPr>
      <w:sz w:val="20"/>
      <w:szCs w:val="20"/>
    </w:rPr>
  </w:style>
  <w:style w:type="character" w:customStyle="1" w:styleId="a5">
    <w:name w:val="טקסט הערת שוליים תו"/>
    <w:basedOn w:val="a0"/>
    <w:link w:val="a4"/>
    <w:uiPriority w:val="99"/>
    <w:rsid w:val="006711A2"/>
    <w:rPr>
      <w:rFonts w:ascii="Times New Roman" w:eastAsia="Calibri" w:hAnsi="Times New Roman" w:cs="David"/>
      <w:sz w:val="20"/>
      <w:szCs w:val="20"/>
    </w:rPr>
  </w:style>
  <w:style w:type="character" w:styleId="a6">
    <w:name w:val="footnote reference"/>
    <w:aliases w:val="Footnote Reference"/>
    <w:basedOn w:val="a0"/>
    <w:unhideWhenUsed/>
    <w:rsid w:val="006711A2"/>
    <w:rPr>
      <w:vertAlign w:val="superscript"/>
    </w:rPr>
  </w:style>
  <w:style w:type="character" w:customStyle="1" w:styleId="apple-style-span">
    <w:name w:val="apple-style-span"/>
    <w:rsid w:val="006711A2"/>
  </w:style>
  <w:style w:type="paragraph" w:styleId="a7">
    <w:name w:val="Balloon Text"/>
    <w:basedOn w:val="a"/>
    <w:link w:val="a8"/>
    <w:uiPriority w:val="99"/>
    <w:semiHidden/>
    <w:unhideWhenUsed/>
    <w:rsid w:val="006711A2"/>
    <w:pPr>
      <w:bidi/>
      <w:spacing w:after="0" w:line="240" w:lineRule="auto"/>
    </w:pPr>
    <w:rPr>
      <w:rFonts w:ascii="Tahoma" w:eastAsia="Times New Roman" w:hAnsi="Tahoma" w:cs="Times New Roman"/>
      <w:sz w:val="16"/>
      <w:szCs w:val="16"/>
      <w:lang w:val="x-none" w:eastAsia="x-none"/>
    </w:rPr>
  </w:style>
  <w:style w:type="character" w:customStyle="1" w:styleId="a8">
    <w:name w:val="טקסט בלונים תו"/>
    <w:basedOn w:val="a0"/>
    <w:link w:val="a7"/>
    <w:uiPriority w:val="99"/>
    <w:semiHidden/>
    <w:rsid w:val="006711A2"/>
    <w:rPr>
      <w:rFonts w:ascii="Tahoma" w:eastAsia="Times New Roman" w:hAnsi="Tahoma" w:cs="Times New Roman"/>
      <w:sz w:val="16"/>
      <w:szCs w:val="16"/>
      <w:lang w:val="x-none" w:eastAsia="x-none"/>
    </w:rPr>
  </w:style>
  <w:style w:type="character" w:styleId="a9">
    <w:name w:val="annotation reference"/>
    <w:basedOn w:val="a0"/>
    <w:uiPriority w:val="99"/>
    <w:semiHidden/>
    <w:unhideWhenUsed/>
    <w:rsid w:val="006711A2"/>
    <w:rPr>
      <w:sz w:val="16"/>
      <w:szCs w:val="16"/>
    </w:rPr>
  </w:style>
  <w:style w:type="paragraph" w:styleId="aa">
    <w:name w:val="annotation text"/>
    <w:basedOn w:val="a"/>
    <w:link w:val="ab"/>
    <w:uiPriority w:val="99"/>
    <w:unhideWhenUsed/>
    <w:rsid w:val="006711A2"/>
    <w:pPr>
      <w:spacing w:line="240" w:lineRule="auto"/>
    </w:pPr>
    <w:rPr>
      <w:sz w:val="20"/>
      <w:szCs w:val="20"/>
    </w:rPr>
  </w:style>
  <w:style w:type="character" w:customStyle="1" w:styleId="ab">
    <w:name w:val="טקסט הערה תו"/>
    <w:basedOn w:val="a0"/>
    <w:link w:val="aa"/>
    <w:uiPriority w:val="99"/>
    <w:rsid w:val="006711A2"/>
    <w:rPr>
      <w:rFonts w:ascii="Times New Roman" w:eastAsia="Calibri" w:hAnsi="Times New Roman" w:cs="David"/>
      <w:sz w:val="20"/>
      <w:szCs w:val="20"/>
    </w:rPr>
  </w:style>
  <w:style w:type="paragraph" w:styleId="ac">
    <w:name w:val="annotation subject"/>
    <w:basedOn w:val="aa"/>
    <w:next w:val="aa"/>
    <w:link w:val="ad"/>
    <w:uiPriority w:val="99"/>
    <w:semiHidden/>
    <w:unhideWhenUsed/>
    <w:rsid w:val="006711A2"/>
    <w:rPr>
      <w:b/>
      <w:bCs/>
    </w:rPr>
  </w:style>
  <w:style w:type="character" w:customStyle="1" w:styleId="ad">
    <w:name w:val="נושא הערה תו"/>
    <w:basedOn w:val="ab"/>
    <w:link w:val="ac"/>
    <w:uiPriority w:val="99"/>
    <w:semiHidden/>
    <w:rsid w:val="006711A2"/>
    <w:rPr>
      <w:rFonts w:ascii="Times New Roman" w:eastAsia="Calibri" w:hAnsi="Times New Roman" w:cs="David"/>
      <w:b/>
      <w:bCs/>
      <w:sz w:val="20"/>
      <w:szCs w:val="20"/>
    </w:rPr>
  </w:style>
  <w:style w:type="paragraph" w:styleId="ae">
    <w:name w:val="header"/>
    <w:basedOn w:val="a"/>
    <w:link w:val="af"/>
    <w:uiPriority w:val="99"/>
    <w:unhideWhenUsed/>
    <w:rsid w:val="007057CA"/>
    <w:pPr>
      <w:tabs>
        <w:tab w:val="center" w:pos="4153"/>
        <w:tab w:val="right" w:pos="8306"/>
      </w:tabs>
      <w:spacing w:after="0" w:line="240" w:lineRule="auto"/>
    </w:pPr>
  </w:style>
  <w:style w:type="character" w:customStyle="1" w:styleId="af">
    <w:name w:val="כותרת עליונה תו"/>
    <w:basedOn w:val="a0"/>
    <w:link w:val="ae"/>
    <w:uiPriority w:val="99"/>
    <w:rsid w:val="007057CA"/>
    <w:rPr>
      <w:rFonts w:ascii="Times New Roman" w:eastAsia="Calibri" w:hAnsi="Times New Roman" w:cs="David"/>
      <w:sz w:val="24"/>
      <w:szCs w:val="24"/>
    </w:rPr>
  </w:style>
  <w:style w:type="paragraph" w:styleId="af0">
    <w:name w:val="footer"/>
    <w:basedOn w:val="a"/>
    <w:link w:val="af1"/>
    <w:uiPriority w:val="99"/>
    <w:unhideWhenUsed/>
    <w:rsid w:val="007057CA"/>
    <w:pPr>
      <w:tabs>
        <w:tab w:val="center" w:pos="4153"/>
        <w:tab w:val="right" w:pos="8306"/>
      </w:tabs>
      <w:spacing w:after="0" w:line="240" w:lineRule="auto"/>
    </w:pPr>
  </w:style>
  <w:style w:type="character" w:customStyle="1" w:styleId="af1">
    <w:name w:val="כותרת תחתונה תו"/>
    <w:basedOn w:val="a0"/>
    <w:link w:val="af0"/>
    <w:uiPriority w:val="99"/>
    <w:rsid w:val="007057CA"/>
    <w:rPr>
      <w:rFonts w:ascii="Times New Roman" w:eastAsia="Calibri" w:hAnsi="Times New Roman" w:cs="David"/>
      <w:sz w:val="24"/>
      <w:szCs w:val="24"/>
    </w:rPr>
  </w:style>
  <w:style w:type="paragraph" w:styleId="NormalWeb">
    <w:name w:val="Normal (Web)"/>
    <w:basedOn w:val="a"/>
    <w:uiPriority w:val="99"/>
    <w:unhideWhenUsed/>
    <w:rsid w:val="00267417"/>
    <w:pPr>
      <w:spacing w:before="100" w:beforeAutospacing="1" w:after="100" w:afterAutospacing="1" w:line="240" w:lineRule="auto"/>
      <w:jc w:val="left"/>
    </w:pPr>
    <w:rPr>
      <w:rFonts w:eastAsia="Times New Roman" w:cs="Times New Roman"/>
    </w:rPr>
  </w:style>
  <w:style w:type="character" w:styleId="af2">
    <w:name w:val="Strong"/>
    <w:basedOn w:val="a0"/>
    <w:uiPriority w:val="22"/>
    <w:qFormat/>
    <w:rsid w:val="00267417"/>
    <w:rPr>
      <w:b/>
      <w:bCs/>
    </w:rPr>
  </w:style>
  <w:style w:type="character" w:styleId="Hyperlink">
    <w:name w:val="Hyperlink"/>
    <w:uiPriority w:val="99"/>
    <w:rsid w:val="004F5197"/>
    <w:rPr>
      <w:color w:val="0000FF"/>
      <w:u w:val="single"/>
    </w:rPr>
  </w:style>
  <w:style w:type="character" w:customStyle="1" w:styleId="apple-converted-space">
    <w:name w:val="apple-converted-space"/>
    <w:rsid w:val="004F5197"/>
  </w:style>
  <w:style w:type="character" w:customStyle="1" w:styleId="af3">
    <w:name w:val="כללי תו"/>
    <w:basedOn w:val="a0"/>
    <w:link w:val="af4"/>
    <w:locked/>
    <w:rsid w:val="00CA2821"/>
    <w:rPr>
      <w:rFonts w:cs="FrankRuehl"/>
      <w:lang w:eastAsia="he-IL"/>
    </w:rPr>
  </w:style>
  <w:style w:type="paragraph" w:customStyle="1" w:styleId="af4">
    <w:name w:val="כללי"/>
    <w:basedOn w:val="a"/>
    <w:link w:val="af3"/>
    <w:rsid w:val="00CA2821"/>
    <w:pPr>
      <w:overflowPunct w:val="0"/>
      <w:autoSpaceDE w:val="0"/>
      <w:autoSpaceDN w:val="0"/>
      <w:bidi/>
      <w:spacing w:after="240" w:line="278" w:lineRule="exact"/>
      <w:ind w:left="113" w:firstLine="284"/>
    </w:pPr>
    <w:rPr>
      <w:rFonts w:asciiTheme="minorHAnsi" w:eastAsiaTheme="minorHAnsi" w:hAnsiTheme="minorHAnsi" w:cs="FrankRuehl"/>
      <w:sz w:val="22"/>
      <w:szCs w:val="22"/>
      <w:lang w:eastAsia="he-IL"/>
    </w:rPr>
  </w:style>
  <w:style w:type="paragraph" w:styleId="af5">
    <w:name w:val="endnote text"/>
    <w:basedOn w:val="a"/>
    <w:link w:val="af6"/>
    <w:uiPriority w:val="99"/>
    <w:semiHidden/>
    <w:unhideWhenUsed/>
    <w:rsid w:val="000A6075"/>
    <w:pPr>
      <w:spacing w:after="0" w:line="240" w:lineRule="auto"/>
    </w:pPr>
    <w:rPr>
      <w:sz w:val="20"/>
      <w:szCs w:val="20"/>
    </w:rPr>
  </w:style>
  <w:style w:type="character" w:customStyle="1" w:styleId="af6">
    <w:name w:val="טקסט הערת סיום תו"/>
    <w:basedOn w:val="a0"/>
    <w:link w:val="af5"/>
    <w:uiPriority w:val="99"/>
    <w:semiHidden/>
    <w:rsid w:val="000A6075"/>
    <w:rPr>
      <w:rFonts w:ascii="Times New Roman" w:eastAsia="Calibri" w:hAnsi="Times New Roman" w:cs="David"/>
      <w:sz w:val="20"/>
      <w:szCs w:val="20"/>
    </w:rPr>
  </w:style>
  <w:style w:type="character" w:styleId="af7">
    <w:name w:val="endnote reference"/>
    <w:basedOn w:val="a0"/>
    <w:uiPriority w:val="99"/>
    <w:semiHidden/>
    <w:unhideWhenUsed/>
    <w:rsid w:val="000A60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1A2"/>
    <w:pPr>
      <w:jc w:val="both"/>
    </w:pPr>
    <w:rPr>
      <w:rFonts w:ascii="Times New Roman" w:eastAsia="Calibri"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1A2"/>
    <w:pPr>
      <w:ind w:left="720"/>
      <w:contextualSpacing/>
    </w:pPr>
  </w:style>
  <w:style w:type="paragraph" w:styleId="a4">
    <w:name w:val="footnote text"/>
    <w:basedOn w:val="a"/>
    <w:link w:val="a5"/>
    <w:uiPriority w:val="99"/>
    <w:unhideWhenUsed/>
    <w:rsid w:val="006711A2"/>
    <w:pPr>
      <w:spacing w:after="0" w:line="240" w:lineRule="auto"/>
    </w:pPr>
    <w:rPr>
      <w:sz w:val="20"/>
      <w:szCs w:val="20"/>
    </w:rPr>
  </w:style>
  <w:style w:type="character" w:customStyle="1" w:styleId="a5">
    <w:name w:val="טקסט הערת שוליים תו"/>
    <w:basedOn w:val="a0"/>
    <w:link w:val="a4"/>
    <w:uiPriority w:val="99"/>
    <w:rsid w:val="006711A2"/>
    <w:rPr>
      <w:rFonts w:ascii="Times New Roman" w:eastAsia="Calibri" w:hAnsi="Times New Roman" w:cs="David"/>
      <w:sz w:val="20"/>
      <w:szCs w:val="20"/>
    </w:rPr>
  </w:style>
  <w:style w:type="character" w:styleId="a6">
    <w:name w:val="footnote reference"/>
    <w:aliases w:val="Footnote Reference"/>
    <w:basedOn w:val="a0"/>
    <w:unhideWhenUsed/>
    <w:rsid w:val="006711A2"/>
    <w:rPr>
      <w:vertAlign w:val="superscript"/>
    </w:rPr>
  </w:style>
  <w:style w:type="character" w:customStyle="1" w:styleId="apple-style-span">
    <w:name w:val="apple-style-span"/>
    <w:rsid w:val="006711A2"/>
  </w:style>
  <w:style w:type="paragraph" w:styleId="a7">
    <w:name w:val="Balloon Text"/>
    <w:basedOn w:val="a"/>
    <w:link w:val="a8"/>
    <w:uiPriority w:val="99"/>
    <w:semiHidden/>
    <w:unhideWhenUsed/>
    <w:rsid w:val="006711A2"/>
    <w:pPr>
      <w:bidi/>
      <w:spacing w:after="0" w:line="240" w:lineRule="auto"/>
    </w:pPr>
    <w:rPr>
      <w:rFonts w:ascii="Tahoma" w:eastAsia="Times New Roman" w:hAnsi="Tahoma" w:cs="Times New Roman"/>
      <w:sz w:val="16"/>
      <w:szCs w:val="16"/>
      <w:lang w:val="x-none" w:eastAsia="x-none"/>
    </w:rPr>
  </w:style>
  <w:style w:type="character" w:customStyle="1" w:styleId="a8">
    <w:name w:val="טקסט בלונים תו"/>
    <w:basedOn w:val="a0"/>
    <w:link w:val="a7"/>
    <w:uiPriority w:val="99"/>
    <w:semiHidden/>
    <w:rsid w:val="006711A2"/>
    <w:rPr>
      <w:rFonts w:ascii="Tahoma" w:eastAsia="Times New Roman" w:hAnsi="Tahoma" w:cs="Times New Roman"/>
      <w:sz w:val="16"/>
      <w:szCs w:val="16"/>
      <w:lang w:val="x-none" w:eastAsia="x-none"/>
    </w:rPr>
  </w:style>
  <w:style w:type="character" w:styleId="a9">
    <w:name w:val="annotation reference"/>
    <w:basedOn w:val="a0"/>
    <w:uiPriority w:val="99"/>
    <w:semiHidden/>
    <w:unhideWhenUsed/>
    <w:rsid w:val="006711A2"/>
    <w:rPr>
      <w:sz w:val="16"/>
      <w:szCs w:val="16"/>
    </w:rPr>
  </w:style>
  <w:style w:type="paragraph" w:styleId="aa">
    <w:name w:val="annotation text"/>
    <w:basedOn w:val="a"/>
    <w:link w:val="ab"/>
    <w:uiPriority w:val="99"/>
    <w:unhideWhenUsed/>
    <w:rsid w:val="006711A2"/>
    <w:pPr>
      <w:spacing w:line="240" w:lineRule="auto"/>
    </w:pPr>
    <w:rPr>
      <w:sz w:val="20"/>
      <w:szCs w:val="20"/>
    </w:rPr>
  </w:style>
  <w:style w:type="character" w:customStyle="1" w:styleId="ab">
    <w:name w:val="טקסט הערה תו"/>
    <w:basedOn w:val="a0"/>
    <w:link w:val="aa"/>
    <w:uiPriority w:val="99"/>
    <w:rsid w:val="006711A2"/>
    <w:rPr>
      <w:rFonts w:ascii="Times New Roman" w:eastAsia="Calibri" w:hAnsi="Times New Roman" w:cs="David"/>
      <w:sz w:val="20"/>
      <w:szCs w:val="20"/>
    </w:rPr>
  </w:style>
  <w:style w:type="paragraph" w:styleId="ac">
    <w:name w:val="annotation subject"/>
    <w:basedOn w:val="aa"/>
    <w:next w:val="aa"/>
    <w:link w:val="ad"/>
    <w:uiPriority w:val="99"/>
    <w:semiHidden/>
    <w:unhideWhenUsed/>
    <w:rsid w:val="006711A2"/>
    <w:rPr>
      <w:b/>
      <w:bCs/>
    </w:rPr>
  </w:style>
  <w:style w:type="character" w:customStyle="1" w:styleId="ad">
    <w:name w:val="נושא הערה תו"/>
    <w:basedOn w:val="ab"/>
    <w:link w:val="ac"/>
    <w:uiPriority w:val="99"/>
    <w:semiHidden/>
    <w:rsid w:val="006711A2"/>
    <w:rPr>
      <w:rFonts w:ascii="Times New Roman" w:eastAsia="Calibri" w:hAnsi="Times New Roman" w:cs="David"/>
      <w:b/>
      <w:bCs/>
      <w:sz w:val="20"/>
      <w:szCs w:val="20"/>
    </w:rPr>
  </w:style>
  <w:style w:type="paragraph" w:styleId="ae">
    <w:name w:val="header"/>
    <w:basedOn w:val="a"/>
    <w:link w:val="af"/>
    <w:uiPriority w:val="99"/>
    <w:unhideWhenUsed/>
    <w:rsid w:val="007057CA"/>
    <w:pPr>
      <w:tabs>
        <w:tab w:val="center" w:pos="4153"/>
        <w:tab w:val="right" w:pos="8306"/>
      </w:tabs>
      <w:spacing w:after="0" w:line="240" w:lineRule="auto"/>
    </w:pPr>
  </w:style>
  <w:style w:type="character" w:customStyle="1" w:styleId="af">
    <w:name w:val="כותרת עליונה תו"/>
    <w:basedOn w:val="a0"/>
    <w:link w:val="ae"/>
    <w:uiPriority w:val="99"/>
    <w:rsid w:val="007057CA"/>
    <w:rPr>
      <w:rFonts w:ascii="Times New Roman" w:eastAsia="Calibri" w:hAnsi="Times New Roman" w:cs="David"/>
      <w:sz w:val="24"/>
      <w:szCs w:val="24"/>
    </w:rPr>
  </w:style>
  <w:style w:type="paragraph" w:styleId="af0">
    <w:name w:val="footer"/>
    <w:basedOn w:val="a"/>
    <w:link w:val="af1"/>
    <w:uiPriority w:val="99"/>
    <w:unhideWhenUsed/>
    <w:rsid w:val="007057CA"/>
    <w:pPr>
      <w:tabs>
        <w:tab w:val="center" w:pos="4153"/>
        <w:tab w:val="right" w:pos="8306"/>
      </w:tabs>
      <w:spacing w:after="0" w:line="240" w:lineRule="auto"/>
    </w:pPr>
  </w:style>
  <w:style w:type="character" w:customStyle="1" w:styleId="af1">
    <w:name w:val="כותרת תחתונה תו"/>
    <w:basedOn w:val="a0"/>
    <w:link w:val="af0"/>
    <w:uiPriority w:val="99"/>
    <w:rsid w:val="007057CA"/>
    <w:rPr>
      <w:rFonts w:ascii="Times New Roman" w:eastAsia="Calibri" w:hAnsi="Times New Roman" w:cs="David"/>
      <w:sz w:val="24"/>
      <w:szCs w:val="24"/>
    </w:rPr>
  </w:style>
  <w:style w:type="paragraph" w:styleId="NormalWeb">
    <w:name w:val="Normal (Web)"/>
    <w:basedOn w:val="a"/>
    <w:uiPriority w:val="99"/>
    <w:unhideWhenUsed/>
    <w:rsid w:val="00267417"/>
    <w:pPr>
      <w:spacing w:before="100" w:beforeAutospacing="1" w:after="100" w:afterAutospacing="1" w:line="240" w:lineRule="auto"/>
      <w:jc w:val="left"/>
    </w:pPr>
    <w:rPr>
      <w:rFonts w:eastAsia="Times New Roman" w:cs="Times New Roman"/>
    </w:rPr>
  </w:style>
  <w:style w:type="character" w:styleId="af2">
    <w:name w:val="Strong"/>
    <w:basedOn w:val="a0"/>
    <w:uiPriority w:val="22"/>
    <w:qFormat/>
    <w:rsid w:val="00267417"/>
    <w:rPr>
      <w:b/>
      <w:bCs/>
    </w:rPr>
  </w:style>
  <w:style w:type="character" w:styleId="Hyperlink">
    <w:name w:val="Hyperlink"/>
    <w:uiPriority w:val="99"/>
    <w:rsid w:val="004F5197"/>
    <w:rPr>
      <w:color w:val="0000FF"/>
      <w:u w:val="single"/>
    </w:rPr>
  </w:style>
  <w:style w:type="character" w:customStyle="1" w:styleId="apple-converted-space">
    <w:name w:val="apple-converted-space"/>
    <w:rsid w:val="004F5197"/>
  </w:style>
  <w:style w:type="character" w:customStyle="1" w:styleId="af3">
    <w:name w:val="כללי תו"/>
    <w:basedOn w:val="a0"/>
    <w:link w:val="af4"/>
    <w:locked/>
    <w:rsid w:val="00CA2821"/>
    <w:rPr>
      <w:rFonts w:cs="FrankRuehl"/>
      <w:lang w:eastAsia="he-IL"/>
    </w:rPr>
  </w:style>
  <w:style w:type="paragraph" w:customStyle="1" w:styleId="af4">
    <w:name w:val="כללי"/>
    <w:basedOn w:val="a"/>
    <w:link w:val="af3"/>
    <w:rsid w:val="00CA2821"/>
    <w:pPr>
      <w:overflowPunct w:val="0"/>
      <w:autoSpaceDE w:val="0"/>
      <w:autoSpaceDN w:val="0"/>
      <w:bidi/>
      <w:spacing w:after="240" w:line="278" w:lineRule="exact"/>
      <w:ind w:left="113" w:firstLine="284"/>
    </w:pPr>
    <w:rPr>
      <w:rFonts w:asciiTheme="minorHAnsi" w:eastAsiaTheme="minorHAnsi" w:hAnsiTheme="minorHAnsi" w:cs="FrankRuehl"/>
      <w:sz w:val="22"/>
      <w:szCs w:val="22"/>
      <w:lang w:eastAsia="he-IL"/>
    </w:rPr>
  </w:style>
  <w:style w:type="paragraph" w:styleId="af5">
    <w:name w:val="endnote text"/>
    <w:basedOn w:val="a"/>
    <w:link w:val="af6"/>
    <w:uiPriority w:val="99"/>
    <w:semiHidden/>
    <w:unhideWhenUsed/>
    <w:rsid w:val="000A6075"/>
    <w:pPr>
      <w:spacing w:after="0" w:line="240" w:lineRule="auto"/>
    </w:pPr>
    <w:rPr>
      <w:sz w:val="20"/>
      <w:szCs w:val="20"/>
    </w:rPr>
  </w:style>
  <w:style w:type="character" w:customStyle="1" w:styleId="af6">
    <w:name w:val="טקסט הערת סיום תו"/>
    <w:basedOn w:val="a0"/>
    <w:link w:val="af5"/>
    <w:uiPriority w:val="99"/>
    <w:semiHidden/>
    <w:rsid w:val="000A6075"/>
    <w:rPr>
      <w:rFonts w:ascii="Times New Roman" w:eastAsia="Calibri" w:hAnsi="Times New Roman" w:cs="David"/>
      <w:sz w:val="20"/>
      <w:szCs w:val="20"/>
    </w:rPr>
  </w:style>
  <w:style w:type="character" w:styleId="af7">
    <w:name w:val="endnote reference"/>
    <w:basedOn w:val="a0"/>
    <w:uiPriority w:val="99"/>
    <w:semiHidden/>
    <w:unhideWhenUsed/>
    <w:rsid w:val="000A60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11086">
      <w:bodyDiv w:val="1"/>
      <w:marLeft w:val="0"/>
      <w:marRight w:val="0"/>
      <w:marTop w:val="0"/>
      <w:marBottom w:val="0"/>
      <w:divBdr>
        <w:top w:val="none" w:sz="0" w:space="0" w:color="auto"/>
        <w:left w:val="none" w:sz="0" w:space="0" w:color="auto"/>
        <w:bottom w:val="none" w:sz="0" w:space="0" w:color="auto"/>
        <w:right w:val="none" w:sz="0" w:space="0" w:color="auto"/>
      </w:divBdr>
    </w:div>
    <w:div w:id="592205339">
      <w:bodyDiv w:val="1"/>
      <w:marLeft w:val="0"/>
      <w:marRight w:val="0"/>
      <w:marTop w:val="0"/>
      <w:marBottom w:val="0"/>
      <w:divBdr>
        <w:top w:val="none" w:sz="0" w:space="0" w:color="auto"/>
        <w:left w:val="none" w:sz="0" w:space="0" w:color="auto"/>
        <w:bottom w:val="none" w:sz="0" w:space="0" w:color="auto"/>
        <w:right w:val="none" w:sz="0" w:space="0" w:color="auto"/>
      </w:divBdr>
    </w:div>
    <w:div w:id="667909497">
      <w:bodyDiv w:val="1"/>
      <w:marLeft w:val="0"/>
      <w:marRight w:val="0"/>
      <w:marTop w:val="0"/>
      <w:marBottom w:val="0"/>
      <w:divBdr>
        <w:top w:val="none" w:sz="0" w:space="0" w:color="auto"/>
        <w:left w:val="none" w:sz="0" w:space="0" w:color="auto"/>
        <w:bottom w:val="none" w:sz="0" w:space="0" w:color="auto"/>
        <w:right w:val="none" w:sz="0" w:space="0" w:color="auto"/>
      </w:divBdr>
    </w:div>
    <w:div w:id="729697149">
      <w:bodyDiv w:val="1"/>
      <w:marLeft w:val="0"/>
      <w:marRight w:val="0"/>
      <w:marTop w:val="0"/>
      <w:marBottom w:val="0"/>
      <w:divBdr>
        <w:top w:val="none" w:sz="0" w:space="0" w:color="auto"/>
        <w:left w:val="none" w:sz="0" w:space="0" w:color="auto"/>
        <w:bottom w:val="none" w:sz="0" w:space="0" w:color="auto"/>
        <w:right w:val="none" w:sz="0" w:space="0" w:color="auto"/>
      </w:divBdr>
      <w:divsChild>
        <w:div w:id="145587334">
          <w:marLeft w:val="0"/>
          <w:marRight w:val="0"/>
          <w:marTop w:val="105"/>
          <w:marBottom w:val="30"/>
          <w:divBdr>
            <w:top w:val="none" w:sz="0" w:space="0" w:color="auto"/>
            <w:left w:val="none" w:sz="0" w:space="0" w:color="auto"/>
            <w:bottom w:val="none" w:sz="0" w:space="0" w:color="auto"/>
            <w:right w:val="none" w:sz="0" w:space="0" w:color="auto"/>
          </w:divBdr>
          <w:divsChild>
            <w:div w:id="551501919">
              <w:marLeft w:val="0"/>
              <w:marRight w:val="0"/>
              <w:marTop w:val="0"/>
              <w:marBottom w:val="0"/>
              <w:divBdr>
                <w:top w:val="none" w:sz="0" w:space="0" w:color="auto"/>
                <w:left w:val="none" w:sz="0" w:space="0" w:color="auto"/>
                <w:bottom w:val="none" w:sz="0" w:space="0" w:color="auto"/>
                <w:right w:val="none" w:sz="0" w:space="0" w:color="auto"/>
              </w:divBdr>
              <w:divsChild>
                <w:div w:id="3507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39104">
          <w:marLeft w:val="0"/>
          <w:marRight w:val="0"/>
          <w:marTop w:val="0"/>
          <w:marBottom w:val="0"/>
          <w:divBdr>
            <w:top w:val="none" w:sz="0" w:space="0" w:color="auto"/>
            <w:left w:val="none" w:sz="0" w:space="0" w:color="auto"/>
            <w:bottom w:val="none" w:sz="0" w:space="0" w:color="auto"/>
            <w:right w:val="none" w:sz="0" w:space="0" w:color="auto"/>
          </w:divBdr>
          <w:divsChild>
            <w:div w:id="398751804">
              <w:marLeft w:val="0"/>
              <w:marRight w:val="0"/>
              <w:marTop w:val="0"/>
              <w:marBottom w:val="0"/>
              <w:divBdr>
                <w:top w:val="none" w:sz="0" w:space="0" w:color="auto"/>
                <w:left w:val="none" w:sz="0" w:space="0" w:color="auto"/>
                <w:bottom w:val="none" w:sz="0" w:space="0" w:color="auto"/>
                <w:right w:val="none" w:sz="0" w:space="0" w:color="auto"/>
              </w:divBdr>
              <w:divsChild>
                <w:div w:id="270935287">
                  <w:marLeft w:val="0"/>
                  <w:marRight w:val="60"/>
                  <w:marTop w:val="0"/>
                  <w:marBottom w:val="0"/>
                  <w:divBdr>
                    <w:top w:val="none" w:sz="0" w:space="0" w:color="auto"/>
                    <w:left w:val="none" w:sz="0" w:space="0" w:color="auto"/>
                    <w:bottom w:val="none" w:sz="0" w:space="0" w:color="auto"/>
                    <w:right w:val="none" w:sz="0" w:space="0" w:color="auto"/>
                  </w:divBdr>
                  <w:divsChild>
                    <w:div w:id="398793300">
                      <w:marLeft w:val="0"/>
                      <w:marRight w:val="0"/>
                      <w:marTop w:val="0"/>
                      <w:marBottom w:val="120"/>
                      <w:divBdr>
                        <w:top w:val="single" w:sz="6" w:space="0" w:color="C0C0C0"/>
                        <w:left w:val="single" w:sz="6" w:space="0" w:color="D9D9D9"/>
                        <w:bottom w:val="single" w:sz="6" w:space="0" w:color="D9D9D9"/>
                        <w:right w:val="single" w:sz="6" w:space="0" w:color="D9D9D9"/>
                      </w:divBdr>
                      <w:divsChild>
                        <w:div w:id="1364332339">
                          <w:marLeft w:val="0"/>
                          <w:marRight w:val="0"/>
                          <w:marTop w:val="0"/>
                          <w:marBottom w:val="0"/>
                          <w:divBdr>
                            <w:top w:val="none" w:sz="0" w:space="0" w:color="auto"/>
                            <w:left w:val="none" w:sz="0" w:space="0" w:color="auto"/>
                            <w:bottom w:val="none" w:sz="0" w:space="0" w:color="auto"/>
                            <w:right w:val="none" w:sz="0" w:space="0" w:color="auto"/>
                          </w:divBdr>
                        </w:div>
                        <w:div w:id="7046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78882">
              <w:marLeft w:val="0"/>
              <w:marRight w:val="0"/>
              <w:marTop w:val="0"/>
              <w:marBottom w:val="0"/>
              <w:divBdr>
                <w:top w:val="none" w:sz="0" w:space="0" w:color="auto"/>
                <w:left w:val="none" w:sz="0" w:space="0" w:color="auto"/>
                <w:bottom w:val="none" w:sz="0" w:space="0" w:color="auto"/>
                <w:right w:val="none" w:sz="0" w:space="0" w:color="auto"/>
              </w:divBdr>
              <w:divsChild>
                <w:div w:id="1248347659">
                  <w:marLeft w:val="60"/>
                  <w:marRight w:val="0"/>
                  <w:marTop w:val="0"/>
                  <w:marBottom w:val="0"/>
                  <w:divBdr>
                    <w:top w:val="none" w:sz="0" w:space="0" w:color="auto"/>
                    <w:left w:val="none" w:sz="0" w:space="0" w:color="auto"/>
                    <w:bottom w:val="none" w:sz="0" w:space="0" w:color="auto"/>
                    <w:right w:val="none" w:sz="0" w:space="0" w:color="auto"/>
                  </w:divBdr>
                  <w:divsChild>
                    <w:div w:id="1959140773">
                      <w:marLeft w:val="0"/>
                      <w:marRight w:val="0"/>
                      <w:marTop w:val="0"/>
                      <w:marBottom w:val="0"/>
                      <w:divBdr>
                        <w:top w:val="none" w:sz="0" w:space="0" w:color="auto"/>
                        <w:left w:val="none" w:sz="0" w:space="0" w:color="auto"/>
                        <w:bottom w:val="none" w:sz="0" w:space="0" w:color="auto"/>
                        <w:right w:val="none" w:sz="0" w:space="0" w:color="auto"/>
                      </w:divBdr>
                      <w:divsChild>
                        <w:div w:id="572197928">
                          <w:marLeft w:val="0"/>
                          <w:marRight w:val="0"/>
                          <w:marTop w:val="0"/>
                          <w:marBottom w:val="120"/>
                          <w:divBdr>
                            <w:top w:val="single" w:sz="6" w:space="0" w:color="F5F5F5"/>
                            <w:left w:val="single" w:sz="6" w:space="0" w:color="F5F5F5"/>
                            <w:bottom w:val="single" w:sz="6" w:space="0" w:color="F5F5F5"/>
                            <w:right w:val="single" w:sz="6" w:space="0" w:color="F5F5F5"/>
                          </w:divBdr>
                          <w:divsChild>
                            <w:div w:id="1159075235">
                              <w:marLeft w:val="0"/>
                              <w:marRight w:val="0"/>
                              <w:marTop w:val="0"/>
                              <w:marBottom w:val="0"/>
                              <w:divBdr>
                                <w:top w:val="none" w:sz="0" w:space="0" w:color="auto"/>
                                <w:left w:val="none" w:sz="0" w:space="0" w:color="auto"/>
                                <w:bottom w:val="none" w:sz="0" w:space="0" w:color="auto"/>
                                <w:right w:val="none" w:sz="0" w:space="0" w:color="auto"/>
                              </w:divBdr>
                              <w:divsChild>
                                <w:div w:id="13971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44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C5A55-183B-443D-BB20-43425824D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2741</Words>
  <Characters>13710</Characters>
  <Application>Microsoft Office Word</Application>
  <DocSecurity>4</DocSecurity>
  <Lines>114</Lines>
  <Paragraphs>32</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16419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Shani Dann</dc:creator>
  <cp:lastModifiedBy>Shani Dann</cp:lastModifiedBy>
  <cp:revision>2</cp:revision>
  <cp:lastPrinted>2017-09-18T12:35:00Z</cp:lastPrinted>
  <dcterms:created xsi:type="dcterms:W3CDTF">2017-11-06T09:52:00Z</dcterms:created>
  <dcterms:modified xsi:type="dcterms:W3CDTF">2017-11-06T09:52:00Z</dcterms:modified>
</cp:coreProperties>
</file>