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6230" w:rsidRDefault="002E6230" w:rsidP="002E6230">
      <w:pPr>
        <w:bidi/>
        <w:spacing w:after="0" w:line="240" w:lineRule="auto"/>
        <w:rPr>
          <w:b/>
          <w:bCs/>
        </w:rPr>
      </w:pPr>
    </w:p>
    <w:p w:rsidR="002E6230" w:rsidRPr="002E6230" w:rsidRDefault="002E6230" w:rsidP="00E033C9">
      <w:pPr>
        <w:tabs>
          <w:tab w:val="left" w:pos="7372"/>
        </w:tabs>
        <w:bidi/>
        <w:spacing w:after="0" w:line="240" w:lineRule="auto"/>
        <w:rPr>
          <w:rtl/>
        </w:rPr>
      </w:pPr>
      <w:r>
        <w:rPr>
          <w:rFonts w:hint="cs"/>
          <w:rtl/>
        </w:rPr>
        <w:tab/>
      </w:r>
      <w:r w:rsidR="00E033C9">
        <w:rPr>
          <w:rFonts w:hint="cs"/>
          <w:rtl/>
        </w:rPr>
        <w:t>[תאריך עדכני]</w:t>
      </w:r>
    </w:p>
    <w:p w:rsidR="002E6230" w:rsidRDefault="002E6230" w:rsidP="002E6230">
      <w:pPr>
        <w:bidi/>
        <w:spacing w:after="0" w:line="240" w:lineRule="auto"/>
        <w:rPr>
          <w:b/>
          <w:bCs/>
          <w:rtl/>
        </w:rPr>
      </w:pPr>
      <w:bookmarkStart w:id="0" w:name="_GoBack"/>
      <w:bookmarkEnd w:id="0"/>
      <w:r>
        <w:rPr>
          <w:b/>
          <w:bCs/>
          <w:rtl/>
        </w:rPr>
        <w:br w:type="textWrapping" w:clear="all"/>
      </w:r>
    </w:p>
    <w:p w:rsidR="00114A23" w:rsidRPr="00403A53" w:rsidRDefault="00403A53" w:rsidP="001E7F0C">
      <w:pPr>
        <w:bidi/>
        <w:spacing w:after="0"/>
        <w:rPr>
          <w:rtl/>
        </w:rPr>
      </w:pPr>
      <w:r w:rsidRPr="00403A53">
        <w:rPr>
          <w:rFonts w:hint="cs"/>
          <w:u w:val="single"/>
          <w:rtl/>
        </w:rPr>
        <w:t>אל</w:t>
      </w:r>
      <w:r w:rsidRPr="00403A53">
        <w:rPr>
          <w:rFonts w:hint="cs"/>
          <w:rtl/>
        </w:rPr>
        <w:t>: המשנה ליועץ המשפטי לממשלה (</w:t>
      </w:r>
      <w:r w:rsidR="001E7F0C">
        <w:rPr>
          <w:rFonts w:hint="cs"/>
          <w:rtl/>
        </w:rPr>
        <w:t>משפט בין לאומי</w:t>
      </w:r>
      <w:r w:rsidRPr="00403A53">
        <w:rPr>
          <w:rFonts w:hint="cs"/>
          <w:rtl/>
        </w:rPr>
        <w:t xml:space="preserve">), </w:t>
      </w:r>
      <w:r w:rsidR="001E7F0C">
        <w:rPr>
          <w:rFonts w:hint="cs"/>
          <w:rtl/>
        </w:rPr>
        <w:t xml:space="preserve">ד"ר רועי </w:t>
      </w:r>
      <w:proofErr w:type="spellStart"/>
      <w:r w:rsidR="001E7F0C">
        <w:rPr>
          <w:rFonts w:hint="cs"/>
          <w:rtl/>
        </w:rPr>
        <w:t>שיינדורף</w:t>
      </w:r>
      <w:proofErr w:type="spellEnd"/>
    </w:p>
    <w:p w:rsidR="001E7F0C" w:rsidRDefault="001E7F0C" w:rsidP="00403A53">
      <w:pPr>
        <w:bidi/>
        <w:spacing w:after="360"/>
        <w:jc w:val="center"/>
        <w:rPr>
          <w:rFonts w:hint="cs"/>
          <w:b/>
          <w:bCs/>
          <w:rtl/>
        </w:rPr>
      </w:pPr>
    </w:p>
    <w:p w:rsidR="00114A23" w:rsidRPr="00E94F71" w:rsidRDefault="00114A23" w:rsidP="001E7F0C">
      <w:pPr>
        <w:bidi/>
        <w:spacing w:after="360"/>
        <w:jc w:val="center"/>
        <w:rPr>
          <w:b/>
          <w:bCs/>
          <w:u w:val="single"/>
          <w:rtl/>
        </w:rPr>
      </w:pPr>
      <w:r w:rsidRPr="00E94F71">
        <w:rPr>
          <w:rFonts w:hint="cs"/>
          <w:b/>
          <w:bCs/>
          <w:rtl/>
        </w:rPr>
        <w:t xml:space="preserve">הנדון: </w:t>
      </w:r>
      <w:r w:rsidR="00403A53">
        <w:rPr>
          <w:rFonts w:hint="cs"/>
          <w:b/>
          <w:bCs/>
          <w:u w:val="single"/>
          <w:rtl/>
        </w:rPr>
        <w:t>בחינת היבטים של חוק ההסדרה בראי המשפט הבין-לאומי</w:t>
      </w:r>
    </w:p>
    <w:p w:rsidR="001E7F0C" w:rsidRPr="001E7F0C" w:rsidRDefault="001E7F0C" w:rsidP="001F68C4">
      <w:pPr>
        <w:pStyle w:val="af"/>
        <w:numPr>
          <w:ilvl w:val="0"/>
          <w:numId w:val="19"/>
        </w:numPr>
        <w:bidi/>
        <w:spacing w:line="360" w:lineRule="auto"/>
        <w:ind w:left="714" w:hanging="357"/>
        <w:contextualSpacing w:val="0"/>
        <w:rPr>
          <w:rFonts w:hint="cs"/>
          <w:b/>
          <w:bCs/>
          <w:u w:val="single"/>
        </w:rPr>
      </w:pPr>
      <w:r w:rsidRPr="001E7F0C">
        <w:rPr>
          <w:rFonts w:hint="cs"/>
          <w:b/>
          <w:bCs/>
          <w:u w:val="single"/>
          <w:rtl/>
        </w:rPr>
        <w:t>רקע</w:t>
      </w:r>
    </w:p>
    <w:p w:rsidR="001E7F0C" w:rsidRPr="001E7F0C" w:rsidRDefault="001E7F0C" w:rsidP="001E7F0C">
      <w:pPr>
        <w:pStyle w:val="af"/>
        <w:numPr>
          <w:ilvl w:val="0"/>
          <w:numId w:val="19"/>
        </w:numPr>
        <w:bidi/>
        <w:spacing w:line="360" w:lineRule="auto"/>
        <w:ind w:left="714" w:hanging="357"/>
        <w:contextualSpacing w:val="0"/>
        <w:rPr>
          <w:rFonts w:hint="cs"/>
          <w:b/>
          <w:bCs/>
          <w:u w:val="single"/>
        </w:rPr>
      </w:pPr>
      <w:r w:rsidRPr="001E7F0C">
        <w:rPr>
          <w:rFonts w:hint="cs"/>
          <w:b/>
          <w:bCs/>
          <w:u w:val="single"/>
          <w:rtl/>
        </w:rPr>
        <w:t>חלק א'</w:t>
      </w:r>
    </w:p>
    <w:p w:rsidR="001F68C4" w:rsidRPr="001F68C4" w:rsidRDefault="001E7F0C" w:rsidP="001E7F0C">
      <w:pPr>
        <w:pStyle w:val="af"/>
        <w:numPr>
          <w:ilvl w:val="0"/>
          <w:numId w:val="19"/>
        </w:numPr>
        <w:bidi/>
        <w:spacing w:line="360" w:lineRule="auto"/>
        <w:ind w:left="714" w:hanging="357"/>
        <w:contextualSpacing w:val="0"/>
        <w:rPr>
          <w:b/>
          <w:bCs/>
          <w:u w:val="single"/>
        </w:rPr>
      </w:pPr>
      <w:r>
        <w:rPr>
          <w:rFonts w:hint="cs"/>
          <w:b/>
          <w:bCs/>
          <w:u w:val="single"/>
          <w:rtl/>
        </w:rPr>
        <w:t xml:space="preserve">חלק ב' - </w:t>
      </w:r>
      <w:r w:rsidR="001F68C4" w:rsidRPr="001F68C4">
        <w:rPr>
          <w:rFonts w:hint="cs"/>
          <w:b/>
          <w:bCs/>
          <w:u w:val="single"/>
          <w:rtl/>
        </w:rPr>
        <w:t>הקשיים שמעורר חוק ההסדרה נוכח הוראות הדין המהותיות של דיני הכיבוש</w:t>
      </w:r>
    </w:p>
    <w:p w:rsidR="00064BF0" w:rsidRPr="001F68C4" w:rsidRDefault="001F68C4" w:rsidP="001F68C4">
      <w:pPr>
        <w:pStyle w:val="af"/>
        <w:bidi/>
        <w:spacing w:line="360" w:lineRule="auto"/>
        <w:ind w:left="425"/>
        <w:contextualSpacing w:val="0"/>
        <w:rPr>
          <w:i/>
          <w:iCs/>
          <w:u w:val="single"/>
        </w:rPr>
      </w:pPr>
      <w:r w:rsidRPr="001F68C4">
        <w:rPr>
          <w:rFonts w:hint="cs"/>
          <w:i/>
          <w:iCs/>
          <w:u w:val="single"/>
          <w:rtl/>
        </w:rPr>
        <w:t xml:space="preserve">המסגרת הנורמטיבית החלה </w:t>
      </w:r>
      <w:proofErr w:type="spellStart"/>
      <w:r w:rsidRPr="001F68C4">
        <w:rPr>
          <w:rFonts w:hint="cs"/>
          <w:i/>
          <w:iCs/>
          <w:u w:val="single"/>
          <w:rtl/>
        </w:rPr>
        <w:t>באיו"ש</w:t>
      </w:r>
      <w:proofErr w:type="spellEnd"/>
    </w:p>
    <w:p w:rsidR="00195B00" w:rsidRPr="00D431AF" w:rsidRDefault="00195B00" w:rsidP="00E0773E">
      <w:pPr>
        <w:pStyle w:val="af"/>
        <w:numPr>
          <w:ilvl w:val="0"/>
          <w:numId w:val="18"/>
        </w:numPr>
        <w:bidi/>
        <w:spacing w:line="360" w:lineRule="auto"/>
        <w:ind w:left="425" w:hanging="357"/>
        <w:contextualSpacing w:val="0"/>
        <w:rPr>
          <w:rStyle w:val="apple-style-span"/>
          <w:u w:val="single"/>
        </w:rPr>
      </w:pPr>
      <w:r w:rsidRPr="00D431AF">
        <w:rPr>
          <w:rStyle w:val="apple-style-span"/>
          <w:rFonts w:hint="cs"/>
          <w:rtl/>
        </w:rPr>
        <w:t>מאז</w:t>
      </w:r>
      <w:r w:rsidRPr="00D431AF">
        <w:rPr>
          <w:rStyle w:val="apple-style-span"/>
          <w:rtl/>
        </w:rPr>
        <w:t xml:space="preserve"> כניסת כוחות צה"ל </w:t>
      </w:r>
      <w:proofErr w:type="spellStart"/>
      <w:r w:rsidR="00E0773E">
        <w:rPr>
          <w:rStyle w:val="apple-style-span"/>
          <w:rFonts w:hint="cs"/>
          <w:rtl/>
        </w:rPr>
        <w:t>לאיו"ש</w:t>
      </w:r>
      <w:proofErr w:type="spellEnd"/>
      <w:r w:rsidRPr="00D431AF">
        <w:rPr>
          <w:rStyle w:val="apple-style-span"/>
          <w:rtl/>
        </w:rPr>
        <w:t xml:space="preserve"> בשנת 1967, </w:t>
      </w:r>
      <w:r w:rsidRPr="00D431AF">
        <w:rPr>
          <w:rStyle w:val="apple-style-span"/>
          <w:rFonts w:hint="cs"/>
          <w:rtl/>
        </w:rPr>
        <w:t xml:space="preserve">עמדתה </w:t>
      </w:r>
      <w:r w:rsidRPr="00195B00">
        <w:rPr>
          <w:rFonts w:hint="cs"/>
          <w:rtl/>
        </w:rPr>
        <w:t>הרשמית</w:t>
      </w:r>
      <w:r w:rsidRPr="00D431AF">
        <w:rPr>
          <w:rStyle w:val="apple-style-span"/>
          <w:rFonts w:hint="cs"/>
          <w:rtl/>
        </w:rPr>
        <w:t xml:space="preserve"> והמוצהרת של מדינת ישראל היא כי היא פועלת באזור זה, דה פקטו, על פי עקרונות דיני התפיסה הלוחמתית (</w:t>
      </w:r>
      <w:r w:rsidRPr="003D467D">
        <w:rPr>
          <w:rStyle w:val="apple-style-span"/>
        </w:rPr>
        <w:t>Laws of Belligerent Occupation</w:t>
      </w:r>
      <w:r w:rsidRPr="00D431AF">
        <w:rPr>
          <w:rStyle w:val="apple-style-span"/>
          <w:rFonts w:hint="cs"/>
          <w:rtl/>
        </w:rPr>
        <w:t xml:space="preserve">) אשר התפתחו כחלק מדיני הלחימה במשפט הבין לאומי ההומניטארי. </w:t>
      </w:r>
    </w:p>
    <w:p w:rsidR="00195B00" w:rsidRPr="00D431AF" w:rsidRDefault="00195B00" w:rsidP="00660176">
      <w:pPr>
        <w:pStyle w:val="af"/>
        <w:numPr>
          <w:ilvl w:val="0"/>
          <w:numId w:val="18"/>
        </w:numPr>
        <w:bidi/>
        <w:spacing w:line="360" w:lineRule="auto"/>
        <w:ind w:left="425" w:hanging="357"/>
        <w:contextualSpacing w:val="0"/>
        <w:rPr>
          <w:rStyle w:val="apple-style-span"/>
          <w:u w:val="single"/>
        </w:rPr>
      </w:pPr>
      <w:r w:rsidRPr="00D431AF">
        <w:rPr>
          <w:rStyle w:val="apple-style-span"/>
          <w:rFonts w:hint="cs"/>
          <w:rtl/>
        </w:rPr>
        <w:t xml:space="preserve">מדינת </w:t>
      </w:r>
      <w:r w:rsidRPr="00195B00">
        <w:rPr>
          <w:rFonts w:hint="cs"/>
          <w:rtl/>
        </w:rPr>
        <w:t>ישראל</w:t>
      </w:r>
      <w:r w:rsidRPr="00D431AF">
        <w:rPr>
          <w:rStyle w:val="apple-style-span"/>
          <w:rFonts w:hint="cs"/>
          <w:rtl/>
        </w:rPr>
        <w:t xml:space="preserve"> הצהירה </w:t>
      </w:r>
      <w:r w:rsidR="00660176">
        <w:rPr>
          <w:rStyle w:val="apple-style-span"/>
          <w:rFonts w:hint="cs"/>
          <w:rtl/>
        </w:rPr>
        <w:t xml:space="preserve">על עמדה זו </w:t>
      </w:r>
      <w:r w:rsidRPr="00D431AF">
        <w:rPr>
          <w:rStyle w:val="apple-style-span"/>
          <w:rFonts w:hint="cs"/>
          <w:rtl/>
        </w:rPr>
        <w:t>פעמים רבות, ו</w:t>
      </w:r>
      <w:r w:rsidR="00660176">
        <w:rPr>
          <w:rStyle w:val="apple-style-span"/>
          <w:rFonts w:hint="cs"/>
          <w:rtl/>
        </w:rPr>
        <w:t xml:space="preserve">היא </w:t>
      </w:r>
      <w:r w:rsidRPr="00D431AF">
        <w:rPr>
          <w:rStyle w:val="apple-style-span"/>
          <w:rFonts w:hint="cs"/>
          <w:rtl/>
        </w:rPr>
        <w:t>אף עוגנה בפסיקתו של בית המשפט העליון.</w:t>
      </w:r>
      <w:r>
        <w:rPr>
          <w:rStyle w:val="af2"/>
          <w:rtl/>
        </w:rPr>
        <w:footnoteReference w:id="1"/>
      </w:r>
      <w:r>
        <w:rPr>
          <w:rFonts w:hint="cs"/>
          <w:rtl/>
        </w:rPr>
        <w:t xml:space="preserve"> כך לדוגמא בפסק הדין </w:t>
      </w:r>
      <w:r w:rsidR="00260B53">
        <w:rPr>
          <w:rFonts w:hint="cs"/>
          <w:rtl/>
        </w:rPr>
        <w:t xml:space="preserve">בעניין </w:t>
      </w:r>
      <w:r>
        <w:rPr>
          <w:rFonts w:hint="cs"/>
          <w:rtl/>
        </w:rPr>
        <w:t>חוף עזה, צוין כדלקמן</w:t>
      </w:r>
      <w:r w:rsidRPr="009C1AD1">
        <w:rPr>
          <w:rFonts w:hint="cs"/>
          <w:rtl/>
        </w:rPr>
        <w:t xml:space="preserve">: </w:t>
      </w:r>
      <w:r w:rsidRPr="00D431AF">
        <w:rPr>
          <w:rStyle w:val="apple-style-span"/>
          <w:rFonts w:hint="cs"/>
          <w:rtl/>
        </w:rPr>
        <w:t xml:space="preserve"> </w:t>
      </w:r>
    </w:p>
    <w:p w:rsidR="00195B00" w:rsidRPr="00195B00" w:rsidRDefault="00260B53" w:rsidP="00AE476C">
      <w:pPr>
        <w:bidi/>
        <w:spacing w:line="240" w:lineRule="auto"/>
        <w:ind w:left="851" w:right="284"/>
        <w:rPr>
          <w:rtl/>
        </w:rPr>
      </w:pPr>
      <w:r>
        <w:rPr>
          <w:rFonts w:hint="cs"/>
          <w:rtl/>
        </w:rPr>
        <w:t>"</w:t>
      </w:r>
      <w:r w:rsidR="00195B00" w:rsidRPr="00195B00">
        <w:rPr>
          <w:rtl/>
        </w:rPr>
        <w:t xml:space="preserve">על פי תפיסתן המשפטית של ממשלות ישראל לדורותיהן כפי שהוצגה בפני בית המשפט העליון – תפיסה שנתקבלה על ידי בית המשפט העליון לדורותיו – מוחזקים אזורים אלה על ידי מדינת ישראל בדרך של "תפיסה לוחמתית" </w:t>
      </w:r>
      <w:r w:rsidR="00195B00" w:rsidRPr="00195B00">
        <w:t>(Belligerent Occupation</w:t>
      </w:r>
      <w:r w:rsidR="00195B00">
        <w:t>)</w:t>
      </w:r>
      <w:r w:rsidR="00195B00" w:rsidRPr="00195B00">
        <w:rPr>
          <w:rtl/>
        </w:rPr>
        <w:t>. משמעותה של תפיסה משפטית זו היא כפולה:</w:t>
      </w:r>
      <w:r w:rsidR="00195B00" w:rsidRPr="00195B00">
        <w:t> </w:t>
      </w:r>
      <w:r w:rsidR="00195B00" w:rsidRPr="00195B00">
        <w:rPr>
          <w:rtl/>
        </w:rPr>
        <w:t xml:space="preserve">ראשית, המשפט, השיפוט </w:t>
      </w:r>
      <w:proofErr w:type="spellStart"/>
      <w:r w:rsidR="00195B00" w:rsidRPr="00195B00">
        <w:rPr>
          <w:rtl/>
        </w:rPr>
        <w:t>והמינהל</w:t>
      </w:r>
      <w:proofErr w:type="spellEnd"/>
      <w:r w:rsidR="00195B00" w:rsidRPr="00195B00">
        <w:rPr>
          <w:rtl/>
        </w:rPr>
        <w:t xml:space="preserve"> של מדינת ישראל אינם חלים באזורים אלה. ... אזורים אלה לא "סופחו" לישראל, והם אינם חלק ממנה. ...</w:t>
      </w:r>
      <w:r w:rsidR="00195B00" w:rsidRPr="00195B00">
        <w:t> </w:t>
      </w:r>
      <w:r w:rsidR="00195B00" w:rsidRPr="00195B00">
        <w:rPr>
          <w:rtl/>
        </w:rPr>
        <w:t>שנית, המשטר המשפטי החל באזורים אלה נקבע על ידי כללי המשפט הבינלאומי הפומבי ובמרכזם</w:t>
      </w:r>
      <w:r w:rsidR="00195B00">
        <w:rPr>
          <w:rtl/>
        </w:rPr>
        <w:t xml:space="preserve"> הכללים העוסקים בתפיסה לוחמתית</w:t>
      </w:r>
      <w:r>
        <w:rPr>
          <w:rFonts w:hint="cs"/>
          <w:rtl/>
        </w:rPr>
        <w:t>"</w:t>
      </w:r>
      <w:r w:rsidR="00195B00">
        <w:rPr>
          <w:rtl/>
        </w:rPr>
        <w:t>.</w:t>
      </w:r>
      <w:r w:rsidR="00195B00" w:rsidRPr="00195B00">
        <w:rPr>
          <w:vertAlign w:val="superscript"/>
        </w:rPr>
        <w:t xml:space="preserve"> </w:t>
      </w:r>
      <w:r w:rsidR="00195B00" w:rsidRPr="00195B00">
        <w:rPr>
          <w:vertAlign w:val="superscript"/>
        </w:rPr>
        <w:footnoteReference w:id="2"/>
      </w:r>
    </w:p>
    <w:p w:rsidR="00195B00" w:rsidRDefault="00195B00" w:rsidP="00260B53">
      <w:pPr>
        <w:pStyle w:val="af"/>
        <w:numPr>
          <w:ilvl w:val="0"/>
          <w:numId w:val="18"/>
        </w:numPr>
        <w:bidi/>
        <w:spacing w:line="360" w:lineRule="auto"/>
        <w:ind w:left="425" w:hanging="357"/>
        <w:contextualSpacing w:val="0"/>
        <w:rPr>
          <w:rStyle w:val="apple-style-span"/>
        </w:rPr>
      </w:pPr>
      <w:r w:rsidRPr="00D431AF">
        <w:rPr>
          <w:rStyle w:val="apple-style-span"/>
          <w:rFonts w:hint="cs"/>
          <w:rtl/>
        </w:rPr>
        <w:t>מעבר לכך, חלים באזור גם הדין המקומי שהיה בתוקף עובר לתפיסת האזור על ידי כוחות צה"ל</w:t>
      </w:r>
      <w:r w:rsidRPr="00497CF8">
        <w:rPr>
          <w:rStyle w:val="apple-style-span"/>
          <w:rFonts w:hint="cs"/>
          <w:rtl/>
        </w:rPr>
        <w:t>, ובכלל זה דינים עות'מניים, ירדניים ומנדטוריים</w:t>
      </w:r>
      <w:r w:rsidRPr="00497CF8">
        <w:rPr>
          <w:rFonts w:hint="cs"/>
          <w:rtl/>
        </w:rPr>
        <w:t xml:space="preserve"> (להלן: "</w:t>
      </w:r>
      <w:r w:rsidRPr="00497CF8">
        <w:rPr>
          <w:rFonts w:hint="cs"/>
          <w:b/>
          <w:bCs/>
          <w:rtl/>
        </w:rPr>
        <w:t>הדין המקומי</w:t>
      </w:r>
      <w:r w:rsidRPr="00497CF8">
        <w:rPr>
          <w:rFonts w:hint="cs"/>
          <w:rtl/>
        </w:rPr>
        <w:t>"),</w:t>
      </w:r>
      <w:r>
        <w:rPr>
          <w:rFonts w:hint="cs"/>
          <w:rtl/>
        </w:rPr>
        <w:t xml:space="preserve"> </w:t>
      </w:r>
      <w:r w:rsidRPr="00D431AF">
        <w:rPr>
          <w:rStyle w:val="apple-style-span"/>
          <w:rFonts w:hint="cs"/>
          <w:rtl/>
        </w:rPr>
        <w:t>תחיקת ה</w:t>
      </w:r>
      <w:r w:rsidR="00342D27">
        <w:rPr>
          <w:rStyle w:val="apple-style-span"/>
          <w:rFonts w:hint="cs"/>
          <w:rtl/>
        </w:rPr>
        <w:t>ביטחון של ה</w:t>
      </w:r>
      <w:r w:rsidRPr="00D431AF">
        <w:rPr>
          <w:rStyle w:val="apple-style-span"/>
          <w:rFonts w:hint="cs"/>
          <w:rtl/>
        </w:rPr>
        <w:t xml:space="preserve">מפקד הצבאי, וכן עקרונות היסוד של המשפט </w:t>
      </w:r>
      <w:proofErr w:type="spellStart"/>
      <w:r w:rsidRPr="00D431AF">
        <w:rPr>
          <w:rStyle w:val="apple-style-span"/>
          <w:rFonts w:hint="cs"/>
          <w:rtl/>
        </w:rPr>
        <w:t>המינהלי</w:t>
      </w:r>
      <w:proofErr w:type="spellEnd"/>
      <w:r w:rsidRPr="00D431AF">
        <w:rPr>
          <w:rStyle w:val="apple-style-span"/>
          <w:rFonts w:hint="cs"/>
          <w:rtl/>
        </w:rPr>
        <w:t xml:space="preserve"> הישראלי, המחייב את כוחות צה"ל </w:t>
      </w:r>
      <w:r w:rsidRPr="00D431AF">
        <w:rPr>
          <w:rStyle w:val="apple-style-span"/>
          <w:rFonts w:hint="cs"/>
          <w:rtl/>
        </w:rPr>
        <w:lastRenderedPageBreak/>
        <w:t>בפעילותם.</w:t>
      </w:r>
      <w:r w:rsidRPr="00247075">
        <w:rPr>
          <w:rStyle w:val="af2"/>
          <w:rFonts w:cs="Narkisim"/>
          <w:rtl/>
        </w:rPr>
        <w:footnoteReference w:id="3"/>
      </w:r>
      <w:r w:rsidRPr="00D431AF">
        <w:rPr>
          <w:rStyle w:val="af2"/>
          <w:rFonts w:cs="Narkisim" w:hint="cs"/>
          <w:rtl/>
        </w:rPr>
        <w:t xml:space="preserve"> </w:t>
      </w:r>
      <w:r w:rsidRPr="00D431AF">
        <w:rPr>
          <w:rStyle w:val="apple-style-span"/>
          <w:rFonts w:hint="cs"/>
          <w:rtl/>
        </w:rPr>
        <w:t xml:space="preserve">המשפט, השיפוט </w:t>
      </w:r>
      <w:proofErr w:type="spellStart"/>
      <w:r w:rsidRPr="00D431AF">
        <w:rPr>
          <w:rStyle w:val="apple-style-span"/>
          <w:rFonts w:hint="cs"/>
          <w:rtl/>
        </w:rPr>
        <w:t>והמינהל</w:t>
      </w:r>
      <w:proofErr w:type="spellEnd"/>
      <w:r w:rsidRPr="00D431AF">
        <w:rPr>
          <w:rStyle w:val="apple-style-span"/>
          <w:rFonts w:hint="cs"/>
          <w:rtl/>
        </w:rPr>
        <w:t xml:space="preserve"> של מדינת ישראל אינם חלים בשטחים הנמצאים בשליטתה </w:t>
      </w:r>
      <w:proofErr w:type="spellStart"/>
      <w:r w:rsidRPr="00D431AF">
        <w:rPr>
          <w:rStyle w:val="apple-style-span"/>
          <w:rFonts w:hint="cs"/>
          <w:rtl/>
        </w:rPr>
        <w:t>בא</w:t>
      </w:r>
      <w:r>
        <w:rPr>
          <w:rStyle w:val="apple-style-span"/>
          <w:rFonts w:hint="cs"/>
          <w:rtl/>
        </w:rPr>
        <w:t>יו"ש</w:t>
      </w:r>
      <w:proofErr w:type="spellEnd"/>
      <w:r w:rsidRPr="00D431AF">
        <w:rPr>
          <w:rStyle w:val="apple-style-span"/>
          <w:rFonts w:hint="cs"/>
          <w:rtl/>
        </w:rPr>
        <w:t>.</w:t>
      </w:r>
      <w:r w:rsidRPr="00F526ED">
        <w:rPr>
          <w:rStyle w:val="af2"/>
          <w:rFonts w:cs="Narkisim"/>
          <w:rtl/>
        </w:rPr>
        <w:footnoteReference w:id="4"/>
      </w:r>
    </w:p>
    <w:p w:rsidR="00195B00" w:rsidRDefault="00195B00" w:rsidP="00A47B99">
      <w:pPr>
        <w:pStyle w:val="af"/>
        <w:numPr>
          <w:ilvl w:val="0"/>
          <w:numId w:val="18"/>
        </w:numPr>
        <w:bidi/>
        <w:spacing w:line="360" w:lineRule="auto"/>
        <w:ind w:left="425" w:hanging="357"/>
        <w:contextualSpacing w:val="0"/>
        <w:rPr>
          <w:rStyle w:val="apple-style-span"/>
          <w:rFonts w:hint="cs"/>
        </w:rPr>
      </w:pPr>
      <w:r w:rsidRPr="00D431AF">
        <w:rPr>
          <w:rStyle w:val="apple-style-span"/>
          <w:rFonts w:hint="cs"/>
          <w:rtl/>
        </w:rPr>
        <w:t xml:space="preserve">מדינת ישראל פועלת בשטחי </w:t>
      </w:r>
      <w:proofErr w:type="spellStart"/>
      <w:r w:rsidRPr="00D431AF">
        <w:rPr>
          <w:rStyle w:val="apple-style-span"/>
          <w:rFonts w:hint="cs"/>
          <w:rtl/>
        </w:rPr>
        <w:t>איו"ש</w:t>
      </w:r>
      <w:proofErr w:type="spellEnd"/>
      <w:r w:rsidRPr="00D431AF">
        <w:rPr>
          <w:rStyle w:val="apple-style-span"/>
          <w:rFonts w:hint="cs"/>
          <w:rtl/>
        </w:rPr>
        <w:t xml:space="preserve"> באמצעות ממשל צבאי. </w:t>
      </w:r>
      <w:r w:rsidR="00A47B99">
        <w:rPr>
          <w:rStyle w:val="apple-style-span"/>
          <w:rFonts w:hint="cs"/>
          <w:rtl/>
        </w:rPr>
        <w:t xml:space="preserve">כאמור לעיל, </w:t>
      </w:r>
      <w:r w:rsidRPr="00D431AF">
        <w:rPr>
          <w:rStyle w:val="apple-style-span"/>
          <w:rFonts w:hint="cs"/>
          <w:rtl/>
        </w:rPr>
        <w:t>הסמכות של המפקד הצבאי לפעול באזור ולנהל</w:t>
      </w:r>
      <w:r w:rsidR="00C83AFB">
        <w:rPr>
          <w:rStyle w:val="apple-style-span"/>
          <w:rFonts w:hint="cs"/>
          <w:rtl/>
        </w:rPr>
        <w:t>ו</w:t>
      </w:r>
      <w:r w:rsidRPr="00D431AF">
        <w:rPr>
          <w:rStyle w:val="apple-style-span"/>
          <w:rFonts w:hint="cs"/>
          <w:rtl/>
        </w:rPr>
        <w:t xml:space="preserve"> מקורה </w:t>
      </w:r>
      <w:r w:rsidR="00405286">
        <w:rPr>
          <w:rStyle w:val="apple-style-span"/>
          <w:rFonts w:hint="cs"/>
          <w:rtl/>
        </w:rPr>
        <w:t>הן</w:t>
      </w:r>
      <w:r w:rsidR="008916A5">
        <w:rPr>
          <w:rStyle w:val="apple-style-span"/>
          <w:rFonts w:hint="cs"/>
          <w:rtl/>
        </w:rPr>
        <w:t xml:space="preserve"> </w:t>
      </w:r>
      <w:r w:rsidRPr="00D431AF">
        <w:rPr>
          <w:rStyle w:val="apple-style-span"/>
          <w:rFonts w:hint="cs"/>
          <w:rtl/>
        </w:rPr>
        <w:t>בדיני התפיסה הלוחמתית במשפט הבין לאומי</w:t>
      </w:r>
      <w:r w:rsidR="00A47B99">
        <w:rPr>
          <w:rStyle w:val="apple-style-span"/>
          <w:rFonts w:hint="cs"/>
          <w:rtl/>
        </w:rPr>
        <w:t xml:space="preserve"> והן במשפט הישראלי</w:t>
      </w:r>
      <w:r w:rsidRPr="00D431AF">
        <w:rPr>
          <w:rStyle w:val="apple-style-span"/>
          <w:rFonts w:hint="cs"/>
          <w:rtl/>
        </w:rPr>
        <w:t xml:space="preserve">. </w:t>
      </w:r>
      <w:r w:rsidR="00A47B99">
        <w:rPr>
          <w:rStyle w:val="apple-style-span"/>
          <w:rFonts w:hint="cs"/>
          <w:rtl/>
        </w:rPr>
        <w:t xml:space="preserve">מבחינת המשפט הבין לאומי, </w:t>
      </w:r>
      <w:r w:rsidR="008916A5">
        <w:rPr>
          <w:rFonts w:hint="cs"/>
          <w:rtl/>
        </w:rPr>
        <w:t>התפיסה היא ש</w:t>
      </w:r>
      <w:r w:rsidRPr="00D431AF">
        <w:rPr>
          <w:rStyle w:val="apple-style-span"/>
          <w:rFonts w:hint="cs"/>
          <w:rtl/>
        </w:rPr>
        <w:t>המשטר הצבאי</w:t>
      </w:r>
      <w:r w:rsidRPr="00257B9C">
        <w:rPr>
          <w:rFonts w:hint="cs"/>
          <w:rtl/>
        </w:rPr>
        <w:t xml:space="preserve"> בשטח התפוס בתפיסה לוחמתית הינו זמני מעצם טיבו,</w:t>
      </w:r>
      <w:r>
        <w:rPr>
          <w:rStyle w:val="af2"/>
          <w:rtl/>
        </w:rPr>
        <w:footnoteReference w:id="5"/>
      </w:r>
      <w:r w:rsidRPr="00257B9C">
        <w:rPr>
          <w:rFonts w:hint="cs"/>
          <w:rtl/>
        </w:rPr>
        <w:t xml:space="preserve"> </w:t>
      </w:r>
      <w:r w:rsidR="008916A5">
        <w:rPr>
          <w:rFonts w:hint="cs"/>
          <w:rtl/>
        </w:rPr>
        <w:t xml:space="preserve">ומטרת המפקד הצבאי היא </w:t>
      </w:r>
      <w:r w:rsidRPr="00257B9C">
        <w:rPr>
          <w:rFonts w:hint="cs"/>
          <w:rtl/>
        </w:rPr>
        <w:t>לנהל את השטח עד להסדרת מעמדו בהסדר מדיני.</w:t>
      </w:r>
      <w:r>
        <w:rPr>
          <w:rStyle w:val="af2"/>
          <w:rtl/>
        </w:rPr>
        <w:footnoteReference w:id="6"/>
      </w:r>
      <w:r w:rsidRPr="00D431AF">
        <w:rPr>
          <w:rStyle w:val="apple-style-span"/>
          <w:rFonts w:hint="cs"/>
          <w:rtl/>
        </w:rPr>
        <w:t xml:space="preserve"> לצד סמכות זו</w:t>
      </w:r>
      <w:r>
        <w:rPr>
          <w:rStyle w:val="apple-style-span"/>
          <w:rFonts w:hint="cs"/>
          <w:rtl/>
        </w:rPr>
        <w:t>,</w:t>
      </w:r>
      <w:r w:rsidR="0075335D">
        <w:rPr>
          <w:rStyle w:val="apple-style-span"/>
          <w:rFonts w:hint="cs"/>
          <w:rtl/>
        </w:rPr>
        <w:t xml:space="preserve"> </w:t>
      </w:r>
      <w:r w:rsidR="002A48BC">
        <w:rPr>
          <w:rStyle w:val="apple-style-span"/>
          <w:rFonts w:hint="cs"/>
          <w:rtl/>
        </w:rPr>
        <w:t>סמכותו של המפקד הצבאי</w:t>
      </w:r>
      <w:r w:rsidR="00A47B99">
        <w:rPr>
          <w:rStyle w:val="apple-style-span"/>
          <w:rFonts w:hint="cs"/>
          <w:rtl/>
        </w:rPr>
        <w:t xml:space="preserve"> לפעול</w:t>
      </w:r>
      <w:r w:rsidR="002A48BC">
        <w:rPr>
          <w:rStyle w:val="apple-style-span"/>
          <w:rFonts w:hint="cs"/>
          <w:rtl/>
        </w:rPr>
        <w:t xml:space="preserve">, </w:t>
      </w:r>
      <w:r w:rsidR="00A47B99">
        <w:rPr>
          <w:rStyle w:val="apple-style-span"/>
          <w:rFonts w:hint="cs"/>
          <w:rtl/>
        </w:rPr>
        <w:t xml:space="preserve">בהיותו </w:t>
      </w:r>
      <w:r w:rsidR="002A48BC" w:rsidRPr="00D431AF">
        <w:rPr>
          <w:rStyle w:val="apple-style-span"/>
          <w:rFonts w:hint="cs"/>
          <w:rtl/>
        </w:rPr>
        <w:t xml:space="preserve">אורגן שלטוני של הממשל הישראלי </w:t>
      </w:r>
      <w:r w:rsidR="00A47B99">
        <w:rPr>
          <w:rStyle w:val="apple-style-span"/>
          <w:rFonts w:hint="cs"/>
          <w:rtl/>
        </w:rPr>
        <w:t>,</w:t>
      </w:r>
      <w:r w:rsidR="005162B8">
        <w:rPr>
          <w:rStyle w:val="apple-style-span"/>
          <w:rFonts w:hint="cs"/>
          <w:rtl/>
        </w:rPr>
        <w:t xml:space="preserve"> מעוגנת ב</w:t>
      </w:r>
      <w:r w:rsidRPr="00D431AF">
        <w:rPr>
          <w:rStyle w:val="apple-style-span"/>
          <w:rFonts w:hint="cs"/>
          <w:rtl/>
        </w:rPr>
        <w:t xml:space="preserve">מנשר בדבר סדרי </w:t>
      </w:r>
      <w:r w:rsidRPr="00195B00">
        <w:rPr>
          <w:rFonts w:hint="cs"/>
          <w:rtl/>
        </w:rPr>
        <w:t>שלטון</w:t>
      </w:r>
      <w:r w:rsidRPr="00D431AF">
        <w:rPr>
          <w:rStyle w:val="apple-style-span"/>
          <w:rFonts w:hint="cs"/>
          <w:rtl/>
        </w:rPr>
        <w:t xml:space="preserve"> ומשפט (יהוד</w:t>
      </w:r>
      <w:r w:rsidR="00B67CCE">
        <w:rPr>
          <w:rStyle w:val="apple-style-span"/>
          <w:rFonts w:hint="cs"/>
          <w:rtl/>
        </w:rPr>
        <w:t>ה ושומרון) (מס' 2), תשכ"ז-1967</w:t>
      </w:r>
      <w:r w:rsidRPr="00D431AF">
        <w:rPr>
          <w:rStyle w:val="apple-style-span"/>
          <w:rFonts w:hint="cs"/>
          <w:rtl/>
        </w:rPr>
        <w:t>.</w:t>
      </w:r>
      <w:r>
        <w:rPr>
          <w:rStyle w:val="af2"/>
          <w:rtl/>
        </w:rPr>
        <w:footnoteReference w:id="7"/>
      </w:r>
      <w:r w:rsidRPr="00D431AF">
        <w:rPr>
          <w:rStyle w:val="apple-style-span"/>
          <w:rFonts w:hint="cs"/>
          <w:rtl/>
        </w:rPr>
        <w:t xml:space="preserve"> </w:t>
      </w:r>
    </w:p>
    <w:p w:rsidR="00195B00" w:rsidRPr="004A7EED" w:rsidRDefault="00195B00" w:rsidP="00B17151">
      <w:pPr>
        <w:pStyle w:val="af"/>
        <w:numPr>
          <w:ilvl w:val="0"/>
          <w:numId w:val="18"/>
        </w:numPr>
        <w:bidi/>
        <w:spacing w:line="360" w:lineRule="auto"/>
        <w:ind w:left="425" w:hanging="357"/>
        <w:contextualSpacing w:val="0"/>
        <w:rPr>
          <w:rStyle w:val="apple-style-span"/>
          <w:rtl/>
        </w:rPr>
      </w:pPr>
      <w:r w:rsidRPr="004A7EED">
        <w:rPr>
          <w:rStyle w:val="apple-style-span"/>
          <w:rFonts w:hint="cs"/>
          <w:rtl/>
        </w:rPr>
        <w:t>ההוראות המרכזיות של דיני התפיסה הלוחמתית מעוגנ</w:t>
      </w:r>
      <w:r>
        <w:rPr>
          <w:rStyle w:val="apple-style-span"/>
          <w:rFonts w:hint="cs"/>
          <w:rtl/>
        </w:rPr>
        <w:t>ות</w:t>
      </w:r>
      <w:r w:rsidRPr="004A7EED">
        <w:rPr>
          <w:rStyle w:val="apple-style-span"/>
          <w:rFonts w:hint="cs"/>
          <w:rtl/>
        </w:rPr>
        <w:t xml:space="preserve"> באמנת האג בדבר דיני ומנהגי </w:t>
      </w:r>
      <w:r w:rsidRPr="00195B00">
        <w:rPr>
          <w:rFonts w:hint="cs"/>
          <w:rtl/>
        </w:rPr>
        <w:t>המלחמה</w:t>
      </w:r>
      <w:r w:rsidRPr="004A7EED">
        <w:rPr>
          <w:rStyle w:val="apple-style-span"/>
          <w:rFonts w:hint="cs"/>
          <w:rtl/>
        </w:rPr>
        <w:t xml:space="preserve"> ביבשה משנת 1907 (להלן: </w:t>
      </w:r>
      <w:r>
        <w:rPr>
          <w:rStyle w:val="apple-style-span"/>
          <w:rFonts w:hint="cs"/>
          <w:rtl/>
        </w:rPr>
        <w:t>"</w:t>
      </w:r>
      <w:r w:rsidRPr="004A7EED">
        <w:rPr>
          <w:rStyle w:val="apple-style-span"/>
          <w:rFonts w:hint="cs"/>
          <w:rtl/>
        </w:rPr>
        <w:t>תקנות האג</w:t>
      </w:r>
      <w:r>
        <w:rPr>
          <w:rStyle w:val="apple-style-span"/>
          <w:rFonts w:hint="cs"/>
          <w:rtl/>
        </w:rPr>
        <w:t>"</w:t>
      </w:r>
      <w:r w:rsidRPr="004A7EED">
        <w:rPr>
          <w:rStyle w:val="apple-style-span"/>
          <w:rFonts w:hint="cs"/>
          <w:rtl/>
        </w:rPr>
        <w:t>)</w:t>
      </w:r>
      <w:r>
        <w:rPr>
          <w:rStyle w:val="af2"/>
          <w:rtl/>
        </w:rPr>
        <w:footnoteReference w:id="8"/>
      </w:r>
      <w:r w:rsidRPr="00F22EE2">
        <w:rPr>
          <w:rStyle w:val="apple-style-span"/>
        </w:rPr>
        <w:t xml:space="preserve"> </w:t>
      </w:r>
      <w:r w:rsidRPr="004A7EED">
        <w:rPr>
          <w:rStyle w:val="apple-style-span"/>
          <w:rFonts w:hint="cs"/>
          <w:rtl/>
        </w:rPr>
        <w:t>ו</w:t>
      </w:r>
      <w:r w:rsidR="00C83AFB">
        <w:rPr>
          <w:rStyle w:val="apple-style-span"/>
          <w:rFonts w:hint="cs"/>
          <w:rtl/>
        </w:rPr>
        <w:t>ב</w:t>
      </w:r>
      <w:r w:rsidRPr="004A7EED">
        <w:rPr>
          <w:rStyle w:val="apple-style-span"/>
          <w:rFonts w:hint="cs"/>
          <w:rtl/>
        </w:rPr>
        <w:t xml:space="preserve">אמנת ג'נבה הרביעית בדבר הגנת אזרחים בימי מלחמה משנת 1949 (להלן: </w:t>
      </w:r>
      <w:r>
        <w:rPr>
          <w:rStyle w:val="apple-style-span"/>
          <w:rFonts w:hint="cs"/>
          <w:rtl/>
        </w:rPr>
        <w:t>"</w:t>
      </w:r>
      <w:r w:rsidRPr="004A7EED">
        <w:rPr>
          <w:rStyle w:val="apple-style-span"/>
          <w:rFonts w:hint="cs"/>
          <w:rtl/>
        </w:rPr>
        <w:t>אמנת ג'נבה הרביעית</w:t>
      </w:r>
      <w:r>
        <w:rPr>
          <w:rStyle w:val="apple-style-span"/>
          <w:rFonts w:hint="cs"/>
          <w:rtl/>
        </w:rPr>
        <w:t>"</w:t>
      </w:r>
      <w:r w:rsidRPr="004A7EED">
        <w:rPr>
          <w:rStyle w:val="apple-style-span"/>
          <w:rFonts w:hint="cs"/>
          <w:rtl/>
        </w:rPr>
        <w:t>).</w:t>
      </w:r>
      <w:r>
        <w:rPr>
          <w:rStyle w:val="af2"/>
          <w:rtl/>
        </w:rPr>
        <w:footnoteReference w:id="9"/>
      </w:r>
      <w:r w:rsidRPr="00F22EE2">
        <w:rPr>
          <w:rStyle w:val="apple-style-span"/>
        </w:rPr>
        <w:t xml:space="preserve"> </w:t>
      </w:r>
    </w:p>
    <w:p w:rsidR="00211CA5" w:rsidRDefault="00195B00" w:rsidP="00B17151">
      <w:pPr>
        <w:pStyle w:val="af"/>
        <w:numPr>
          <w:ilvl w:val="0"/>
          <w:numId w:val="18"/>
        </w:numPr>
        <w:bidi/>
        <w:spacing w:line="360" w:lineRule="auto"/>
        <w:ind w:left="425" w:hanging="357"/>
        <w:contextualSpacing w:val="0"/>
      </w:pPr>
      <w:r w:rsidRPr="00C34A82">
        <w:rPr>
          <w:rStyle w:val="apple-style-span"/>
          <w:rFonts w:hint="cs"/>
          <w:rtl/>
        </w:rPr>
        <w:t>מדינת ישר</w:t>
      </w:r>
      <w:r w:rsidR="00B17151">
        <w:rPr>
          <w:rStyle w:val="apple-style-span"/>
          <w:rFonts w:hint="cs"/>
          <w:rtl/>
        </w:rPr>
        <w:t>אל מכירה בכך שתקנות האג חלות ב</w:t>
      </w:r>
      <w:r w:rsidRPr="00C34A82">
        <w:rPr>
          <w:rStyle w:val="apple-style-span"/>
          <w:rFonts w:hint="cs"/>
          <w:rtl/>
        </w:rPr>
        <w:t xml:space="preserve">שטחים המצויים בתפיסה לוחמתית, שכן מקובל לראות בהוראות של תקנות האג ביטוי למשפט הבין לאומי </w:t>
      </w:r>
      <w:proofErr w:type="spellStart"/>
      <w:r w:rsidRPr="00C34A82">
        <w:rPr>
          <w:rStyle w:val="apple-style-span"/>
          <w:rFonts w:hint="cs"/>
          <w:rtl/>
        </w:rPr>
        <w:t>המנהגי</w:t>
      </w:r>
      <w:proofErr w:type="spellEnd"/>
      <w:r w:rsidRPr="00C34A82">
        <w:rPr>
          <w:rStyle w:val="apple-style-span"/>
          <w:rFonts w:hint="cs"/>
          <w:rtl/>
        </w:rPr>
        <w:t xml:space="preserve"> החל בישראל גם בלא דבר חקיקה פנימי </w:t>
      </w:r>
      <w:proofErr w:type="spellStart"/>
      <w:r w:rsidRPr="00C34A82">
        <w:rPr>
          <w:rStyle w:val="apple-style-span"/>
          <w:rFonts w:hint="cs"/>
          <w:rtl/>
        </w:rPr>
        <w:t>המאמצן</w:t>
      </w:r>
      <w:proofErr w:type="spellEnd"/>
      <w:r w:rsidRPr="00C34A82">
        <w:rPr>
          <w:rStyle w:val="apple-style-span"/>
          <w:rFonts w:hint="cs"/>
          <w:rtl/>
        </w:rPr>
        <w:t xml:space="preserve">. </w:t>
      </w:r>
      <w:r>
        <w:rPr>
          <w:rStyle w:val="apple-style-span"/>
          <w:rFonts w:hint="cs"/>
          <w:rtl/>
        </w:rPr>
        <w:t xml:space="preserve">בנוגע להוראות אמנת ג'נבה הרביעית, </w:t>
      </w:r>
      <w:r>
        <w:rPr>
          <w:rFonts w:hint="cs"/>
          <w:rtl/>
        </w:rPr>
        <w:t xml:space="preserve">עמדתה הרשמית של מדינת ישראל </w:t>
      </w:r>
      <w:r w:rsidRPr="005A229B">
        <w:rPr>
          <w:rFonts w:hint="cs"/>
          <w:rtl/>
        </w:rPr>
        <w:t xml:space="preserve">הינה שאמנות ג'נבה לא חלות בשטחים </w:t>
      </w:r>
      <w:r w:rsidRPr="00DA3A0B">
        <w:rPr>
          <w:rFonts w:hint="cs"/>
          <w:i/>
          <w:iCs/>
          <w:rtl/>
        </w:rPr>
        <w:t>דה יורה</w:t>
      </w:r>
      <w:r w:rsidRPr="005A229B">
        <w:rPr>
          <w:rFonts w:hint="cs"/>
          <w:rtl/>
        </w:rPr>
        <w:t>,</w:t>
      </w:r>
      <w:r>
        <w:rPr>
          <w:rFonts w:hint="cs"/>
          <w:rtl/>
        </w:rPr>
        <w:t xml:space="preserve"> אך היא </w:t>
      </w:r>
      <w:r w:rsidRPr="001A1A49">
        <w:rPr>
          <w:rFonts w:hint="cs"/>
          <w:rtl/>
        </w:rPr>
        <w:t xml:space="preserve">התחייבה </w:t>
      </w:r>
      <w:r>
        <w:rPr>
          <w:rFonts w:hint="cs"/>
          <w:rtl/>
        </w:rPr>
        <w:t>לנהוג</w:t>
      </w:r>
      <w:r w:rsidRPr="001A1A49">
        <w:rPr>
          <w:rFonts w:hint="cs"/>
          <w:rtl/>
        </w:rPr>
        <w:t xml:space="preserve"> </w:t>
      </w:r>
      <w:r w:rsidRPr="00DA3A0B">
        <w:rPr>
          <w:rFonts w:hint="cs"/>
          <w:i/>
          <w:iCs/>
          <w:rtl/>
        </w:rPr>
        <w:t>דה פקטו</w:t>
      </w:r>
      <w:r w:rsidRPr="001A1A49">
        <w:rPr>
          <w:rFonts w:hint="cs"/>
          <w:rtl/>
        </w:rPr>
        <w:t xml:space="preserve"> </w:t>
      </w:r>
      <w:r>
        <w:rPr>
          <w:rFonts w:hint="cs"/>
          <w:rtl/>
        </w:rPr>
        <w:t>בהתאם ל</w:t>
      </w:r>
      <w:r w:rsidRPr="001A1A49">
        <w:rPr>
          <w:rFonts w:hint="cs"/>
          <w:rtl/>
        </w:rPr>
        <w:t xml:space="preserve">הוראות ההומניטאריות </w:t>
      </w:r>
      <w:r>
        <w:rPr>
          <w:rFonts w:hint="cs"/>
          <w:rtl/>
        </w:rPr>
        <w:t>באמנה זו</w:t>
      </w:r>
      <w:r w:rsidRPr="00E33992">
        <w:rPr>
          <w:rFonts w:hint="cs"/>
          <w:rtl/>
        </w:rPr>
        <w:t xml:space="preserve"> </w:t>
      </w:r>
      <w:r>
        <w:rPr>
          <w:rFonts w:hint="cs"/>
          <w:rtl/>
        </w:rPr>
        <w:t>בשטחים המוחזקים על ידה בתפיסה לוחמתית.</w:t>
      </w:r>
      <w:r>
        <w:rPr>
          <w:rStyle w:val="af2"/>
          <w:rtl/>
        </w:rPr>
        <w:footnoteReference w:id="10"/>
      </w:r>
      <w:r>
        <w:rPr>
          <w:rFonts w:hint="cs"/>
          <w:rtl/>
        </w:rPr>
        <w:t xml:space="preserve"> </w:t>
      </w:r>
      <w:r w:rsidR="000A4394">
        <w:rPr>
          <w:rFonts w:hint="cs"/>
          <w:rtl/>
        </w:rPr>
        <w:t xml:space="preserve">בהתאם לכך, שאלת תחולתן של אמנות ג'נבה </w:t>
      </w:r>
      <w:proofErr w:type="spellStart"/>
      <w:r w:rsidR="000A4394">
        <w:rPr>
          <w:rStyle w:val="apple-style-span"/>
          <w:rFonts w:hint="cs"/>
          <w:rtl/>
        </w:rPr>
        <w:t>באיו"ש</w:t>
      </w:r>
      <w:proofErr w:type="spellEnd"/>
      <w:r w:rsidR="000A4394">
        <w:rPr>
          <w:rStyle w:val="apple-style-span"/>
          <w:rFonts w:hint="cs"/>
          <w:rtl/>
        </w:rPr>
        <w:t xml:space="preserve"> </w:t>
      </w:r>
      <w:r w:rsidR="000A4394">
        <w:rPr>
          <w:rFonts w:hint="cs"/>
          <w:rtl/>
        </w:rPr>
        <w:t>טרם הוכרעה על ידי בית המשפט העליון.</w:t>
      </w:r>
      <w:r w:rsidR="000A4394" w:rsidRPr="00DE4C94">
        <w:rPr>
          <w:rStyle w:val="af2"/>
          <w:rtl/>
        </w:rPr>
        <w:footnoteReference w:id="11"/>
      </w:r>
      <w:r w:rsidR="000A4394" w:rsidRPr="00C34A82">
        <w:rPr>
          <w:rStyle w:val="apple-style-span"/>
          <w:rFonts w:hint="cs"/>
          <w:rtl/>
        </w:rPr>
        <w:t xml:space="preserve"> </w:t>
      </w:r>
      <w:r w:rsidR="000A4394">
        <w:rPr>
          <w:rFonts w:hint="cs"/>
          <w:rtl/>
        </w:rPr>
        <w:t xml:space="preserve"> </w:t>
      </w:r>
    </w:p>
    <w:p w:rsidR="005162B8" w:rsidRDefault="00195B00" w:rsidP="00990050">
      <w:pPr>
        <w:pStyle w:val="af"/>
        <w:numPr>
          <w:ilvl w:val="0"/>
          <w:numId w:val="18"/>
        </w:numPr>
        <w:bidi/>
        <w:spacing w:line="360" w:lineRule="auto"/>
        <w:ind w:left="425" w:hanging="357"/>
        <w:contextualSpacing w:val="0"/>
      </w:pPr>
      <w:r>
        <w:rPr>
          <w:rFonts w:hint="cs"/>
          <w:rtl/>
        </w:rPr>
        <w:t xml:space="preserve">יובהר, כי </w:t>
      </w:r>
      <w:r w:rsidR="005162B8">
        <w:rPr>
          <w:rFonts w:hint="cs"/>
          <w:rtl/>
        </w:rPr>
        <w:t>עמדת מדינת ישראל היא שדיני זכויות האדם במשפט הבין לאומי לא חלים בשטחי יהודה ושומרון</w:t>
      </w:r>
      <w:r w:rsidR="0049112B">
        <w:rPr>
          <w:rFonts w:hint="cs"/>
          <w:rtl/>
        </w:rPr>
        <w:t>,</w:t>
      </w:r>
      <w:r w:rsidR="005162B8">
        <w:rPr>
          <w:rFonts w:hint="cs"/>
          <w:rtl/>
        </w:rPr>
        <w:t xml:space="preserve"> אלא דיני התפיסה הלוחמתית. נוכח זאת, לא נעסוק בשאלה האם חוק ההסדרה מפר את דיני זכויות האדם הכוללים</w:t>
      </w:r>
      <w:r w:rsidR="005162B8" w:rsidRPr="005162B8">
        <w:rPr>
          <w:rFonts w:hint="cs"/>
          <w:rtl/>
        </w:rPr>
        <w:t xml:space="preserve"> </w:t>
      </w:r>
      <w:r w:rsidR="005162B8">
        <w:rPr>
          <w:rFonts w:hint="cs"/>
          <w:rtl/>
        </w:rPr>
        <w:t>הגנות משמעותיות לפרטים שנמצאים בשטח, לרבות הגנה על זכו</w:t>
      </w:r>
      <w:r w:rsidR="0049112B">
        <w:rPr>
          <w:rFonts w:hint="cs"/>
          <w:rtl/>
        </w:rPr>
        <w:t>יו</w:t>
      </w:r>
      <w:r w:rsidR="005162B8">
        <w:rPr>
          <w:rFonts w:hint="cs"/>
          <w:rtl/>
        </w:rPr>
        <w:t xml:space="preserve">ת הקניין, אי </w:t>
      </w:r>
      <w:r w:rsidR="0049112B">
        <w:rPr>
          <w:rFonts w:hint="cs"/>
          <w:rtl/>
        </w:rPr>
        <w:t>ה</w:t>
      </w:r>
      <w:r w:rsidR="005162B8">
        <w:rPr>
          <w:rFonts w:hint="cs"/>
          <w:rtl/>
        </w:rPr>
        <w:t xml:space="preserve">הפליה והזכות להגדרה עצמית. </w:t>
      </w:r>
    </w:p>
    <w:p w:rsidR="001F68C4" w:rsidRDefault="00195B00" w:rsidP="00990050">
      <w:pPr>
        <w:pStyle w:val="af"/>
        <w:numPr>
          <w:ilvl w:val="0"/>
          <w:numId w:val="18"/>
        </w:numPr>
        <w:bidi/>
        <w:spacing w:line="360" w:lineRule="auto"/>
        <w:ind w:left="425" w:hanging="357"/>
        <w:contextualSpacing w:val="0"/>
      </w:pPr>
      <w:r w:rsidRPr="009C3A30">
        <w:rPr>
          <w:rStyle w:val="apple-style-span"/>
          <w:rFonts w:hint="cs"/>
          <w:rtl/>
        </w:rPr>
        <w:t xml:space="preserve">נוכח זאת, על בית המשפט העליון לבחון את ההוראות הפרטניות </w:t>
      </w:r>
      <w:r w:rsidR="00990050">
        <w:rPr>
          <w:rStyle w:val="apple-style-span"/>
          <w:rFonts w:hint="cs"/>
          <w:rtl/>
        </w:rPr>
        <w:t xml:space="preserve">של </w:t>
      </w:r>
      <w:r w:rsidRPr="009C3A30">
        <w:rPr>
          <w:rStyle w:val="apple-style-span"/>
          <w:rFonts w:hint="cs"/>
          <w:rtl/>
        </w:rPr>
        <w:t>חוק ההסדרה לאורן של</w:t>
      </w:r>
      <w:r w:rsidRPr="009C3A30">
        <w:rPr>
          <w:rStyle w:val="apple-style-span"/>
          <w:rtl/>
        </w:rPr>
        <w:t xml:space="preserve"> ה</w:t>
      </w:r>
      <w:r w:rsidR="00990050">
        <w:rPr>
          <w:rStyle w:val="apple-style-span"/>
          <w:rFonts w:hint="cs"/>
          <w:rtl/>
        </w:rPr>
        <w:t>ה</w:t>
      </w:r>
      <w:r w:rsidRPr="009C3A30">
        <w:rPr>
          <w:rStyle w:val="apple-style-span"/>
          <w:rtl/>
        </w:rPr>
        <w:t xml:space="preserve">וראות </w:t>
      </w:r>
      <w:r w:rsidR="00990050" w:rsidRPr="009C3A30">
        <w:rPr>
          <w:rStyle w:val="apple-style-span"/>
          <w:rtl/>
        </w:rPr>
        <w:t>הרלוונטיות</w:t>
      </w:r>
      <w:r w:rsidR="00990050">
        <w:rPr>
          <w:rStyle w:val="apple-style-span"/>
          <w:rFonts w:hint="cs"/>
          <w:rtl/>
        </w:rPr>
        <w:t xml:space="preserve"> ב</w:t>
      </w:r>
      <w:r w:rsidRPr="009C3A30">
        <w:rPr>
          <w:rStyle w:val="apple-style-span"/>
          <w:rtl/>
        </w:rPr>
        <w:t xml:space="preserve">דיני התפיסה הלוחמתית </w:t>
      </w:r>
      <w:r>
        <w:rPr>
          <w:rStyle w:val="apple-style-span"/>
          <w:rFonts w:hint="cs"/>
          <w:rtl/>
        </w:rPr>
        <w:t>שיפורטו להלן</w:t>
      </w:r>
      <w:r w:rsidRPr="009C3A30">
        <w:rPr>
          <w:rStyle w:val="apple-style-span"/>
          <w:rtl/>
        </w:rPr>
        <w:t>.</w:t>
      </w:r>
    </w:p>
    <w:p w:rsidR="00151A7C" w:rsidRPr="00151A7C" w:rsidRDefault="00151A7C" w:rsidP="00151A7C">
      <w:pPr>
        <w:bidi/>
        <w:spacing w:line="360" w:lineRule="auto"/>
        <w:rPr>
          <w:i/>
          <w:iCs/>
          <w:u w:val="single"/>
        </w:rPr>
      </w:pPr>
      <w:r w:rsidRPr="00151A7C">
        <w:rPr>
          <w:rFonts w:hint="cs"/>
          <w:i/>
          <w:iCs/>
          <w:u w:val="single"/>
          <w:rtl/>
        </w:rPr>
        <w:lastRenderedPageBreak/>
        <w:t xml:space="preserve">חוק ההסדרה אל מול תקנה 43 לתקנות האג </w:t>
      </w:r>
      <w:r w:rsidRPr="00151A7C">
        <w:rPr>
          <w:i/>
          <w:iCs/>
          <w:u w:val="single"/>
          <w:rtl/>
        </w:rPr>
        <w:t>–</w:t>
      </w:r>
      <w:r w:rsidRPr="00151A7C">
        <w:rPr>
          <w:rFonts w:hint="cs"/>
          <w:i/>
          <w:iCs/>
          <w:u w:val="single"/>
          <w:rtl/>
        </w:rPr>
        <w:t xml:space="preserve"> שיקול דעת המפקד הצבאי</w:t>
      </w:r>
    </w:p>
    <w:p w:rsidR="00195B00" w:rsidRPr="003F062A" w:rsidRDefault="0045289C" w:rsidP="00195B00">
      <w:pPr>
        <w:pStyle w:val="af"/>
        <w:numPr>
          <w:ilvl w:val="0"/>
          <w:numId w:val="18"/>
        </w:numPr>
        <w:bidi/>
        <w:spacing w:line="360" w:lineRule="auto"/>
        <w:ind w:left="425" w:hanging="357"/>
        <w:contextualSpacing w:val="0"/>
        <w:rPr>
          <w:rStyle w:val="apple-style-span"/>
        </w:rPr>
      </w:pPr>
      <w:r>
        <w:rPr>
          <w:rStyle w:val="apple-style-span"/>
          <w:rFonts w:hint="cs"/>
          <w:rtl/>
        </w:rPr>
        <w:t xml:space="preserve">ההוראה המרכזית לעניין זה היא </w:t>
      </w:r>
      <w:r w:rsidR="00195B00" w:rsidRPr="00151A7C">
        <w:rPr>
          <w:rStyle w:val="apple-style-span"/>
          <w:rFonts w:hint="cs"/>
          <w:rtl/>
        </w:rPr>
        <w:t>תקנה 43 לתקנות האג</w:t>
      </w:r>
      <w:r w:rsidRPr="00151A7C">
        <w:rPr>
          <w:rStyle w:val="apple-style-span"/>
          <w:rFonts w:hint="cs"/>
          <w:rtl/>
        </w:rPr>
        <w:t>,</w:t>
      </w:r>
      <w:r>
        <w:rPr>
          <w:rStyle w:val="apple-style-span"/>
          <w:rFonts w:hint="cs"/>
          <w:rtl/>
        </w:rPr>
        <w:t xml:space="preserve"> אשר</w:t>
      </w:r>
      <w:r w:rsidR="00195B00" w:rsidRPr="003F062A">
        <w:rPr>
          <w:rStyle w:val="apple-style-span"/>
          <w:rFonts w:hint="cs"/>
          <w:rtl/>
        </w:rPr>
        <w:t xml:space="preserve"> קובעת </w:t>
      </w:r>
      <w:r w:rsidR="00195B00">
        <w:rPr>
          <w:rStyle w:val="apple-style-span"/>
          <w:rFonts w:hint="cs"/>
          <w:rtl/>
        </w:rPr>
        <w:t xml:space="preserve">כי </w:t>
      </w:r>
      <w:r w:rsidR="00195B00" w:rsidRPr="0047785F">
        <w:rPr>
          <w:rStyle w:val="apple-style-span"/>
          <w:rFonts w:hint="cs"/>
          <w:rtl/>
        </w:rPr>
        <w:t>"בעבור סמכות השלטון החוקי למעשה לידי הכובש, עליו לנקוט בכל האמצעים שביכולתו על מנת להחזיר ולהבטיח במידת האפשר את הסדר והחיים הציבוריים, תוך כיבוד החוקים שבתוקף בארץ אלא אם כן קיימת מניעה מוחלטת לכך</w:t>
      </w:r>
      <w:r w:rsidR="00195B00">
        <w:rPr>
          <w:rStyle w:val="apple-style-span"/>
          <w:rFonts w:hint="cs"/>
          <w:rtl/>
        </w:rPr>
        <w:t>."</w:t>
      </w:r>
      <w:commentRangeStart w:id="1"/>
      <w:r w:rsidR="00195B00">
        <w:rPr>
          <w:rStyle w:val="af2"/>
          <w:rtl/>
        </w:rPr>
        <w:footnoteReference w:id="12"/>
      </w:r>
      <w:r w:rsidR="00195B00">
        <w:rPr>
          <w:rStyle w:val="apple-style-span"/>
          <w:rFonts w:hint="cs"/>
          <w:rtl/>
        </w:rPr>
        <w:t xml:space="preserve"> </w:t>
      </w:r>
      <w:commentRangeEnd w:id="1"/>
      <w:r w:rsidR="0049112B">
        <w:rPr>
          <w:rStyle w:val="af3"/>
          <w:rFonts w:eastAsiaTheme="minorHAnsi"/>
          <w:rtl/>
        </w:rPr>
        <w:commentReference w:id="1"/>
      </w:r>
      <w:r w:rsidR="00195B00">
        <w:rPr>
          <w:rStyle w:val="apple-style-span"/>
          <w:rFonts w:hint="cs"/>
          <w:rtl/>
        </w:rPr>
        <w:t xml:space="preserve">ראה: </w:t>
      </w:r>
    </w:p>
    <w:p w:rsidR="00195B00" w:rsidRPr="00195B00" w:rsidRDefault="00A85523" w:rsidP="00AE476C">
      <w:pPr>
        <w:spacing w:line="240" w:lineRule="auto"/>
        <w:ind w:left="284" w:right="851"/>
      </w:pPr>
      <w:r>
        <w:t>"</w:t>
      </w:r>
      <w:r w:rsidR="00195B00" w:rsidRPr="00195B00">
        <w:t>The authority of the legitimate power having in fact passed into the hands of the occupant, the latter shall take all the measures in his power to restore, and ensure, as far as possible, public order and safety, while respecting, unless absolutely prevented, the laws in force in the country.</w:t>
      </w:r>
      <w:r>
        <w:t>"</w:t>
      </w:r>
    </w:p>
    <w:p w:rsidR="00195B00" w:rsidRDefault="00195B00" w:rsidP="00311364">
      <w:pPr>
        <w:pStyle w:val="af"/>
        <w:numPr>
          <w:ilvl w:val="0"/>
          <w:numId w:val="18"/>
        </w:numPr>
        <w:bidi/>
        <w:spacing w:line="360" w:lineRule="auto"/>
        <w:ind w:left="425" w:hanging="357"/>
        <w:contextualSpacing w:val="0"/>
        <w:rPr>
          <w:rStyle w:val="apple-style-span"/>
          <w:rFonts w:hint="cs"/>
        </w:rPr>
      </w:pPr>
      <w:r w:rsidRPr="007D2E2F">
        <w:rPr>
          <w:rStyle w:val="apple-style-span"/>
          <w:rFonts w:hint="cs"/>
          <w:rtl/>
        </w:rPr>
        <w:t>תקנה זו הוכרה בפסיקת בית המשפט העליון</w:t>
      </w:r>
      <w:r>
        <w:rPr>
          <w:rStyle w:val="apple-style-span"/>
          <w:rFonts w:hint="cs"/>
          <w:rtl/>
        </w:rPr>
        <w:t xml:space="preserve"> כ</w:t>
      </w:r>
      <w:r w:rsidRPr="00670987">
        <w:rPr>
          <w:rStyle w:val="apple-style-span"/>
          <w:rFonts w:hint="cs"/>
          <w:rtl/>
        </w:rPr>
        <w:t>'הוראת-על' נורמטיבית</w:t>
      </w:r>
      <w:r>
        <w:rPr>
          <w:rStyle w:val="apple-style-span"/>
          <w:rFonts w:hint="cs"/>
          <w:rtl/>
        </w:rPr>
        <w:t xml:space="preserve">, קרי כמסגרת מעין </w:t>
      </w:r>
      <w:r w:rsidRPr="007D2E2F">
        <w:rPr>
          <w:rStyle w:val="apple-style-span"/>
          <w:rFonts w:hint="cs"/>
          <w:rtl/>
        </w:rPr>
        <w:t>חוקתית לאופן הפעלת חובותיו וסמכויותיו של המפקד הצבאי.</w:t>
      </w:r>
      <w:r>
        <w:rPr>
          <w:rStyle w:val="af2"/>
        </w:rPr>
        <w:footnoteReference w:id="13"/>
      </w:r>
      <w:r>
        <w:rPr>
          <w:rStyle w:val="apple-style-span"/>
          <w:rFonts w:hint="cs"/>
          <w:rtl/>
        </w:rPr>
        <w:t xml:space="preserve"> </w:t>
      </w:r>
      <w:r w:rsidR="00B17151">
        <w:rPr>
          <w:rStyle w:val="apple-style-span"/>
          <w:rFonts w:hint="cs"/>
          <w:rtl/>
        </w:rPr>
        <w:t>לפיכך</w:t>
      </w:r>
      <w:r w:rsidR="008859ED">
        <w:rPr>
          <w:rStyle w:val="apple-style-span"/>
          <w:rFonts w:hint="cs"/>
          <w:rtl/>
        </w:rPr>
        <w:t>, יש לבחון כל פעולה של המפקד הצבאי תחת הנוסחה הכללית של תקנה 43, שכן מעבר לכך שהיא מהווה את מקור סמכותו לפעול, היא תוחמת את גבולות הסמכות של הממשל הצבאי.</w:t>
      </w:r>
      <w:r w:rsidR="008859ED">
        <w:rPr>
          <w:rStyle w:val="af2"/>
          <w:rtl/>
        </w:rPr>
        <w:footnoteReference w:id="14"/>
      </w:r>
      <w:r w:rsidR="008859ED">
        <w:rPr>
          <w:rStyle w:val="apple-style-span"/>
          <w:rFonts w:hint="cs"/>
          <w:rtl/>
        </w:rPr>
        <w:t xml:space="preserve"> </w:t>
      </w:r>
      <w:r>
        <w:rPr>
          <w:rStyle w:val="apple-style-span"/>
          <w:rFonts w:hint="cs"/>
          <w:rtl/>
        </w:rPr>
        <w:t xml:space="preserve">התקנה מבטאת את התפיסה לפיה על </w:t>
      </w:r>
      <w:r w:rsidRPr="007D2E2F">
        <w:rPr>
          <w:rStyle w:val="apple-style-span"/>
          <w:rFonts w:hint="cs"/>
          <w:rtl/>
        </w:rPr>
        <w:t xml:space="preserve">כלל ההסדרים המשפטיים באזור לשקף איזון בין שני שיקולים מרכזיים: הבטחת האינטרסים הביטחוניים </w:t>
      </w:r>
      <w:r>
        <w:rPr>
          <w:rStyle w:val="apple-style-span"/>
          <w:rFonts w:hint="cs"/>
          <w:rtl/>
        </w:rPr>
        <w:t>הלגיטימיים</w:t>
      </w:r>
      <w:r w:rsidRPr="007D2E2F">
        <w:rPr>
          <w:rStyle w:val="apple-style-span"/>
          <w:rFonts w:hint="cs"/>
          <w:rtl/>
        </w:rPr>
        <w:t xml:space="preserve"> של הכוח הצבאי התופס את השטח</w:t>
      </w:r>
      <w:r>
        <w:rPr>
          <w:rStyle w:val="apple-style-span"/>
          <w:rFonts w:hint="cs"/>
          <w:rtl/>
        </w:rPr>
        <w:t xml:space="preserve"> מחד גיסא</w:t>
      </w:r>
      <w:r w:rsidRPr="007D2E2F">
        <w:rPr>
          <w:rStyle w:val="apple-style-span"/>
          <w:rFonts w:hint="cs"/>
          <w:rtl/>
        </w:rPr>
        <w:t>;</w:t>
      </w:r>
      <w:r>
        <w:rPr>
          <w:rStyle w:val="apple-style-span"/>
          <w:rFonts w:hint="cs"/>
          <w:rtl/>
        </w:rPr>
        <w:t xml:space="preserve"> והבטחת חייה התקינים של האוכלוסייה המקומית והאינטרסים שלה מאידך גיסא</w:t>
      </w:r>
      <w:r w:rsidRPr="007D2E2F">
        <w:rPr>
          <w:rStyle w:val="apple-style-span"/>
          <w:rFonts w:hint="cs"/>
          <w:rtl/>
        </w:rPr>
        <w:t>.</w:t>
      </w:r>
      <w:r w:rsidRPr="00E24CBA">
        <w:rPr>
          <w:rStyle w:val="af2"/>
          <w:rtl/>
        </w:rPr>
        <w:footnoteReference w:id="15"/>
      </w:r>
      <w:r>
        <w:rPr>
          <w:rStyle w:val="apple-style-span"/>
          <w:rFonts w:hint="cs"/>
          <w:rtl/>
        </w:rPr>
        <w:t xml:space="preserve"> </w:t>
      </w:r>
    </w:p>
    <w:p w:rsidR="00C12836" w:rsidRDefault="00C12836" w:rsidP="00C12836">
      <w:pPr>
        <w:pStyle w:val="af"/>
        <w:numPr>
          <w:ilvl w:val="0"/>
          <w:numId w:val="18"/>
        </w:numPr>
        <w:bidi/>
        <w:spacing w:line="360" w:lineRule="auto"/>
        <w:ind w:left="425" w:hanging="357"/>
        <w:contextualSpacing w:val="0"/>
        <w:rPr>
          <w:rStyle w:val="apple-style-span"/>
          <w:rFonts w:hint="cs"/>
        </w:rPr>
      </w:pPr>
      <w:r w:rsidRPr="006E4470">
        <w:rPr>
          <w:rStyle w:val="apple-style-span"/>
          <w:rFonts w:hint="cs"/>
          <w:u w:val="single"/>
          <w:rtl/>
        </w:rPr>
        <w:t>לעניין האינטרסים הביטחוניים הלגיטימיים</w:t>
      </w:r>
      <w:r>
        <w:rPr>
          <w:rStyle w:val="apple-style-span"/>
          <w:rFonts w:hint="cs"/>
          <w:rtl/>
        </w:rPr>
        <w:t xml:space="preserve">, על אף שסמכותו של המפקד הצבאי נועדה בראש ובראשונה להגן על הצבא שפועל בשטח הנתון לתפיסה לוחמתית, הפסיקה הכירה בכך שאינטרסים אלו כוללים גם הגנה על מדינת ישראל עצמה והגנה על חייהם של כלל הפרטים הנמצאים בשטח הנתון לתפיסה לוחמתית, קרי הן האוכלוסייה הפלסטינית והן </w:t>
      </w:r>
      <w:r>
        <w:rPr>
          <w:rFonts w:hint="cs"/>
          <w:rtl/>
        </w:rPr>
        <w:t xml:space="preserve">האזרחים הישראליים שהתיישבו </w:t>
      </w:r>
      <w:proofErr w:type="spellStart"/>
      <w:r>
        <w:rPr>
          <w:rFonts w:hint="cs"/>
          <w:rtl/>
        </w:rPr>
        <w:t>באיו"ש</w:t>
      </w:r>
      <w:proofErr w:type="spellEnd"/>
      <w:r>
        <w:rPr>
          <w:rFonts w:hint="cs"/>
          <w:rtl/>
        </w:rPr>
        <w:t xml:space="preserve"> (להלן: "</w:t>
      </w:r>
      <w:r w:rsidRPr="006036F5">
        <w:rPr>
          <w:rFonts w:hint="cs"/>
          <w:b/>
          <w:bCs/>
          <w:rtl/>
        </w:rPr>
        <w:t>המתיישבים</w:t>
      </w:r>
      <w:r>
        <w:rPr>
          <w:rFonts w:hint="cs"/>
          <w:rtl/>
        </w:rPr>
        <w:t>")</w:t>
      </w:r>
      <w:r>
        <w:rPr>
          <w:rStyle w:val="apple-style-span"/>
          <w:rFonts w:hint="cs"/>
          <w:rtl/>
        </w:rPr>
        <w:t>.</w:t>
      </w:r>
      <w:r>
        <w:rPr>
          <w:rStyle w:val="af2"/>
          <w:rtl/>
        </w:rPr>
        <w:footnoteReference w:id="16"/>
      </w:r>
      <w:r>
        <w:rPr>
          <w:rStyle w:val="apple-style-span"/>
          <w:rFonts w:hint="cs"/>
          <w:rtl/>
        </w:rPr>
        <w:t xml:space="preserve"> </w:t>
      </w:r>
    </w:p>
    <w:p w:rsidR="00586047" w:rsidRDefault="00586047" w:rsidP="00586047">
      <w:pPr>
        <w:pStyle w:val="af"/>
        <w:numPr>
          <w:ilvl w:val="0"/>
          <w:numId w:val="18"/>
        </w:numPr>
        <w:bidi/>
        <w:spacing w:line="360" w:lineRule="auto"/>
        <w:ind w:left="425" w:hanging="357"/>
        <w:contextualSpacing w:val="0"/>
        <w:rPr>
          <w:rFonts w:hint="cs"/>
        </w:rPr>
      </w:pPr>
      <w:r w:rsidRPr="006E4470">
        <w:rPr>
          <w:rStyle w:val="apple-style-span"/>
          <w:rFonts w:hint="cs"/>
          <w:rtl/>
        </w:rPr>
        <w:t>האם הוראות חוק ההסדרה נועדו להבטיח אינטרסים ביטחוניים לגיטימיים?</w:t>
      </w:r>
      <w:r>
        <w:rPr>
          <w:rStyle w:val="apple-style-span"/>
          <w:rFonts w:hint="cs"/>
          <w:rtl/>
        </w:rPr>
        <w:t xml:space="preserve"> חוק ההסדרה בכללותו וההוראות האופרטיביות שהוא כולל לא נועדו לענות על צורך צבאי של המפקד הצבאי או להגשים אינטרסים ביטחוניים </w:t>
      </w:r>
      <w:r w:rsidRPr="00A671A1">
        <w:rPr>
          <w:rFonts w:hint="cs"/>
          <w:rtl/>
        </w:rPr>
        <w:t>לגיטימיים</w:t>
      </w:r>
      <w:r>
        <w:rPr>
          <w:rFonts w:hint="cs"/>
          <w:rtl/>
        </w:rPr>
        <w:t>.</w:t>
      </w:r>
      <w:r>
        <w:rPr>
          <w:rStyle w:val="af2"/>
          <w:rtl/>
        </w:rPr>
        <w:footnoteReference w:id="17"/>
      </w:r>
      <w:r>
        <w:rPr>
          <w:rStyle w:val="apple-style-span"/>
          <w:rFonts w:hint="cs"/>
          <w:rtl/>
        </w:rPr>
        <w:t xml:space="preserve"> </w:t>
      </w:r>
      <w:r w:rsidRPr="00722101">
        <w:rPr>
          <w:rFonts w:hint="cs"/>
          <w:rtl/>
        </w:rPr>
        <w:t>על פי סעיף 1 לחוק ההסדרה, מטרת</w:t>
      </w:r>
      <w:r>
        <w:rPr>
          <w:rFonts w:hint="cs"/>
          <w:rtl/>
        </w:rPr>
        <w:t>ו המוצהרת של</w:t>
      </w:r>
      <w:r w:rsidRPr="00722101">
        <w:rPr>
          <w:rFonts w:hint="cs"/>
          <w:rtl/>
        </w:rPr>
        <w:t xml:space="preserve"> החוק הינה "להסדיר את ההתיישבות ביהודה ושומרון ולאפשר את המשך ביסוסה ופיתוחה"</w:t>
      </w:r>
      <w:r>
        <w:rPr>
          <w:rFonts w:hint="cs"/>
          <w:rtl/>
        </w:rPr>
        <w:t xml:space="preserve">. לעניין זה, בית המשפט העליון קבע בעבר כי הקמת התיישבות ישראלית איננה עונה על דרישת הצורך הצבאי </w:t>
      </w:r>
      <w:r w:rsidRPr="00FF1DD4">
        <w:rPr>
          <w:rFonts w:hint="cs"/>
          <w:rtl/>
        </w:rPr>
        <w:t>המאפשר הפקעת מקרקעין פרטיים.</w:t>
      </w:r>
      <w:r w:rsidRPr="00FF1DD4">
        <w:rPr>
          <w:rStyle w:val="af2"/>
          <w:rtl/>
        </w:rPr>
        <w:footnoteReference w:id="18"/>
      </w:r>
      <w:r w:rsidRPr="00412527">
        <w:rPr>
          <w:rStyle w:val="apple-style-span"/>
          <w:rFonts w:hint="cs"/>
          <w:rtl/>
        </w:rPr>
        <w:t xml:space="preserve"> </w:t>
      </w:r>
    </w:p>
    <w:p w:rsidR="006E4470" w:rsidRDefault="006E4470" w:rsidP="006E4470">
      <w:pPr>
        <w:pStyle w:val="af"/>
        <w:numPr>
          <w:ilvl w:val="0"/>
          <w:numId w:val="18"/>
        </w:numPr>
        <w:bidi/>
        <w:spacing w:line="360" w:lineRule="auto"/>
        <w:ind w:left="425" w:hanging="357"/>
        <w:contextualSpacing w:val="0"/>
        <w:rPr>
          <w:rStyle w:val="apple-style-span"/>
        </w:rPr>
      </w:pPr>
      <w:r>
        <w:rPr>
          <w:rFonts w:hint="cs"/>
          <w:rtl/>
        </w:rPr>
        <w:lastRenderedPageBreak/>
        <w:t xml:space="preserve">מעבר לכך, </w:t>
      </w:r>
      <w:r>
        <w:rPr>
          <w:rStyle w:val="apple-style-span"/>
          <w:rFonts w:hint="cs"/>
          <w:rtl/>
        </w:rPr>
        <w:t>החוק הוא פרי יוזמה של הדרג המדיני בלבד.</w:t>
      </w:r>
      <w:r>
        <w:rPr>
          <w:rStyle w:val="af2"/>
          <w:rtl/>
        </w:rPr>
        <w:footnoteReference w:id="19"/>
      </w:r>
      <w:r>
        <w:rPr>
          <w:rStyle w:val="apple-style-span"/>
          <w:rFonts w:hint="cs"/>
          <w:rtl/>
        </w:rPr>
        <w:t xml:space="preserve"> נוסחו של החוק, וההקשר הפוליטי, המשפטי והעובדתי שבו נחקק, מהווים אינדיקציה לכך שהפעולות שהמפקד הצבאי נדרש לבצע מתוקף הוראות החוק אינן מבוססות על השיקולים הרלוונטיים שהמפקד הצבאי מוסמך לשקול במסגרת תקנה 43.</w:t>
      </w:r>
      <w:r>
        <w:rPr>
          <w:rStyle w:val="af2"/>
          <w:rtl/>
        </w:rPr>
        <w:footnoteReference w:id="20"/>
      </w:r>
      <w:r>
        <w:rPr>
          <w:rStyle w:val="apple-style-span"/>
          <w:rFonts w:hint="cs"/>
          <w:rtl/>
        </w:rPr>
        <w:t xml:space="preserve"> בהקשר זה, בית המשפט העליון אף ציין בעבר במפורש כי המפקד הצבאי אינו רשאי לשקול אינטרס שאינו ביטחוני</w:t>
      </w:r>
      <w:r>
        <w:rPr>
          <w:rStyle w:val="af2"/>
          <w:rtl/>
        </w:rPr>
        <w:footnoteReference w:id="21"/>
      </w:r>
      <w:r>
        <w:rPr>
          <w:rStyle w:val="apple-style-span"/>
          <w:rFonts w:hint="cs"/>
          <w:rtl/>
        </w:rPr>
        <w:t xml:space="preserve"> ואינו יכול </w:t>
      </w:r>
      <w:r w:rsidRPr="00A671A1">
        <w:rPr>
          <w:rFonts w:hint="cs"/>
          <w:rtl/>
        </w:rPr>
        <w:t>להורות</w:t>
      </w:r>
      <w:r>
        <w:rPr>
          <w:rStyle w:val="apple-style-span"/>
          <w:rFonts w:hint="cs"/>
          <w:rtl/>
        </w:rPr>
        <w:t xml:space="preserve"> על פעולה שמונעת משיקולים מדיניים-פוליטיים שבבסיסם הטעם של "סיפוח" השטחים למדינת ישראל או קביעת גבול מדיני עתידי.</w:t>
      </w:r>
      <w:r>
        <w:rPr>
          <w:rStyle w:val="af2"/>
          <w:rtl/>
        </w:rPr>
        <w:footnoteReference w:id="22"/>
      </w:r>
      <w:r>
        <w:rPr>
          <w:rStyle w:val="apple-style-span"/>
          <w:rFonts w:hint="cs"/>
          <w:rtl/>
        </w:rPr>
        <w:t xml:space="preserve"> נסיבות אילו מעלות ספק בנוגע לשאלה האם פעולה של המפקד הצבאי בהתאם לחוק עולה בקנה אחד עם תקנה 43. </w:t>
      </w:r>
    </w:p>
    <w:p w:rsidR="00311364" w:rsidRDefault="00311364" w:rsidP="00311364">
      <w:pPr>
        <w:pStyle w:val="af"/>
        <w:numPr>
          <w:ilvl w:val="0"/>
          <w:numId w:val="18"/>
        </w:numPr>
        <w:bidi/>
        <w:spacing w:line="360" w:lineRule="auto"/>
        <w:ind w:left="425" w:hanging="357"/>
        <w:contextualSpacing w:val="0"/>
      </w:pPr>
      <w:r w:rsidRPr="006E4470">
        <w:rPr>
          <w:rStyle w:val="apple-style-span"/>
          <w:rFonts w:hint="cs"/>
          <w:u w:val="single"/>
          <w:rtl/>
        </w:rPr>
        <w:t>לעניין הבטחת חייה התקינים של האוכלוסייה המקומית</w:t>
      </w:r>
      <w:r>
        <w:rPr>
          <w:rStyle w:val="apple-style-span"/>
          <w:rFonts w:hint="cs"/>
          <w:rtl/>
        </w:rPr>
        <w:t xml:space="preserve">, בראש ובראשונה חובה זו כוללת הגנה על שלומה וביטחונה של האוכלוסייה, שכן החובה של המפקד הצבאי להבטיח במידת האפשר את הסדר והחיים הציבוריים נובעת </w:t>
      </w:r>
      <w:proofErr w:type="spellStart"/>
      <w:r>
        <w:rPr>
          <w:rStyle w:val="apple-style-span"/>
          <w:rFonts w:hint="cs"/>
          <w:rtl/>
        </w:rPr>
        <w:t>מהיותו</w:t>
      </w:r>
      <w:proofErr w:type="spellEnd"/>
      <w:r>
        <w:rPr>
          <w:rStyle w:val="apple-style-span"/>
          <w:rFonts w:hint="cs"/>
          <w:rtl/>
        </w:rPr>
        <w:t xml:space="preserve"> מופקד על שמירת שלום הציבור באזורו.</w:t>
      </w:r>
      <w:r>
        <w:rPr>
          <w:rStyle w:val="af2"/>
          <w:rtl/>
        </w:rPr>
        <w:footnoteReference w:id="23"/>
      </w:r>
      <w:r>
        <w:rPr>
          <w:rStyle w:val="apple-style-span"/>
          <w:rFonts w:hint="cs"/>
          <w:rtl/>
        </w:rPr>
        <w:t xml:space="preserve"> מעבר לכך, חובה זו כוללת הפעלת ממשל </w:t>
      </w:r>
      <w:r>
        <w:rPr>
          <w:rFonts w:hint="cs"/>
          <w:rtl/>
        </w:rPr>
        <w:t xml:space="preserve">תקין בכל ההיבטים, לרבות הבטחת "נסיבות אזרחיות רב גוניות, כגון נסיבות כלכליות, חברתיות, חינוכיות, סוציאליות, תברואתיות, בריאותיות, </w:t>
      </w:r>
      <w:proofErr w:type="spellStart"/>
      <w:r>
        <w:rPr>
          <w:rFonts w:hint="cs"/>
          <w:rtl/>
        </w:rPr>
        <w:t>תעבורתיות</w:t>
      </w:r>
      <w:proofErr w:type="spellEnd"/>
      <w:r>
        <w:rPr>
          <w:rFonts w:hint="cs"/>
          <w:rtl/>
        </w:rPr>
        <w:t xml:space="preserve"> וכיוצא באלו עניינים, שחיי אדם בחברה מודרנית קשורים עמהם."</w:t>
      </w:r>
      <w:r>
        <w:rPr>
          <w:rStyle w:val="af2"/>
          <w:rtl/>
        </w:rPr>
        <w:footnoteReference w:id="24"/>
      </w:r>
      <w:r>
        <w:rPr>
          <w:rStyle w:val="apple-style-span"/>
          <w:rFonts w:hint="cs"/>
          <w:rtl/>
        </w:rPr>
        <w:t xml:space="preserve"> יחד עם זאת, </w:t>
      </w:r>
      <w:r>
        <w:rPr>
          <w:rFonts w:hint="cs"/>
          <w:rtl/>
        </w:rPr>
        <w:t xml:space="preserve">המפקד הצבאי אינו רשאי לשקול את האינטרסים של המדינה שמטעמה הוא פועל, ראו להלן בעניין </w:t>
      </w:r>
      <w:proofErr w:type="spellStart"/>
      <w:r w:rsidRPr="008515AE">
        <w:rPr>
          <w:rFonts w:hint="cs"/>
          <w:b/>
          <w:bCs/>
          <w:rtl/>
        </w:rPr>
        <w:t>ג'מעית</w:t>
      </w:r>
      <w:proofErr w:type="spellEnd"/>
      <w:r w:rsidRPr="008515AE">
        <w:rPr>
          <w:rFonts w:hint="cs"/>
          <w:b/>
          <w:bCs/>
          <w:rtl/>
        </w:rPr>
        <w:t xml:space="preserve"> </w:t>
      </w:r>
      <w:proofErr w:type="spellStart"/>
      <w:r w:rsidRPr="008515AE">
        <w:rPr>
          <w:rFonts w:hint="cs"/>
          <w:b/>
          <w:bCs/>
          <w:rtl/>
        </w:rPr>
        <w:t>אסכאן</w:t>
      </w:r>
      <w:proofErr w:type="spellEnd"/>
      <w:r>
        <w:rPr>
          <w:rFonts w:hint="cs"/>
          <w:rtl/>
        </w:rPr>
        <w:t>, בעמ' 794-795:</w:t>
      </w:r>
    </w:p>
    <w:p w:rsidR="00311364" w:rsidRPr="00195B00" w:rsidRDefault="00311364" w:rsidP="00311364">
      <w:pPr>
        <w:bidi/>
        <w:spacing w:line="240" w:lineRule="auto"/>
        <w:ind w:left="851" w:right="284"/>
        <w:rPr>
          <w:rtl/>
        </w:rPr>
      </w:pPr>
      <w:r>
        <w:rPr>
          <w:rFonts w:hint="cs"/>
          <w:rtl/>
        </w:rPr>
        <w:t>"</w:t>
      </w:r>
      <w:r w:rsidRPr="00195B00">
        <w:rPr>
          <w:rFonts w:hint="cs"/>
          <w:rtl/>
        </w:rPr>
        <w:t xml:space="preserve">...שיקוליו של המפקד הצבאי הם בהבטחת האינטרסים הביטחוניים שלו באזור מזה והבטחת האינטרסים של </w:t>
      </w:r>
      <w:proofErr w:type="spellStart"/>
      <w:r w:rsidRPr="00195B00">
        <w:rPr>
          <w:rFonts w:hint="cs"/>
          <w:rtl/>
        </w:rPr>
        <w:t>האוכלוסיה</w:t>
      </w:r>
      <w:proofErr w:type="spellEnd"/>
      <w:r w:rsidRPr="00195B00">
        <w:rPr>
          <w:rFonts w:hint="cs"/>
          <w:rtl/>
        </w:rPr>
        <w:t xml:space="preserve"> האזרחית באזור מזה. אלה כאלה מכוונים כלפי האזור. אין המפקד הצבאי רשאי לשקול את האינטרסים הלאומיים, הכלכליים, הסוציאליים של מדינתו שלו, עד כמה שאין בהם השלכה על האינטרס הביטחוני שלו באזור או על האינטרס של </w:t>
      </w:r>
      <w:proofErr w:type="spellStart"/>
      <w:r w:rsidRPr="00195B00">
        <w:rPr>
          <w:rFonts w:hint="cs"/>
          <w:rtl/>
        </w:rPr>
        <w:t>האוכלוסיה</w:t>
      </w:r>
      <w:proofErr w:type="spellEnd"/>
      <w:r w:rsidRPr="00195B00">
        <w:rPr>
          <w:rFonts w:hint="cs"/>
          <w:rtl/>
        </w:rPr>
        <w:t xml:space="preserve"> המקומית. אפילו צורכי הצבא הם צרכיו הצבאיים ולא צורכי הביטחון הלאומי במובנו הרחב ... אזור המוחזק בתפיסה לוחמתית אינו שדה פתוח לניצול כלכלי או אחר</w:t>
      </w:r>
      <w:r>
        <w:rPr>
          <w:rFonts w:hint="cs"/>
          <w:rtl/>
        </w:rPr>
        <w:t>.</w:t>
      </w:r>
      <w:r w:rsidRPr="00195B00">
        <w:rPr>
          <w:rFonts w:hint="cs"/>
          <w:rtl/>
        </w:rPr>
        <w:t xml:space="preserve">" </w:t>
      </w:r>
    </w:p>
    <w:p w:rsidR="00C12836" w:rsidRDefault="002F2418" w:rsidP="002F2418">
      <w:pPr>
        <w:pStyle w:val="af"/>
        <w:numPr>
          <w:ilvl w:val="0"/>
          <w:numId w:val="18"/>
        </w:numPr>
        <w:bidi/>
        <w:spacing w:line="360" w:lineRule="auto"/>
        <w:ind w:left="425" w:hanging="357"/>
        <w:contextualSpacing w:val="0"/>
        <w:rPr>
          <w:rStyle w:val="apple-style-span"/>
          <w:rFonts w:hint="cs"/>
        </w:rPr>
      </w:pPr>
      <w:r>
        <w:rPr>
          <w:rStyle w:val="apple-style-span"/>
          <w:rFonts w:hint="cs"/>
          <w:rtl/>
        </w:rPr>
        <w:t xml:space="preserve">בהקשר זה עולה </w:t>
      </w:r>
      <w:r w:rsidR="00311364">
        <w:rPr>
          <w:rStyle w:val="apple-style-span"/>
          <w:rFonts w:hint="cs"/>
          <w:rtl/>
        </w:rPr>
        <w:t xml:space="preserve">השאלה מי היא האוכלוסייה המקומית </w:t>
      </w:r>
      <w:proofErr w:type="spellStart"/>
      <w:r w:rsidR="00311364">
        <w:rPr>
          <w:rStyle w:val="apple-style-span"/>
          <w:rFonts w:hint="cs"/>
          <w:rtl/>
        </w:rPr>
        <w:t>באיו"ש</w:t>
      </w:r>
      <w:proofErr w:type="spellEnd"/>
      <w:r w:rsidR="00311364">
        <w:rPr>
          <w:rStyle w:val="apple-style-span"/>
          <w:rFonts w:hint="cs"/>
          <w:rtl/>
        </w:rPr>
        <w:t xml:space="preserve"> לפי תקנה 43? </w:t>
      </w:r>
      <w:r w:rsidR="00C12836">
        <w:rPr>
          <w:rStyle w:val="apple-style-span"/>
          <w:rFonts w:hint="cs"/>
          <w:rtl/>
        </w:rPr>
        <w:t xml:space="preserve">לעניין זה ראו את </w:t>
      </w:r>
      <w:r w:rsidR="00C12836" w:rsidRPr="00C12836">
        <w:rPr>
          <w:rStyle w:val="apple-style-span"/>
          <w:rFonts w:hint="cs"/>
          <w:b/>
          <w:bCs/>
          <w:rtl/>
        </w:rPr>
        <w:t>בג"ץ אבו צפייה</w:t>
      </w:r>
      <w:r w:rsidR="00C12836">
        <w:rPr>
          <w:rStyle w:val="apple-style-span"/>
          <w:rFonts w:hint="cs"/>
          <w:rtl/>
        </w:rPr>
        <w:t xml:space="preserve"> שעסק בעניין כביש 443, להלן:</w:t>
      </w:r>
    </w:p>
    <w:p w:rsidR="00B17151" w:rsidRPr="00586047" w:rsidRDefault="00C12836" w:rsidP="00311364">
      <w:pPr>
        <w:bidi/>
        <w:spacing w:line="240" w:lineRule="auto"/>
        <w:ind w:left="680" w:right="680"/>
        <w:rPr>
          <w:rtl/>
        </w:rPr>
      </w:pPr>
      <w:r w:rsidRPr="00586047">
        <w:rPr>
          <w:rFonts w:hint="cs"/>
          <w:sz w:val="28"/>
          <w:rtl/>
        </w:rPr>
        <w:t>"</w:t>
      </w:r>
      <w:r w:rsidR="00B17151" w:rsidRPr="00586047">
        <w:rPr>
          <w:rFonts w:hint="cs"/>
          <w:sz w:val="28"/>
          <w:rtl/>
        </w:rPr>
        <w:t xml:space="preserve">מי הם נמעניה של חובת המפקד הצבאי להבטיח את הסדר והחיים הציבוריים באזור? כפי שראינו, ניתן לחלק את האוכלוסייה שעשתה שימוש בכביש 443 עד לשנת 2000 לשלוש קטגוריות: </w:t>
      </w:r>
      <w:r w:rsidR="00B17151" w:rsidRPr="00586047">
        <w:rPr>
          <w:rFonts w:hint="cs"/>
          <w:b/>
          <w:bCs/>
          <w:sz w:val="28"/>
          <w:rtl/>
        </w:rPr>
        <w:t>האחת</w:t>
      </w:r>
      <w:r w:rsidR="00B17151" w:rsidRPr="00586047">
        <w:rPr>
          <w:rFonts w:hint="cs"/>
          <w:sz w:val="28"/>
          <w:rtl/>
        </w:rPr>
        <w:t>, תושבי הכפרים, אשר הינם בבחינת "תושבים מוגנים" (</w:t>
      </w:r>
      <w:r w:rsidR="00B17151" w:rsidRPr="00586047">
        <w:t>Protected Persons</w:t>
      </w:r>
      <w:r w:rsidR="00B17151" w:rsidRPr="00586047">
        <w:rPr>
          <w:rFonts w:hint="cs"/>
          <w:sz w:val="28"/>
          <w:rtl/>
        </w:rPr>
        <w:t xml:space="preserve">) כמשמעות המונח באמנת ג'נבה הרביעית (סעיף 4 לאמנה; ראו עניין </w:t>
      </w:r>
      <w:r w:rsidR="00B17151" w:rsidRPr="00586047">
        <w:rPr>
          <w:rFonts w:hint="cs"/>
          <w:rtl/>
        </w:rPr>
        <w:t>חוף עזה</w:t>
      </w:r>
      <w:r w:rsidR="00B17151" w:rsidRPr="00586047">
        <w:rPr>
          <w:rFonts w:hint="cs"/>
          <w:sz w:val="28"/>
          <w:rtl/>
        </w:rPr>
        <w:t xml:space="preserve">, בעמ' 517; </w:t>
      </w:r>
      <w:hyperlink r:id="rId10" w:history="1">
        <w:r w:rsidR="00B17151" w:rsidRPr="00586047">
          <w:rPr>
            <w:rStyle w:val="Hyperlink"/>
            <w:rFonts w:hint="cs"/>
            <w:color w:val="auto"/>
            <w:sz w:val="28"/>
            <w:rtl/>
          </w:rPr>
          <w:t>בג"ץ 2942/05</w:t>
        </w:r>
      </w:hyperlink>
      <w:r w:rsidR="00B17151" w:rsidRPr="00586047">
        <w:rPr>
          <w:rFonts w:hint="cs"/>
          <w:sz w:val="28"/>
          <w:rtl/>
        </w:rPr>
        <w:t xml:space="preserve"> </w:t>
      </w:r>
      <w:r w:rsidR="00B17151" w:rsidRPr="00586047">
        <w:rPr>
          <w:rFonts w:hint="cs"/>
          <w:rtl/>
        </w:rPr>
        <w:t>מנצור נ' מדינת ישראל</w:t>
      </w:r>
      <w:r w:rsidR="00B17151" w:rsidRPr="00586047">
        <w:rPr>
          <w:rFonts w:hint="cs"/>
          <w:sz w:val="28"/>
          <w:rtl/>
        </w:rPr>
        <w:t xml:space="preserve">, פסקה 22 (לא פורסם, 26.10.06) (להלן: עניין </w:t>
      </w:r>
      <w:r w:rsidR="00B17151" w:rsidRPr="00586047">
        <w:rPr>
          <w:rFonts w:hint="cs"/>
          <w:rtl/>
        </w:rPr>
        <w:t>מנצור</w:t>
      </w:r>
      <w:r w:rsidR="00B17151" w:rsidRPr="00586047">
        <w:rPr>
          <w:rFonts w:hint="cs"/>
          <w:sz w:val="28"/>
          <w:rtl/>
        </w:rPr>
        <w:t xml:space="preserve">)). </w:t>
      </w:r>
      <w:proofErr w:type="spellStart"/>
      <w:r w:rsidR="00B17151" w:rsidRPr="00586047">
        <w:rPr>
          <w:rFonts w:hint="cs"/>
          <w:b/>
          <w:bCs/>
          <w:sz w:val="28"/>
          <w:rtl/>
        </w:rPr>
        <w:t>השניה</w:t>
      </w:r>
      <w:proofErr w:type="spellEnd"/>
      <w:r w:rsidR="00B17151" w:rsidRPr="00586047">
        <w:rPr>
          <w:rFonts w:hint="cs"/>
          <w:sz w:val="28"/>
          <w:rtl/>
        </w:rPr>
        <w:t xml:space="preserve">, תושבים המתגוררים בהתיישבות הישראלית באזור (על מעמדה של התיישבות זו ראו עניין </w:t>
      </w:r>
      <w:r w:rsidR="00B17151" w:rsidRPr="00586047">
        <w:rPr>
          <w:rFonts w:hint="cs"/>
          <w:rtl/>
        </w:rPr>
        <w:t>חוף עזה</w:t>
      </w:r>
      <w:r w:rsidR="00B17151" w:rsidRPr="00586047">
        <w:rPr>
          <w:rFonts w:hint="cs"/>
          <w:sz w:val="28"/>
          <w:rtl/>
        </w:rPr>
        <w:t xml:space="preserve">, בעמ' 527-524). תושבים אלה נמנים עם האוכלוסייה המקומית באזור (ראו עניין </w:t>
      </w:r>
      <w:r w:rsidR="00B17151" w:rsidRPr="00586047">
        <w:rPr>
          <w:rFonts w:hint="cs"/>
          <w:rtl/>
        </w:rPr>
        <w:t>הס</w:t>
      </w:r>
      <w:r w:rsidR="00B17151" w:rsidRPr="00586047">
        <w:rPr>
          <w:rFonts w:hint="cs"/>
          <w:sz w:val="28"/>
          <w:rtl/>
        </w:rPr>
        <w:t xml:space="preserve">, בעמ' 455), הגם שאינם בבחינת "תושבים מוגנים" (עניין </w:t>
      </w:r>
      <w:proofErr w:type="spellStart"/>
      <w:r w:rsidR="00B17151" w:rsidRPr="00586047">
        <w:rPr>
          <w:rFonts w:hint="cs"/>
          <w:rtl/>
        </w:rPr>
        <w:t>מראעבה</w:t>
      </w:r>
      <w:proofErr w:type="spellEnd"/>
      <w:r w:rsidR="00B17151" w:rsidRPr="00586047">
        <w:rPr>
          <w:rFonts w:hint="cs"/>
          <w:sz w:val="28"/>
          <w:rtl/>
        </w:rPr>
        <w:t xml:space="preserve">, בעמ' 496; עניין </w:t>
      </w:r>
      <w:r w:rsidR="00B17151" w:rsidRPr="00586047">
        <w:rPr>
          <w:rFonts w:hint="cs"/>
          <w:rtl/>
        </w:rPr>
        <w:t>חוף עזה</w:t>
      </w:r>
      <w:r w:rsidR="00B17151" w:rsidRPr="00586047">
        <w:rPr>
          <w:rFonts w:hint="cs"/>
          <w:sz w:val="28"/>
          <w:rtl/>
        </w:rPr>
        <w:t xml:space="preserve">, בעמ' 517, 524; עניין </w:t>
      </w:r>
      <w:r w:rsidR="00B17151" w:rsidRPr="00586047">
        <w:rPr>
          <w:rFonts w:hint="cs"/>
          <w:rtl/>
        </w:rPr>
        <w:t>מנצור</w:t>
      </w:r>
      <w:r w:rsidR="00B17151" w:rsidRPr="00586047">
        <w:rPr>
          <w:rFonts w:hint="cs"/>
          <w:sz w:val="28"/>
          <w:rtl/>
        </w:rPr>
        <w:t xml:space="preserve">, פסקה 21; </w:t>
      </w:r>
      <w:hyperlink r:id="rId11" w:history="1">
        <w:r w:rsidR="00B17151" w:rsidRPr="00586047">
          <w:rPr>
            <w:rStyle w:val="Hyperlink"/>
            <w:rFonts w:hint="cs"/>
            <w:color w:val="auto"/>
            <w:sz w:val="28"/>
            <w:rtl/>
          </w:rPr>
          <w:t>בג"ץ 2645/04</w:t>
        </w:r>
      </w:hyperlink>
      <w:r w:rsidR="00B17151" w:rsidRPr="00586047">
        <w:rPr>
          <w:rFonts w:hint="cs"/>
          <w:sz w:val="28"/>
          <w:rtl/>
        </w:rPr>
        <w:t xml:space="preserve"> </w:t>
      </w:r>
      <w:r w:rsidR="00B17151" w:rsidRPr="00586047">
        <w:rPr>
          <w:rFonts w:hint="cs"/>
          <w:rtl/>
        </w:rPr>
        <w:t>נאסר נ' ראש הממשלה</w:t>
      </w:r>
      <w:r w:rsidRPr="00586047">
        <w:rPr>
          <w:rFonts w:hint="cs"/>
          <w:sz w:val="28"/>
          <w:rtl/>
        </w:rPr>
        <w:t xml:space="preserve"> (לא פורסם, 25.4.07) פסקה 26 </w:t>
      </w:r>
      <w:r w:rsidR="00B17151" w:rsidRPr="00586047">
        <w:rPr>
          <w:rFonts w:hint="cs"/>
          <w:sz w:val="28"/>
          <w:rtl/>
        </w:rPr>
        <w:t xml:space="preserve">(להלן: עניין </w:t>
      </w:r>
      <w:r w:rsidR="00B17151" w:rsidRPr="00586047">
        <w:rPr>
          <w:rFonts w:hint="cs"/>
          <w:rtl/>
        </w:rPr>
        <w:t>נאסר</w:t>
      </w:r>
      <w:r w:rsidR="00B17151" w:rsidRPr="00586047">
        <w:rPr>
          <w:rFonts w:hint="cs"/>
          <w:sz w:val="28"/>
          <w:rtl/>
        </w:rPr>
        <w:t>)). מ</w:t>
      </w:r>
      <w:r w:rsidR="00B17151" w:rsidRPr="00586047">
        <w:rPr>
          <w:rFonts w:hint="cs"/>
          <w:b/>
          <w:bCs/>
          <w:sz w:val="28"/>
          <w:rtl/>
        </w:rPr>
        <w:t>לבד שתי קבוצות אלה</w:t>
      </w:r>
      <w:r w:rsidR="00B17151" w:rsidRPr="00586047">
        <w:rPr>
          <w:rFonts w:hint="cs"/>
          <w:sz w:val="28"/>
          <w:rtl/>
        </w:rPr>
        <w:t xml:space="preserve">, משתמשים בכביש גם תושבי ואזרחי ישראל שאינם מתגוררים באזור, בעיקר לצורך תנועה בין השפלה לבין ירושלים.  </w:t>
      </w:r>
      <w:r w:rsidR="00B17151" w:rsidRPr="00586047">
        <w:rPr>
          <w:rFonts w:hint="cs"/>
          <w:b/>
          <w:bCs/>
          <w:sz w:val="28"/>
          <w:rtl/>
        </w:rPr>
        <w:t xml:space="preserve">החובה להבטיח "את הסדר והביטחון </w:t>
      </w:r>
      <w:r w:rsidR="00B17151" w:rsidRPr="00586047">
        <w:rPr>
          <w:rFonts w:hint="cs"/>
          <w:b/>
          <w:bCs/>
          <w:sz w:val="28"/>
          <w:rtl/>
        </w:rPr>
        <w:lastRenderedPageBreak/>
        <w:t>הציבוריים" מכוח תקנה 43 לתקנות האג היא רחבה. אין היא חלה רק על מי שהם בבחינת "תושבים מוגנים", אלא על כלל האוכלוסייה הנמצאת בתחומי האזור בכל זמן נתון, ובכלל זה תושבי ההתיישבות הישראלית ואזרחי ישראל שאינם מתגוררים בשטח הנתון לתפיסה לוחמתית</w:t>
      </w:r>
      <w:r w:rsidR="00B17151" w:rsidRPr="00586047">
        <w:rPr>
          <w:rFonts w:hint="cs"/>
          <w:sz w:val="28"/>
          <w:rtl/>
        </w:rPr>
        <w:t xml:space="preserve"> (עניין </w:t>
      </w:r>
      <w:r w:rsidR="00B17151" w:rsidRPr="00586047">
        <w:rPr>
          <w:rFonts w:hint="cs"/>
          <w:rtl/>
        </w:rPr>
        <w:t>הס</w:t>
      </w:r>
      <w:r w:rsidR="00B17151" w:rsidRPr="00586047">
        <w:rPr>
          <w:rFonts w:hint="cs"/>
          <w:sz w:val="28"/>
          <w:rtl/>
        </w:rPr>
        <w:t xml:space="preserve">, בעמ' 455; עניין </w:t>
      </w:r>
      <w:proofErr w:type="spellStart"/>
      <w:r w:rsidR="00B17151" w:rsidRPr="00586047">
        <w:rPr>
          <w:rFonts w:hint="cs"/>
          <w:rtl/>
        </w:rPr>
        <w:t>ברכאת</w:t>
      </w:r>
      <w:proofErr w:type="spellEnd"/>
      <w:r w:rsidR="00B17151" w:rsidRPr="00586047">
        <w:rPr>
          <w:rFonts w:hint="cs"/>
          <w:sz w:val="28"/>
          <w:rtl/>
        </w:rPr>
        <w:t>, בעמ'</w:t>
      </w:r>
      <w:r w:rsidR="00B17151" w:rsidRPr="00586047">
        <w:rPr>
          <w:rFonts w:hint="cs"/>
          <w:rtl/>
        </w:rPr>
        <w:t xml:space="preserve"> </w:t>
      </w:r>
      <w:r w:rsidR="00B17151" w:rsidRPr="00586047">
        <w:rPr>
          <w:rFonts w:hint="cs"/>
          <w:sz w:val="28"/>
          <w:rtl/>
        </w:rPr>
        <w:t xml:space="preserve">6; </w:t>
      </w:r>
      <w:hyperlink r:id="rId12" w:history="1">
        <w:r w:rsidR="00B17151" w:rsidRPr="00586047">
          <w:rPr>
            <w:rStyle w:val="Hyperlink"/>
            <w:rFonts w:hint="cs"/>
            <w:color w:val="auto"/>
            <w:sz w:val="28"/>
            <w:rtl/>
          </w:rPr>
          <w:t>בג"ץ 6339/05 מטר נ' מפקד כוחות צה"ל בחבל עזה, פ"ד נט</w:t>
        </w:r>
      </w:hyperlink>
      <w:r w:rsidR="00B17151" w:rsidRPr="00586047">
        <w:rPr>
          <w:rFonts w:hint="cs"/>
          <w:sz w:val="28"/>
          <w:rtl/>
        </w:rPr>
        <w:t xml:space="preserve">(2) 846, 851-852 (2005); </w:t>
      </w:r>
      <w:hyperlink r:id="rId13" w:history="1">
        <w:r w:rsidR="00B17151" w:rsidRPr="00586047">
          <w:rPr>
            <w:rStyle w:val="Hyperlink"/>
            <w:rFonts w:hint="cs"/>
            <w:color w:val="auto"/>
            <w:sz w:val="28"/>
            <w:rtl/>
          </w:rPr>
          <w:t>בג"ץ 4363/02</w:t>
        </w:r>
      </w:hyperlink>
      <w:r w:rsidR="00B17151" w:rsidRPr="00586047">
        <w:rPr>
          <w:rFonts w:hint="cs"/>
          <w:sz w:val="28"/>
          <w:rtl/>
        </w:rPr>
        <w:t xml:space="preserve"> </w:t>
      </w:r>
      <w:proofErr w:type="spellStart"/>
      <w:r w:rsidR="00B17151" w:rsidRPr="00586047">
        <w:rPr>
          <w:rFonts w:hint="cs"/>
          <w:rtl/>
        </w:rPr>
        <w:t>זינדאח</w:t>
      </w:r>
      <w:proofErr w:type="spellEnd"/>
      <w:r w:rsidR="00B17151" w:rsidRPr="00586047">
        <w:rPr>
          <w:rFonts w:hint="cs"/>
          <w:rtl/>
        </w:rPr>
        <w:t xml:space="preserve"> נ' מפקד כוחות צה"ל ברצועת עזה</w:t>
      </w:r>
      <w:r w:rsidR="00B17151" w:rsidRPr="00586047">
        <w:rPr>
          <w:rFonts w:hint="cs"/>
          <w:sz w:val="28"/>
          <w:rtl/>
        </w:rPr>
        <w:t xml:space="preserve"> (לא פורסם, 28.5.02); </w:t>
      </w:r>
      <w:hyperlink r:id="rId14" w:history="1">
        <w:r w:rsidR="00B17151" w:rsidRPr="00586047">
          <w:rPr>
            <w:rStyle w:val="Hyperlink"/>
            <w:rFonts w:hint="cs"/>
            <w:color w:val="auto"/>
            <w:sz w:val="28"/>
            <w:rtl/>
          </w:rPr>
          <w:t xml:space="preserve">בג"ץ 4219/02 </w:t>
        </w:r>
        <w:proofErr w:type="spellStart"/>
        <w:r w:rsidR="00B17151" w:rsidRPr="00586047">
          <w:rPr>
            <w:rStyle w:val="Hyperlink"/>
            <w:rFonts w:hint="cs"/>
            <w:color w:val="auto"/>
            <w:sz w:val="28"/>
            <w:rtl/>
          </w:rPr>
          <w:t>גוסין</w:t>
        </w:r>
        <w:proofErr w:type="spellEnd"/>
        <w:r w:rsidR="00B17151" w:rsidRPr="00586047">
          <w:rPr>
            <w:rStyle w:val="Hyperlink"/>
            <w:rFonts w:hint="cs"/>
            <w:color w:val="auto"/>
            <w:sz w:val="28"/>
            <w:rtl/>
          </w:rPr>
          <w:t xml:space="preserve"> נ' מפקד כוחות צה"ל ברצועת עזה, פ"ד נו</w:t>
        </w:r>
      </w:hyperlink>
      <w:r w:rsidR="00B17151" w:rsidRPr="00586047">
        <w:rPr>
          <w:rFonts w:hint="cs"/>
          <w:sz w:val="28"/>
          <w:rtl/>
        </w:rPr>
        <w:t xml:space="preserve">(4) 608, 611 (2002); עניין </w:t>
      </w:r>
      <w:r w:rsidR="00B17151" w:rsidRPr="00586047">
        <w:rPr>
          <w:rFonts w:hint="cs"/>
          <w:rtl/>
        </w:rPr>
        <w:t>מנצור</w:t>
      </w:r>
      <w:r w:rsidR="00B17151" w:rsidRPr="00586047">
        <w:rPr>
          <w:rFonts w:hint="cs"/>
          <w:sz w:val="28"/>
          <w:rtl/>
        </w:rPr>
        <w:t xml:space="preserve">, פסקה 22; עניין </w:t>
      </w:r>
      <w:proofErr w:type="spellStart"/>
      <w:r w:rsidR="00B17151" w:rsidRPr="00586047">
        <w:rPr>
          <w:rFonts w:hint="cs"/>
          <w:rtl/>
        </w:rPr>
        <w:t>מראעבה</w:t>
      </w:r>
      <w:proofErr w:type="spellEnd"/>
      <w:r w:rsidR="00B17151" w:rsidRPr="00586047">
        <w:rPr>
          <w:rFonts w:hint="cs"/>
          <w:sz w:val="28"/>
          <w:rtl/>
        </w:rPr>
        <w:t xml:space="preserve">, בעמ' 496 - 498; עניין </w:t>
      </w:r>
      <w:r w:rsidR="00B17151" w:rsidRPr="00586047">
        <w:rPr>
          <w:rFonts w:hint="cs"/>
          <w:rtl/>
        </w:rPr>
        <w:t>הס</w:t>
      </w:r>
      <w:r w:rsidR="00B17151" w:rsidRPr="00586047">
        <w:rPr>
          <w:rFonts w:hint="cs"/>
          <w:sz w:val="28"/>
          <w:rtl/>
        </w:rPr>
        <w:t xml:space="preserve">, בעמ' 460-461; </w:t>
      </w:r>
      <w:hyperlink r:id="rId15" w:history="1">
        <w:r w:rsidR="00B17151" w:rsidRPr="00586047">
          <w:rPr>
            <w:rStyle w:val="Hyperlink"/>
            <w:rFonts w:hint="cs"/>
            <w:color w:val="auto"/>
            <w:sz w:val="28"/>
            <w:rtl/>
          </w:rPr>
          <w:t>בג"ץ 2577/04</w:t>
        </w:r>
      </w:hyperlink>
      <w:r w:rsidR="00B17151" w:rsidRPr="00586047">
        <w:rPr>
          <w:rFonts w:hint="cs"/>
          <w:sz w:val="28"/>
          <w:rtl/>
        </w:rPr>
        <w:t xml:space="preserve"> </w:t>
      </w:r>
      <w:r w:rsidR="00B17151" w:rsidRPr="00586047">
        <w:rPr>
          <w:rFonts w:hint="cs"/>
          <w:rtl/>
        </w:rPr>
        <w:t xml:space="preserve">אל </w:t>
      </w:r>
      <w:proofErr w:type="spellStart"/>
      <w:r w:rsidR="00B17151" w:rsidRPr="00586047">
        <w:rPr>
          <w:rFonts w:hint="cs"/>
          <w:rtl/>
        </w:rPr>
        <w:t>ח'וואג'ה</w:t>
      </w:r>
      <w:proofErr w:type="spellEnd"/>
      <w:r w:rsidR="00B17151" w:rsidRPr="00586047">
        <w:rPr>
          <w:rFonts w:hint="cs"/>
          <w:rtl/>
        </w:rPr>
        <w:t xml:space="preserve"> נ' ראש הממשלה</w:t>
      </w:r>
      <w:r w:rsidR="00B17151" w:rsidRPr="00586047">
        <w:rPr>
          <w:rFonts w:hint="cs"/>
          <w:sz w:val="28"/>
          <w:rtl/>
        </w:rPr>
        <w:t xml:space="preserve"> (לא פורסם, 19.7.07) פסקה 31 (להלן: עניין </w:t>
      </w:r>
      <w:r w:rsidR="00B17151" w:rsidRPr="00586047">
        <w:rPr>
          <w:rFonts w:hint="cs"/>
          <w:rtl/>
        </w:rPr>
        <w:t xml:space="preserve">אל </w:t>
      </w:r>
      <w:proofErr w:type="spellStart"/>
      <w:r w:rsidR="00B17151" w:rsidRPr="00586047">
        <w:rPr>
          <w:rFonts w:hint="cs"/>
          <w:rtl/>
        </w:rPr>
        <w:t>ח'וואג'ה</w:t>
      </w:r>
      <w:proofErr w:type="spellEnd"/>
      <w:r w:rsidR="00B17151" w:rsidRPr="00586047">
        <w:rPr>
          <w:rFonts w:hint="cs"/>
          <w:sz w:val="28"/>
          <w:rtl/>
        </w:rPr>
        <w:t xml:space="preserve">); </w:t>
      </w:r>
      <w:hyperlink r:id="rId16" w:history="1">
        <w:r w:rsidR="00B17151" w:rsidRPr="00586047">
          <w:rPr>
            <w:rStyle w:val="Hyperlink"/>
            <w:rFonts w:hint="cs"/>
            <w:color w:val="auto"/>
            <w:sz w:val="28"/>
            <w:rtl/>
          </w:rPr>
          <w:t>בג"ץ 11344/03</w:t>
        </w:r>
      </w:hyperlink>
      <w:r w:rsidR="00B17151" w:rsidRPr="00586047">
        <w:rPr>
          <w:rFonts w:hint="cs"/>
          <w:sz w:val="28"/>
          <w:rtl/>
        </w:rPr>
        <w:t xml:space="preserve"> </w:t>
      </w:r>
      <w:r w:rsidR="00B17151" w:rsidRPr="00586047">
        <w:rPr>
          <w:rFonts w:hint="cs"/>
          <w:rtl/>
        </w:rPr>
        <w:t xml:space="preserve">סלים נ' מפקד כוחות צה"ל </w:t>
      </w:r>
      <w:proofErr w:type="spellStart"/>
      <w:r w:rsidR="00B17151" w:rsidRPr="00586047">
        <w:rPr>
          <w:rFonts w:hint="cs"/>
          <w:rtl/>
        </w:rPr>
        <w:t>באיו"ש</w:t>
      </w:r>
      <w:proofErr w:type="spellEnd"/>
      <w:r w:rsidR="00B17151" w:rsidRPr="00586047">
        <w:rPr>
          <w:rFonts w:hint="cs"/>
          <w:rtl/>
        </w:rPr>
        <w:t xml:space="preserve"> </w:t>
      </w:r>
      <w:r w:rsidR="00B17151" w:rsidRPr="00586047">
        <w:rPr>
          <w:rFonts w:hint="cs"/>
          <w:sz w:val="28"/>
          <w:rtl/>
        </w:rPr>
        <w:t xml:space="preserve">(לא פורסם, 9.9.2009); עניין </w:t>
      </w:r>
      <w:proofErr w:type="spellStart"/>
      <w:r w:rsidR="00B17151" w:rsidRPr="00586047">
        <w:rPr>
          <w:rFonts w:hint="cs"/>
          <w:rtl/>
        </w:rPr>
        <w:t>שעאר</w:t>
      </w:r>
      <w:proofErr w:type="spellEnd"/>
      <w:r w:rsidR="00B17151" w:rsidRPr="00586047">
        <w:rPr>
          <w:rFonts w:hint="cs"/>
          <w:sz w:val="28"/>
          <w:rtl/>
        </w:rPr>
        <w:t xml:space="preserve">, בעמ' 679; כן ראו </w:t>
      </w:r>
      <w:hyperlink r:id="rId17" w:history="1">
        <w:r w:rsidR="00B17151" w:rsidRPr="00586047">
          <w:rPr>
            <w:rStyle w:val="Hyperlink"/>
            <w:rFonts w:hint="cs"/>
            <w:color w:val="auto"/>
            <w:sz w:val="28"/>
            <w:rtl/>
          </w:rPr>
          <w:t>בג"ץ 9593/04</w:t>
        </w:r>
      </w:hyperlink>
      <w:r w:rsidR="00B17151" w:rsidRPr="00586047">
        <w:rPr>
          <w:rFonts w:hint="cs"/>
          <w:sz w:val="28"/>
          <w:rtl/>
        </w:rPr>
        <w:t xml:space="preserve"> </w:t>
      </w:r>
      <w:proofErr w:type="spellStart"/>
      <w:r w:rsidR="00B17151" w:rsidRPr="00586047">
        <w:rPr>
          <w:rFonts w:hint="cs"/>
          <w:rtl/>
        </w:rPr>
        <w:t>מוראר</w:t>
      </w:r>
      <w:proofErr w:type="spellEnd"/>
      <w:r w:rsidR="00B17151" w:rsidRPr="00586047">
        <w:rPr>
          <w:rFonts w:hint="cs"/>
          <w:rtl/>
        </w:rPr>
        <w:t xml:space="preserve">, ראש מועצת הכפר </w:t>
      </w:r>
      <w:proofErr w:type="spellStart"/>
      <w:r w:rsidR="00B17151" w:rsidRPr="00586047">
        <w:rPr>
          <w:rFonts w:hint="cs"/>
          <w:rtl/>
        </w:rPr>
        <w:t>יאנון</w:t>
      </w:r>
      <w:proofErr w:type="spellEnd"/>
      <w:r w:rsidR="00B17151" w:rsidRPr="00586047">
        <w:rPr>
          <w:rFonts w:hint="cs"/>
          <w:rtl/>
        </w:rPr>
        <w:t xml:space="preserve"> נ' מפקד כוחות צה"ל ביהודה ושומרון</w:t>
      </w:r>
      <w:r w:rsidR="00B17151" w:rsidRPr="00586047">
        <w:rPr>
          <w:rFonts w:hint="cs"/>
          <w:sz w:val="28"/>
          <w:rtl/>
        </w:rPr>
        <w:t xml:space="preserve">, פסקה 13 (לא פורסם, 26.6.06) (להלן: עניין </w:t>
      </w:r>
      <w:proofErr w:type="spellStart"/>
      <w:r w:rsidR="00B17151" w:rsidRPr="00586047">
        <w:rPr>
          <w:rFonts w:hint="cs"/>
          <w:rtl/>
        </w:rPr>
        <w:t>מוראר</w:t>
      </w:r>
      <w:proofErr w:type="spellEnd"/>
      <w:r w:rsidR="00B17151" w:rsidRPr="00586047">
        <w:rPr>
          <w:rFonts w:hint="cs"/>
          <w:sz w:val="28"/>
          <w:rtl/>
        </w:rPr>
        <w:t xml:space="preserve">); </w:t>
      </w:r>
      <w:hyperlink r:id="rId18" w:history="1">
        <w:r w:rsidR="00B17151" w:rsidRPr="00586047">
          <w:rPr>
            <w:rStyle w:val="Hyperlink"/>
            <w:rFonts w:hint="cs"/>
            <w:color w:val="auto"/>
            <w:sz w:val="28"/>
            <w:rtl/>
          </w:rPr>
          <w:t>בג"ץ 3680/05</w:t>
        </w:r>
      </w:hyperlink>
      <w:r w:rsidR="00B17151" w:rsidRPr="00586047">
        <w:rPr>
          <w:rFonts w:hint="cs"/>
          <w:sz w:val="28"/>
          <w:rtl/>
        </w:rPr>
        <w:t xml:space="preserve"> </w:t>
      </w:r>
      <w:r w:rsidR="00B17151" w:rsidRPr="00586047">
        <w:rPr>
          <w:rFonts w:hint="cs"/>
          <w:rtl/>
        </w:rPr>
        <w:t>ועד הישוב טנא נ' ראש ממשלת ישראל</w:t>
      </w:r>
      <w:r w:rsidR="00B17151" w:rsidRPr="00586047">
        <w:rPr>
          <w:rFonts w:hint="cs"/>
          <w:sz w:val="28"/>
          <w:rtl/>
        </w:rPr>
        <w:t xml:space="preserve">, פסקה 8 (לא פורסם, 1.2.06) (להלן: עניין </w:t>
      </w:r>
      <w:r w:rsidR="00B17151" w:rsidRPr="00586047">
        <w:rPr>
          <w:rFonts w:hint="cs"/>
          <w:rtl/>
        </w:rPr>
        <w:t>טנא</w:t>
      </w:r>
      <w:r w:rsidR="00B17151" w:rsidRPr="00586047">
        <w:rPr>
          <w:rFonts w:hint="cs"/>
          <w:sz w:val="28"/>
          <w:rtl/>
        </w:rPr>
        <w:t>)).</w:t>
      </w:r>
      <w:r w:rsidR="00311364" w:rsidRPr="00586047">
        <w:rPr>
          <w:rFonts w:hint="cs"/>
          <w:sz w:val="28"/>
          <w:rtl/>
        </w:rPr>
        <w:t>"</w:t>
      </w:r>
      <w:r w:rsidRPr="00586047">
        <w:rPr>
          <w:rStyle w:val="af2"/>
          <w:sz w:val="28"/>
          <w:rtl/>
        </w:rPr>
        <w:footnoteReference w:id="25"/>
      </w:r>
      <w:r w:rsidR="00B17151" w:rsidRPr="00586047">
        <w:rPr>
          <w:rFonts w:hint="cs"/>
          <w:sz w:val="28"/>
          <w:rtl/>
        </w:rPr>
        <w:t xml:space="preserve"> </w:t>
      </w:r>
      <w:r w:rsidRPr="00586047">
        <w:rPr>
          <w:rFonts w:hint="cs"/>
          <w:rtl/>
        </w:rPr>
        <w:t>(ההדגשה הוספה)</w:t>
      </w:r>
    </w:p>
    <w:p w:rsidR="00B17151" w:rsidRDefault="006E4470" w:rsidP="006E4470">
      <w:pPr>
        <w:pStyle w:val="af"/>
        <w:numPr>
          <w:ilvl w:val="0"/>
          <w:numId w:val="18"/>
        </w:numPr>
        <w:bidi/>
        <w:spacing w:line="360" w:lineRule="auto"/>
        <w:ind w:left="425" w:hanging="357"/>
        <w:contextualSpacing w:val="0"/>
        <w:rPr>
          <w:rFonts w:hint="cs"/>
        </w:rPr>
      </w:pPr>
      <w:r>
        <w:rPr>
          <w:rFonts w:hint="cs"/>
          <w:rtl/>
        </w:rPr>
        <w:t>טרם נבחן סוגיה זו, י</w:t>
      </w:r>
      <w:r w:rsidR="00311364">
        <w:rPr>
          <w:rFonts w:hint="cs"/>
          <w:rtl/>
        </w:rPr>
        <w:t xml:space="preserve">ש לשים לב </w:t>
      </w:r>
      <w:r>
        <w:rPr>
          <w:rFonts w:hint="cs"/>
          <w:rtl/>
        </w:rPr>
        <w:t xml:space="preserve">לכך </w:t>
      </w:r>
      <w:r w:rsidR="00311364">
        <w:rPr>
          <w:rFonts w:hint="cs"/>
          <w:rtl/>
        </w:rPr>
        <w:t xml:space="preserve">כי </w:t>
      </w:r>
      <w:r w:rsidR="00222B94">
        <w:rPr>
          <w:rFonts w:hint="cs"/>
          <w:rtl/>
        </w:rPr>
        <w:t>קיים</w:t>
      </w:r>
      <w:r w:rsidR="003A64DA">
        <w:rPr>
          <w:rFonts w:hint="cs"/>
          <w:rtl/>
        </w:rPr>
        <w:t xml:space="preserve"> הבדל בין המונח "אנשים מוגנים" על פי אמנת ג'נבה הרביעית ובין המונח "אוכלוסייה מקומית" על פי תקנות האג</w:t>
      </w:r>
      <w:r w:rsidR="00311364">
        <w:rPr>
          <w:rFonts w:hint="cs"/>
          <w:rtl/>
        </w:rPr>
        <w:t xml:space="preserve">, וכבר נקבע בעבר כי </w:t>
      </w:r>
      <w:r w:rsidR="006036F5">
        <w:rPr>
          <w:rFonts w:hint="cs"/>
          <w:rtl/>
        </w:rPr>
        <w:t>המתיישבים</w:t>
      </w:r>
      <w:r w:rsidR="00222B94">
        <w:rPr>
          <w:rFonts w:hint="cs"/>
          <w:rtl/>
        </w:rPr>
        <w:t>, בהיותם אזרחי מדינת ישראל,</w:t>
      </w:r>
      <w:r w:rsidR="00195B00">
        <w:rPr>
          <w:rStyle w:val="apple-style-span"/>
          <w:rFonts w:hint="cs"/>
          <w:rtl/>
        </w:rPr>
        <w:t xml:space="preserve"> אינם נמצאים בגדר הקטגוריה של "אנשים מוגנים".</w:t>
      </w:r>
      <w:r w:rsidR="00195B00" w:rsidRPr="00431F74">
        <w:rPr>
          <w:rStyle w:val="af2"/>
          <w:rtl/>
        </w:rPr>
        <w:footnoteReference w:id="26"/>
      </w:r>
      <w:r w:rsidR="00195B00" w:rsidRPr="00431F74">
        <w:rPr>
          <w:rStyle w:val="apple-style-span"/>
          <w:rFonts w:hint="cs"/>
          <w:rtl/>
        </w:rPr>
        <w:t xml:space="preserve"> </w:t>
      </w:r>
    </w:p>
    <w:p w:rsidR="00E21E25" w:rsidRDefault="002F2418" w:rsidP="006E4470">
      <w:pPr>
        <w:pStyle w:val="af"/>
        <w:numPr>
          <w:ilvl w:val="0"/>
          <w:numId w:val="18"/>
        </w:numPr>
        <w:bidi/>
        <w:spacing w:line="360" w:lineRule="auto"/>
        <w:ind w:left="425" w:hanging="357"/>
        <w:contextualSpacing w:val="0"/>
        <w:rPr>
          <w:rFonts w:hint="cs"/>
        </w:rPr>
      </w:pPr>
      <w:r>
        <w:rPr>
          <w:rFonts w:hint="cs"/>
          <w:rtl/>
        </w:rPr>
        <w:t xml:space="preserve">העמדה המקובלת היא שהמתיישבים הם חלק מן </w:t>
      </w:r>
      <w:r w:rsidR="00E21E25">
        <w:rPr>
          <w:rFonts w:hint="cs"/>
          <w:rtl/>
        </w:rPr>
        <w:t>"</w:t>
      </w:r>
      <w:r>
        <w:rPr>
          <w:rFonts w:hint="cs"/>
          <w:rtl/>
        </w:rPr>
        <w:t>האוכלוסייה המקומית</w:t>
      </w:r>
      <w:r w:rsidR="00E21E25">
        <w:rPr>
          <w:rFonts w:hint="cs"/>
          <w:rtl/>
        </w:rPr>
        <w:t>"</w:t>
      </w:r>
      <w:r>
        <w:rPr>
          <w:rFonts w:hint="cs"/>
          <w:rtl/>
        </w:rPr>
        <w:t xml:space="preserve"> לצרכי תקנה 43 לצורך הגנה על שלומם וביטחונם. </w:t>
      </w:r>
      <w:r w:rsidR="006E4470">
        <w:rPr>
          <w:rStyle w:val="apple-style-span"/>
          <w:rFonts w:hint="cs"/>
          <w:rtl/>
        </w:rPr>
        <w:t>הלכה היא כי המפקד הצבאי מוסמך לנקוט פעולות אלו, שנועדו להגן על שלומה ורווחתה של כלל האוכלוסייה בשטח</w:t>
      </w:r>
      <w:r w:rsidR="006E4470" w:rsidRPr="009E7FE9">
        <w:rPr>
          <w:rFonts w:hint="cs"/>
          <w:rtl/>
        </w:rPr>
        <w:t xml:space="preserve"> המצוי בשליטתו הצבאית</w:t>
      </w:r>
      <w:r w:rsidR="006E4470">
        <w:rPr>
          <w:rFonts w:hint="cs"/>
          <w:rtl/>
        </w:rPr>
        <w:t>,</w:t>
      </w:r>
      <w:r w:rsidR="006E4470" w:rsidRPr="009E7FE9">
        <w:rPr>
          <w:rStyle w:val="af2"/>
          <w:rtl/>
        </w:rPr>
        <w:footnoteReference w:id="27"/>
      </w:r>
      <w:r w:rsidR="006E4470">
        <w:rPr>
          <w:rFonts w:hint="cs"/>
          <w:rtl/>
        </w:rPr>
        <w:t xml:space="preserve"> כאשר </w:t>
      </w:r>
      <w:r w:rsidR="006E4470" w:rsidRPr="009E7FE9">
        <w:rPr>
          <w:rFonts w:hint="cs"/>
          <w:rtl/>
        </w:rPr>
        <w:t>תכלית</w:t>
      </w:r>
      <w:r w:rsidR="006E4470">
        <w:rPr>
          <w:rFonts w:hint="cs"/>
          <w:rtl/>
        </w:rPr>
        <w:t>ה של</w:t>
      </w:r>
      <w:r w:rsidR="006E4470" w:rsidRPr="009E7FE9">
        <w:rPr>
          <w:rFonts w:hint="cs"/>
          <w:rtl/>
        </w:rPr>
        <w:t xml:space="preserve"> סמכות זו היא </w:t>
      </w:r>
      <w:r w:rsidR="006E4470">
        <w:rPr>
          <w:rFonts w:hint="cs"/>
          <w:rtl/>
        </w:rPr>
        <w:t xml:space="preserve">ההגנה </w:t>
      </w:r>
      <w:r w:rsidR="006E4470" w:rsidRPr="009E7FE9">
        <w:rPr>
          <w:rFonts w:hint="cs"/>
          <w:rtl/>
        </w:rPr>
        <w:t>על צרכי הביטחון של האוכלוסייה.</w:t>
      </w:r>
      <w:r w:rsidR="006E4470" w:rsidRPr="009E7FE9">
        <w:rPr>
          <w:rStyle w:val="af2"/>
          <w:rtl/>
        </w:rPr>
        <w:footnoteReference w:id="28"/>
      </w:r>
      <w:r w:rsidR="006E4470" w:rsidRPr="009E7FE9">
        <w:rPr>
          <w:rFonts w:hint="cs"/>
          <w:rtl/>
        </w:rPr>
        <w:t xml:space="preserve"> </w:t>
      </w:r>
      <w:r>
        <w:rPr>
          <w:rFonts w:hint="cs"/>
          <w:rtl/>
        </w:rPr>
        <w:t>זו העמדה שעולה ב</w:t>
      </w:r>
      <w:r w:rsidR="00E21E25">
        <w:rPr>
          <w:rFonts w:hint="cs"/>
          <w:rtl/>
        </w:rPr>
        <w:t xml:space="preserve">מספר רב של </w:t>
      </w:r>
      <w:r>
        <w:rPr>
          <w:rFonts w:hint="cs"/>
          <w:rtl/>
        </w:rPr>
        <w:t xml:space="preserve">פסקי דין </w:t>
      </w:r>
      <w:r w:rsidR="00E21E25">
        <w:rPr>
          <w:rFonts w:hint="cs"/>
          <w:rtl/>
        </w:rPr>
        <w:t xml:space="preserve">אשר </w:t>
      </w:r>
      <w:r>
        <w:rPr>
          <w:rStyle w:val="apple-style-span"/>
          <w:rFonts w:hint="cs"/>
          <w:rtl/>
        </w:rPr>
        <w:t>עוסקים בפעולה של המפקד הצבאי שנועדה להגן על שלומם וביטחונם של המתיישבים,</w:t>
      </w:r>
      <w:r w:rsidR="00E21E25">
        <w:rPr>
          <w:rStyle w:val="af2"/>
          <w:rtl/>
        </w:rPr>
        <w:footnoteReference w:id="29"/>
      </w:r>
      <w:r>
        <w:rPr>
          <w:rStyle w:val="apple-style-span"/>
          <w:rFonts w:hint="cs"/>
          <w:rtl/>
        </w:rPr>
        <w:t xml:space="preserve"> כגון </w:t>
      </w:r>
      <w:r>
        <w:rPr>
          <w:rStyle w:val="apple-style-span"/>
          <w:rFonts w:hint="cs"/>
          <w:rtl/>
        </w:rPr>
        <w:lastRenderedPageBreak/>
        <w:t>העתירה שעסקה בסמכות המפקד הצבאי להקים גדר באזור מסוים</w:t>
      </w:r>
      <w:r>
        <w:rPr>
          <w:rStyle w:val="af2"/>
          <w:rtl/>
        </w:rPr>
        <w:footnoteReference w:id="30"/>
      </w:r>
      <w:r>
        <w:rPr>
          <w:rStyle w:val="apple-style-span"/>
          <w:rFonts w:hint="cs"/>
          <w:rtl/>
        </w:rPr>
        <w:t xml:space="preserve"> ועתירות רבות בעניין גדר ההפרדה.</w:t>
      </w:r>
      <w:r>
        <w:rPr>
          <w:rStyle w:val="af2"/>
          <w:rtl/>
        </w:rPr>
        <w:footnoteReference w:id="31"/>
      </w:r>
      <w:r>
        <w:rPr>
          <w:rStyle w:val="apple-style-span"/>
          <w:rFonts w:hint="cs"/>
          <w:rtl/>
        </w:rPr>
        <w:t xml:space="preserve"> </w:t>
      </w:r>
    </w:p>
    <w:p w:rsidR="000E1040" w:rsidRDefault="002340BD" w:rsidP="006C283C">
      <w:pPr>
        <w:pStyle w:val="af"/>
        <w:numPr>
          <w:ilvl w:val="0"/>
          <w:numId w:val="18"/>
        </w:numPr>
        <w:bidi/>
        <w:spacing w:line="360" w:lineRule="auto"/>
        <w:ind w:left="425" w:hanging="357"/>
        <w:contextualSpacing w:val="0"/>
        <w:rPr>
          <w:rStyle w:val="apple-style-span"/>
        </w:rPr>
      </w:pPr>
      <w:r>
        <w:rPr>
          <w:rFonts w:hint="cs"/>
          <w:rtl/>
        </w:rPr>
        <w:t xml:space="preserve">נוסף על כך יצוין, כי ברוב המוחלט של המקרים שנדונו בעבר בפני בג"ץ, בית המשפט העליון היה נכון לקבוע כי הפעולה של המפקד הצבאי עולה בקנה אחד עם תקנה 43 כאשר הפעולה נועדה לטובת </w:t>
      </w:r>
      <w:r w:rsidRPr="0076154F">
        <w:rPr>
          <w:rFonts w:hint="cs"/>
          <w:b/>
          <w:bCs/>
          <w:rtl/>
        </w:rPr>
        <w:t>כלל</w:t>
      </w:r>
      <w:r>
        <w:rPr>
          <w:rFonts w:hint="cs"/>
          <w:rtl/>
        </w:rPr>
        <w:t xml:space="preserve"> האוכלוסייה בשטח (כגון הפקעה של מקרקעין לטובת סלילת כביש, שישרת גם את ה"תושבים המוגנים",</w:t>
      </w:r>
      <w:r w:rsidRPr="00DD23A9">
        <w:rPr>
          <w:rStyle w:val="af2"/>
          <w:rtl/>
        </w:rPr>
        <w:footnoteReference w:id="32"/>
      </w:r>
      <w:r>
        <w:rPr>
          <w:rFonts w:hint="cs"/>
          <w:rtl/>
        </w:rPr>
        <w:t xml:space="preserve"> או חיבור לחשמל של כלל האוכלוסייה</w:t>
      </w:r>
      <w:r>
        <w:rPr>
          <w:rStyle w:val="af2"/>
          <w:rtl/>
        </w:rPr>
        <w:footnoteReference w:id="33"/>
      </w:r>
      <w:r>
        <w:rPr>
          <w:rFonts w:hint="cs"/>
          <w:rtl/>
        </w:rPr>
        <w:t>)</w:t>
      </w:r>
      <w:r w:rsidRPr="00DD23A9">
        <w:rPr>
          <w:rFonts w:hint="cs"/>
          <w:rtl/>
        </w:rPr>
        <w:t>. פסק הדין</w:t>
      </w:r>
      <w:r>
        <w:rPr>
          <w:rFonts w:hint="cs"/>
          <w:rtl/>
        </w:rPr>
        <w:t xml:space="preserve"> היחיד שמצאנו</w:t>
      </w:r>
      <w:r w:rsidRPr="00DD23A9">
        <w:rPr>
          <w:rFonts w:hint="cs"/>
          <w:rtl/>
        </w:rPr>
        <w:t xml:space="preserve"> שהכיר בפעולה ש</w:t>
      </w:r>
      <w:r>
        <w:rPr>
          <w:rFonts w:hint="cs"/>
          <w:rtl/>
        </w:rPr>
        <w:t>נעשתה לטובת המתיישבים בלבד ושלא לצורך הגנה על ביטחונם</w:t>
      </w:r>
      <w:r w:rsidRPr="00DD23A9">
        <w:rPr>
          <w:rFonts w:hint="cs"/>
          <w:rtl/>
        </w:rPr>
        <w:t>, עסק בהטלת ארנונה.</w:t>
      </w:r>
      <w:r w:rsidRPr="00DD23A9">
        <w:rPr>
          <w:rStyle w:val="af2"/>
          <w:rtl/>
        </w:rPr>
        <w:footnoteReference w:id="34"/>
      </w:r>
      <w:r w:rsidRPr="00DD23A9">
        <w:rPr>
          <w:rFonts w:hint="cs"/>
          <w:rtl/>
        </w:rPr>
        <w:t xml:space="preserve"> </w:t>
      </w:r>
    </w:p>
    <w:p w:rsidR="00CD02AF" w:rsidRDefault="002F2418" w:rsidP="00CF797C">
      <w:pPr>
        <w:pStyle w:val="af"/>
        <w:numPr>
          <w:ilvl w:val="0"/>
          <w:numId w:val="18"/>
        </w:numPr>
        <w:bidi/>
        <w:spacing w:line="360" w:lineRule="auto"/>
        <w:ind w:left="425" w:hanging="357"/>
        <w:contextualSpacing w:val="0"/>
        <w:rPr>
          <w:rFonts w:hint="cs"/>
        </w:rPr>
      </w:pPr>
      <w:r>
        <w:rPr>
          <w:rFonts w:hint="cs"/>
          <w:rtl/>
        </w:rPr>
        <w:t xml:space="preserve">מעבר לכך, </w:t>
      </w:r>
      <w:r w:rsidR="0016062E">
        <w:rPr>
          <w:rStyle w:val="apple-style-span"/>
          <w:rFonts w:hint="cs"/>
          <w:rtl/>
        </w:rPr>
        <w:t xml:space="preserve">אין הכרעה ברורה </w:t>
      </w:r>
      <w:r w:rsidR="00222B94">
        <w:rPr>
          <w:rStyle w:val="apple-style-span"/>
          <w:rFonts w:hint="cs"/>
          <w:rtl/>
        </w:rPr>
        <w:t>בשאלה האם ה</w:t>
      </w:r>
      <w:r w:rsidR="0016062E">
        <w:rPr>
          <w:rStyle w:val="apple-style-span"/>
          <w:rFonts w:hint="cs"/>
          <w:rtl/>
        </w:rPr>
        <w:t xml:space="preserve">מתיישבים </w:t>
      </w:r>
      <w:r w:rsidR="00222B94">
        <w:rPr>
          <w:rStyle w:val="apple-style-span"/>
          <w:rFonts w:hint="cs"/>
          <w:rtl/>
        </w:rPr>
        <w:t xml:space="preserve">הם </w:t>
      </w:r>
      <w:r w:rsidR="0016062E">
        <w:rPr>
          <w:rStyle w:val="apple-style-span"/>
          <w:rFonts w:hint="cs"/>
          <w:rtl/>
        </w:rPr>
        <w:t>חלק מהאוכלוסייה המקומית לצרכי תקנה 43</w:t>
      </w:r>
      <w:r w:rsidR="00187A98">
        <w:rPr>
          <w:rStyle w:val="apple-style-span"/>
          <w:rFonts w:hint="cs"/>
          <w:rtl/>
        </w:rPr>
        <w:t xml:space="preserve">, </w:t>
      </w:r>
      <w:r w:rsidR="006E4470">
        <w:rPr>
          <w:rStyle w:val="apple-style-span"/>
          <w:rFonts w:hint="cs"/>
          <w:rtl/>
        </w:rPr>
        <w:t>כאשר לא מדובר בפעולה שבוצעה לצורך הגנה על שלומם וביטחונם</w:t>
      </w:r>
      <w:r w:rsidR="002340BD">
        <w:rPr>
          <w:rStyle w:val="apple-style-span"/>
          <w:rFonts w:hint="cs"/>
          <w:rtl/>
        </w:rPr>
        <w:t xml:space="preserve"> או בפעולה שנעשתה לרווחת כלל האוכלוסייה</w:t>
      </w:r>
      <w:r w:rsidR="006E4470">
        <w:rPr>
          <w:rStyle w:val="apple-style-span"/>
          <w:rFonts w:hint="cs"/>
          <w:rtl/>
        </w:rPr>
        <w:t xml:space="preserve">. </w:t>
      </w:r>
      <w:r w:rsidR="0016062E">
        <w:rPr>
          <w:rStyle w:val="apple-style-span"/>
          <w:rFonts w:hint="cs"/>
          <w:rtl/>
        </w:rPr>
        <w:t xml:space="preserve">ישנם מלומדים </w:t>
      </w:r>
      <w:r w:rsidR="00F94491">
        <w:rPr>
          <w:rStyle w:val="apple-style-span"/>
          <w:rFonts w:hint="cs"/>
          <w:rtl/>
        </w:rPr>
        <w:t xml:space="preserve">שעולה מכתביהם כי </w:t>
      </w:r>
      <w:r w:rsidR="0016062E">
        <w:rPr>
          <w:rStyle w:val="apple-style-span"/>
          <w:rFonts w:hint="cs"/>
          <w:rtl/>
        </w:rPr>
        <w:t>יש להכיר בהם כחלק מהאוכלוסייה המקומית,</w:t>
      </w:r>
      <w:r w:rsidR="0016062E">
        <w:rPr>
          <w:rStyle w:val="af2"/>
          <w:rtl/>
        </w:rPr>
        <w:footnoteReference w:id="35"/>
      </w:r>
      <w:r w:rsidR="0016062E">
        <w:rPr>
          <w:rStyle w:val="apple-style-span"/>
          <w:rFonts w:hint="cs"/>
          <w:rtl/>
        </w:rPr>
        <w:t xml:space="preserve"> </w:t>
      </w:r>
      <w:r w:rsidR="002340BD">
        <w:rPr>
          <w:rStyle w:val="apple-style-span"/>
          <w:rFonts w:hint="cs"/>
          <w:rtl/>
        </w:rPr>
        <w:t>וייתכן כי זו תהיה אחת הטענות של הממשלה.</w:t>
      </w:r>
      <w:r w:rsidR="002340BD">
        <w:rPr>
          <w:rStyle w:val="af2"/>
          <w:rtl/>
        </w:rPr>
        <w:footnoteReference w:id="36"/>
      </w:r>
      <w:r w:rsidR="00CF797C">
        <w:rPr>
          <w:rFonts w:hint="cs"/>
          <w:rtl/>
        </w:rPr>
        <w:t xml:space="preserve"> </w:t>
      </w:r>
      <w:r w:rsidR="00CD02AF">
        <w:rPr>
          <w:rFonts w:hint="cs"/>
          <w:rtl/>
        </w:rPr>
        <w:t>מאידך גיסא, יש גם עמדות לפיהן המתיישבים לא נמנים על האוכלוסייה המקומית,</w:t>
      </w:r>
      <w:r w:rsidR="00CD02AF">
        <w:rPr>
          <w:rStyle w:val="af2"/>
          <w:rtl/>
        </w:rPr>
        <w:footnoteReference w:id="37"/>
      </w:r>
      <w:r w:rsidR="00CD02AF">
        <w:rPr>
          <w:rFonts w:hint="cs"/>
          <w:rtl/>
        </w:rPr>
        <w:t xml:space="preserve"> בין היתר בהסתמך על הרציונליים הכלליים של תקנות האג.</w:t>
      </w:r>
      <w:r w:rsidR="00CD02AF">
        <w:rPr>
          <w:rStyle w:val="af2"/>
          <w:rtl/>
        </w:rPr>
        <w:footnoteReference w:id="38"/>
      </w:r>
      <w:r w:rsidR="00CD02AF">
        <w:rPr>
          <w:rFonts w:hint="cs"/>
          <w:rtl/>
        </w:rPr>
        <w:t xml:space="preserve"> </w:t>
      </w:r>
      <w:r w:rsidR="00CD7620">
        <w:rPr>
          <w:rFonts w:hint="cs"/>
          <w:rtl/>
        </w:rPr>
        <w:t>רק פסקי דין אחדים הכירו במתיישבים כחלק מהאוכלוסייה המקומית גם לצרכים שאינם הגנה על שלומם וביטחונם, כגון סלילת כביש לרווחת כלל התושבים,</w:t>
      </w:r>
      <w:r w:rsidR="00CD7620">
        <w:rPr>
          <w:rStyle w:val="af2"/>
          <w:rtl/>
        </w:rPr>
        <w:footnoteReference w:id="39"/>
      </w:r>
      <w:r w:rsidR="00CD7620">
        <w:rPr>
          <w:rFonts w:hint="cs"/>
          <w:rtl/>
        </w:rPr>
        <w:t xml:space="preserve"> אספקת חשמל סדירה לרווחת</w:t>
      </w:r>
      <w:r w:rsidR="00334319">
        <w:rPr>
          <w:rFonts w:hint="cs"/>
          <w:rtl/>
        </w:rPr>
        <w:t>ה הכלכלית של</w:t>
      </w:r>
      <w:r w:rsidR="00CD7620">
        <w:rPr>
          <w:rFonts w:hint="cs"/>
          <w:rtl/>
        </w:rPr>
        <w:t xml:space="preserve"> כלל התושבים</w:t>
      </w:r>
      <w:r w:rsidR="001D76A5">
        <w:rPr>
          <w:rFonts w:hint="cs"/>
          <w:rtl/>
        </w:rPr>
        <w:t xml:space="preserve"> (עניין חברת החשמל)</w:t>
      </w:r>
      <w:r w:rsidR="00AD1525">
        <w:rPr>
          <w:rFonts w:hint="cs"/>
          <w:rtl/>
        </w:rPr>
        <w:t>,</w:t>
      </w:r>
      <w:r w:rsidR="00CD7620">
        <w:rPr>
          <w:rStyle w:val="af2"/>
          <w:rtl/>
        </w:rPr>
        <w:footnoteReference w:id="40"/>
      </w:r>
      <w:r w:rsidR="00CD7620">
        <w:rPr>
          <w:rFonts w:hint="cs"/>
          <w:rtl/>
        </w:rPr>
        <w:t xml:space="preserve"> הטלת ארנונה רק על התושבים היהודים</w:t>
      </w:r>
      <w:r w:rsidR="00AD1525">
        <w:rPr>
          <w:rFonts w:hint="cs"/>
          <w:rtl/>
        </w:rPr>
        <w:t>,</w:t>
      </w:r>
      <w:r w:rsidR="00CD7620">
        <w:rPr>
          <w:rStyle w:val="af2"/>
          <w:rtl/>
        </w:rPr>
        <w:footnoteReference w:id="41"/>
      </w:r>
      <w:r w:rsidR="00AD1525">
        <w:rPr>
          <w:rFonts w:hint="cs"/>
          <w:rtl/>
        </w:rPr>
        <w:t xml:space="preserve"> ו</w:t>
      </w:r>
      <w:r w:rsidR="005D6682">
        <w:rPr>
          <w:rFonts w:hint="cs"/>
          <w:rtl/>
        </w:rPr>
        <w:t>בשני מקרים בניית יישובים ישראליים ופיתוחם</w:t>
      </w:r>
      <w:r w:rsidR="00AD1525">
        <w:rPr>
          <w:rFonts w:hint="cs"/>
          <w:rtl/>
        </w:rPr>
        <w:t>.</w:t>
      </w:r>
      <w:r w:rsidR="00AD1525">
        <w:rPr>
          <w:rStyle w:val="af2"/>
          <w:rtl/>
        </w:rPr>
        <w:footnoteReference w:id="42"/>
      </w:r>
    </w:p>
    <w:p w:rsidR="00187A98" w:rsidRDefault="00187A98" w:rsidP="00586047">
      <w:pPr>
        <w:pStyle w:val="af"/>
        <w:numPr>
          <w:ilvl w:val="0"/>
          <w:numId w:val="18"/>
        </w:numPr>
        <w:bidi/>
        <w:spacing w:line="360" w:lineRule="auto"/>
        <w:ind w:left="425" w:hanging="357"/>
        <w:contextualSpacing w:val="0"/>
        <w:rPr>
          <w:rFonts w:hint="cs"/>
        </w:rPr>
      </w:pPr>
      <w:r>
        <w:rPr>
          <w:rFonts w:hint="cs"/>
          <w:rtl/>
        </w:rPr>
        <w:lastRenderedPageBreak/>
        <w:t>בשאלה האם ניתן להפקיע מקרקעין עבור המתיישבים עסקה חוות הדעת של פרופ' יצחק זמיר עת שימש כיועץ המשפטי לממשלה (חוות דעת בנושא החוק הירדני בדבר רכישת קרקעות לצורכי ציבור, מתאריך 12.5.80).</w:t>
      </w:r>
      <w:r>
        <w:rPr>
          <w:rStyle w:val="af2"/>
          <w:rtl/>
        </w:rPr>
        <w:footnoteReference w:id="43"/>
      </w:r>
      <w:r>
        <w:rPr>
          <w:rFonts w:hint="cs"/>
          <w:rtl/>
        </w:rPr>
        <w:t xml:space="preserve"> </w:t>
      </w:r>
      <w:r w:rsidR="001D76A5">
        <w:rPr>
          <w:rFonts w:hint="cs"/>
          <w:rtl/>
        </w:rPr>
        <w:t xml:space="preserve">עמדתו של פרופ' זמיר הייתה כי לא ניתן לראות את המתיישבים כאוכלוסייה מקומית </w:t>
      </w:r>
      <w:r w:rsidR="005D6682">
        <w:rPr>
          <w:rFonts w:hint="cs"/>
          <w:rtl/>
        </w:rPr>
        <w:t>לצורך הקמת יישובים או הרחבתם</w:t>
      </w:r>
      <w:r w:rsidR="001D76A5">
        <w:rPr>
          <w:rFonts w:hint="cs"/>
          <w:rtl/>
        </w:rPr>
        <w:t xml:space="preserve">, </w:t>
      </w:r>
      <w:r w:rsidR="005D6682">
        <w:rPr>
          <w:rFonts w:hint="cs"/>
          <w:rtl/>
        </w:rPr>
        <w:t xml:space="preserve">אך ייתכן וניתן </w:t>
      </w:r>
      <w:r w:rsidR="001D76A5">
        <w:rPr>
          <w:rFonts w:hint="cs"/>
          <w:rtl/>
        </w:rPr>
        <w:t>להתייחס אל</w:t>
      </w:r>
      <w:r w:rsidR="00D2414D">
        <w:rPr>
          <w:rFonts w:hint="cs"/>
          <w:rtl/>
        </w:rPr>
        <w:t>יהם</w:t>
      </w:r>
      <w:r w:rsidR="001D76A5">
        <w:rPr>
          <w:rFonts w:hint="cs"/>
          <w:rtl/>
        </w:rPr>
        <w:t xml:space="preserve"> כחלק מן האוכלוסייה המקומית במקרים בהם נדרשת</w:t>
      </w:r>
      <w:r w:rsidR="005D6682">
        <w:rPr>
          <w:rFonts w:hint="cs"/>
          <w:rtl/>
        </w:rPr>
        <w:t xml:space="preserve"> הפקעה עבור תשתיות של </w:t>
      </w:r>
      <w:r w:rsidR="00D2414D">
        <w:rPr>
          <w:rFonts w:hint="cs"/>
          <w:rtl/>
        </w:rPr>
        <w:t>ישובים</w:t>
      </w:r>
      <w:r w:rsidR="005D6682">
        <w:rPr>
          <w:rFonts w:hint="cs"/>
          <w:rtl/>
        </w:rPr>
        <w:t xml:space="preserve"> קיימים, </w:t>
      </w:r>
      <w:r w:rsidR="00D2414D">
        <w:rPr>
          <w:rFonts w:hint="cs"/>
          <w:rtl/>
        </w:rPr>
        <w:t>לדוגמא</w:t>
      </w:r>
      <w:r w:rsidR="001D76A5">
        <w:rPr>
          <w:rFonts w:hint="cs"/>
          <w:rtl/>
        </w:rPr>
        <w:t xml:space="preserve"> "הפקעה של קרקע פרטית לצרכי קו חשמל, אספקת מים, דרך ציבורית וכיוצאה בזה, במיוחד כשהם באים לשמש את כלל האוכלוסייה באזור" (עמ' 7 לחוות הדעת).</w:t>
      </w:r>
      <w:r w:rsidR="00586047">
        <w:rPr>
          <w:rFonts w:hint="cs"/>
          <w:rtl/>
        </w:rPr>
        <w:t xml:space="preserve"> נוכח עמדה זו, העמדה העקרונית הייתה כי יש לשאוף ולצמצם את השימוש בסמכות ההפקעה עבור המתיישבים הישראליים אך למקרים חריגים,</w:t>
      </w:r>
      <w:r w:rsidR="00586047">
        <w:rPr>
          <w:rStyle w:val="af2"/>
          <w:rtl/>
        </w:rPr>
        <w:footnoteReference w:id="44"/>
      </w:r>
      <w:r w:rsidR="00586047">
        <w:rPr>
          <w:rFonts w:hint="cs"/>
          <w:rtl/>
        </w:rPr>
        <w:t xml:space="preserve"> בהם לא קיימת דרך חלופית אחרת להשגת הצורך שביסוד ההפקעה.</w:t>
      </w:r>
    </w:p>
    <w:p w:rsidR="002340BD" w:rsidRDefault="002340BD" w:rsidP="00683601">
      <w:pPr>
        <w:pStyle w:val="af"/>
        <w:numPr>
          <w:ilvl w:val="0"/>
          <w:numId w:val="18"/>
        </w:numPr>
        <w:bidi/>
        <w:spacing w:line="360" w:lineRule="auto"/>
        <w:ind w:left="425" w:hanging="357"/>
        <w:contextualSpacing w:val="0"/>
        <w:rPr>
          <w:rFonts w:hint="cs"/>
        </w:rPr>
      </w:pPr>
      <w:r>
        <w:rPr>
          <w:rStyle w:val="apple-style-span"/>
          <w:rFonts w:hint="cs"/>
          <w:rtl/>
        </w:rPr>
        <w:t xml:space="preserve">יובהר כבר עתה, </w:t>
      </w:r>
      <w:r>
        <w:rPr>
          <w:rFonts w:hint="cs"/>
          <w:rtl/>
        </w:rPr>
        <w:t xml:space="preserve">כי אנו סבורים כי אין צורך שהיועץ המשפטי לממשלה יכריע בשאלה הכללית האם ניתן להגדיר את המתיישבים כחלק מהאוכלוסייה המקומית </w:t>
      </w:r>
      <w:r w:rsidR="00A55C59">
        <w:rPr>
          <w:rFonts w:hint="cs"/>
          <w:rtl/>
        </w:rPr>
        <w:t xml:space="preserve">בנסיבות </w:t>
      </w:r>
      <w:r>
        <w:rPr>
          <w:rFonts w:hint="cs"/>
          <w:rtl/>
        </w:rPr>
        <w:t xml:space="preserve">בהן הפעולה נעשתה לטובת צורך של המתיישבים שאיננו הצורך להגן על שלומם וביטחונם, </w:t>
      </w:r>
      <w:r w:rsidR="00A55C59">
        <w:rPr>
          <w:rFonts w:hint="cs"/>
          <w:rtl/>
        </w:rPr>
        <w:t>כאשר</w:t>
      </w:r>
      <w:r>
        <w:rPr>
          <w:rFonts w:hint="cs"/>
          <w:rtl/>
        </w:rPr>
        <w:t xml:space="preserve"> הפעולה לא פוגעת ב"תושבים המוגנים" </w:t>
      </w:r>
      <w:r w:rsidR="00683601">
        <w:rPr>
          <w:rFonts w:hint="cs"/>
          <w:rtl/>
        </w:rPr>
        <w:t>או שהפעולה פוגעת אך הפגיעה ה</w:t>
      </w:r>
      <w:r>
        <w:rPr>
          <w:rFonts w:hint="cs"/>
          <w:rtl/>
        </w:rPr>
        <w:t>ינה מידתית.</w:t>
      </w:r>
    </w:p>
    <w:p w:rsidR="002319F7" w:rsidRDefault="006E4470" w:rsidP="0075335D">
      <w:pPr>
        <w:pStyle w:val="af"/>
        <w:numPr>
          <w:ilvl w:val="0"/>
          <w:numId w:val="18"/>
        </w:numPr>
        <w:bidi/>
        <w:spacing w:line="360" w:lineRule="auto"/>
        <w:ind w:left="425" w:hanging="357"/>
        <w:contextualSpacing w:val="0"/>
        <w:rPr>
          <w:rStyle w:val="apple-style-span"/>
          <w:rFonts w:hint="cs"/>
        </w:rPr>
      </w:pPr>
      <w:r>
        <w:rPr>
          <w:rFonts w:hint="cs"/>
          <w:rtl/>
        </w:rPr>
        <w:t xml:space="preserve">זאת, כיוון </w:t>
      </w:r>
      <w:r w:rsidR="002319F7">
        <w:rPr>
          <w:rStyle w:val="apple-style-span"/>
          <w:rFonts w:hint="cs"/>
          <w:rtl/>
        </w:rPr>
        <w:t>ש</w:t>
      </w:r>
      <w:r w:rsidR="00683601">
        <w:rPr>
          <w:rStyle w:val="apple-style-span"/>
          <w:rFonts w:hint="cs"/>
          <w:rtl/>
        </w:rPr>
        <w:t xml:space="preserve">בעניינו, </w:t>
      </w:r>
      <w:r w:rsidR="002319F7">
        <w:rPr>
          <w:rStyle w:val="apple-style-span"/>
          <w:rFonts w:hint="cs"/>
          <w:rtl/>
        </w:rPr>
        <w:t>הפעולות האופרטיביות הנובעות מחוק ההסדרה,</w:t>
      </w:r>
      <w:r w:rsidR="002319F7">
        <w:rPr>
          <w:rStyle w:val="af2"/>
          <w:rtl/>
        </w:rPr>
        <w:footnoteReference w:id="45"/>
      </w:r>
      <w:r w:rsidR="002319F7">
        <w:rPr>
          <w:rStyle w:val="apple-style-span"/>
          <w:rFonts w:hint="cs"/>
          <w:rtl/>
        </w:rPr>
        <w:t xml:space="preserve"> </w:t>
      </w:r>
      <w:r w:rsidR="002340BD">
        <w:rPr>
          <w:rStyle w:val="apple-style-span"/>
          <w:rFonts w:hint="cs"/>
          <w:rtl/>
        </w:rPr>
        <w:t xml:space="preserve">לא רק שהן נעשות לטובת המתיישבים בלבד, אלא שהן </w:t>
      </w:r>
      <w:r w:rsidR="0076154F">
        <w:rPr>
          <w:rStyle w:val="apple-style-span"/>
          <w:rFonts w:hint="cs"/>
          <w:rtl/>
        </w:rPr>
        <w:t xml:space="preserve">פוגעות פגיעה </w:t>
      </w:r>
      <w:r w:rsidR="0076154F" w:rsidRPr="0076154F">
        <w:rPr>
          <w:rStyle w:val="apple-style-span"/>
          <w:rFonts w:hint="cs"/>
          <w:b/>
          <w:bCs/>
          <w:rtl/>
        </w:rPr>
        <w:t>בלתי</w:t>
      </w:r>
      <w:r w:rsidR="0076154F">
        <w:rPr>
          <w:rStyle w:val="apple-style-span"/>
          <w:rFonts w:hint="cs"/>
          <w:rtl/>
        </w:rPr>
        <w:t xml:space="preserve"> מידתית בזכות </w:t>
      </w:r>
      <w:r w:rsidR="002A1168">
        <w:rPr>
          <w:rStyle w:val="apple-style-span"/>
          <w:rFonts w:hint="cs"/>
          <w:rtl/>
        </w:rPr>
        <w:t>ה</w:t>
      </w:r>
      <w:r w:rsidR="0076154F">
        <w:rPr>
          <w:rStyle w:val="apple-style-span"/>
          <w:rFonts w:hint="cs"/>
          <w:rtl/>
        </w:rPr>
        <w:t>קניין</w:t>
      </w:r>
      <w:r w:rsidR="002A1168">
        <w:rPr>
          <w:rStyle w:val="apple-style-span"/>
          <w:rFonts w:hint="cs"/>
          <w:rtl/>
        </w:rPr>
        <w:t xml:space="preserve"> של "התושבים המ</w:t>
      </w:r>
      <w:r w:rsidR="002A1168" w:rsidRPr="0075335D">
        <w:rPr>
          <w:rStyle w:val="apple-style-span"/>
          <w:rFonts w:hint="cs"/>
          <w:rtl/>
        </w:rPr>
        <w:t>וגנים"</w:t>
      </w:r>
      <w:r w:rsidR="002319F7" w:rsidRPr="0075335D">
        <w:rPr>
          <w:rStyle w:val="apple-style-span"/>
          <w:rFonts w:hint="cs"/>
          <w:rtl/>
        </w:rPr>
        <w:t xml:space="preserve">. </w:t>
      </w:r>
      <w:r w:rsidR="0075335D" w:rsidRPr="0075335D">
        <w:rPr>
          <w:rFonts w:hint="cs"/>
          <w:rtl/>
        </w:rPr>
        <w:t>על פי הפסיקה, יש לבחון את הפעולה שהמפקד הצבאי נדרש לבצע בכל מקרה לגופו, על פי הנסיבות המיוחדות של כל מקרה ומקרה.</w:t>
      </w:r>
      <w:r w:rsidR="0075335D" w:rsidRPr="0075335D">
        <w:rPr>
          <w:rStyle w:val="af2"/>
          <w:rtl/>
        </w:rPr>
        <w:footnoteReference w:id="46"/>
      </w:r>
      <w:r w:rsidR="0075335D">
        <w:rPr>
          <w:rFonts w:hint="cs"/>
          <w:rtl/>
        </w:rPr>
        <w:t xml:space="preserve"> </w:t>
      </w:r>
      <w:r w:rsidR="0075335D">
        <w:rPr>
          <w:rStyle w:val="apple-style-span"/>
          <w:rFonts w:hint="cs"/>
          <w:rtl/>
        </w:rPr>
        <w:t>בעניין שלפנינו</w:t>
      </w:r>
      <w:r w:rsidR="002319F7">
        <w:rPr>
          <w:rStyle w:val="apple-style-span"/>
          <w:rFonts w:hint="cs"/>
          <w:rtl/>
        </w:rPr>
        <w:t xml:space="preserve">, </w:t>
      </w:r>
      <w:r w:rsidR="00E9062A">
        <w:rPr>
          <w:rStyle w:val="apple-style-span"/>
          <w:rFonts w:hint="cs"/>
          <w:rtl/>
        </w:rPr>
        <w:t>המדיניות שכבר נקבעה בעבר</w:t>
      </w:r>
      <w:r w:rsidR="00A53A6F">
        <w:rPr>
          <w:rStyle w:val="apple-style-span"/>
          <w:rFonts w:hint="cs"/>
          <w:rtl/>
        </w:rPr>
        <w:t xml:space="preserve"> מקובלת עלינו, ו</w:t>
      </w:r>
      <w:r w:rsidR="00E9062A">
        <w:rPr>
          <w:rStyle w:val="apple-style-span"/>
          <w:rFonts w:hint="cs"/>
          <w:rtl/>
        </w:rPr>
        <w:t>היא ש</w:t>
      </w:r>
      <w:r w:rsidR="002319F7">
        <w:rPr>
          <w:rStyle w:val="apple-style-span"/>
          <w:rFonts w:hint="cs"/>
          <w:rtl/>
        </w:rPr>
        <w:t>יש לשאוף ולצמצם את השימוש בסמכות ההפקעה עבור המתיישבים למקרים חריגים בלבד</w:t>
      </w:r>
      <w:r w:rsidR="00FF2592">
        <w:rPr>
          <w:rStyle w:val="apple-style-span"/>
          <w:rFonts w:hint="cs"/>
          <w:rtl/>
        </w:rPr>
        <w:t xml:space="preserve"> (ולא לצורך הקמה או הרחבה של יישובים)</w:t>
      </w:r>
      <w:r w:rsidR="002319F7">
        <w:rPr>
          <w:rStyle w:val="apple-style-span"/>
          <w:rFonts w:hint="cs"/>
          <w:rtl/>
        </w:rPr>
        <w:t xml:space="preserve">, </w:t>
      </w:r>
      <w:r w:rsidR="00FF2592">
        <w:rPr>
          <w:rStyle w:val="apple-style-span"/>
          <w:rFonts w:hint="cs"/>
          <w:rtl/>
        </w:rPr>
        <w:t xml:space="preserve">ורק כאשר </w:t>
      </w:r>
      <w:r w:rsidR="002319F7">
        <w:rPr>
          <w:rStyle w:val="apple-style-span"/>
          <w:rFonts w:hint="cs"/>
          <w:rtl/>
        </w:rPr>
        <w:t>אין דרך חלופית</w:t>
      </w:r>
      <w:r w:rsidR="00FF2592">
        <w:rPr>
          <w:rStyle w:val="apple-style-span"/>
          <w:rFonts w:hint="cs"/>
          <w:rtl/>
        </w:rPr>
        <w:t xml:space="preserve"> להשיג את יעד ההפקעה</w:t>
      </w:r>
      <w:r w:rsidR="002319F7">
        <w:rPr>
          <w:rStyle w:val="apple-style-span"/>
          <w:rFonts w:hint="cs"/>
          <w:rtl/>
        </w:rPr>
        <w:t xml:space="preserve">. אנו סבורים כי </w:t>
      </w:r>
      <w:r w:rsidR="00A53A6F">
        <w:rPr>
          <w:rStyle w:val="apple-style-span"/>
          <w:rFonts w:hint="cs"/>
          <w:rtl/>
        </w:rPr>
        <w:t>עמדת היועץ המשפטי לממשלה צריכה להיות ש</w:t>
      </w:r>
      <w:r w:rsidR="002319F7">
        <w:rPr>
          <w:rStyle w:val="apple-style-span"/>
          <w:rFonts w:hint="cs"/>
          <w:rtl/>
        </w:rPr>
        <w:t xml:space="preserve">חוק ההסדרה, </w:t>
      </w:r>
      <w:r w:rsidR="00683601">
        <w:rPr>
          <w:rStyle w:val="apple-style-span"/>
          <w:rFonts w:hint="cs"/>
          <w:rtl/>
        </w:rPr>
        <w:t xml:space="preserve">בהיותו גורף ובלתי מידתי, </w:t>
      </w:r>
      <w:r w:rsidR="002319F7">
        <w:rPr>
          <w:rStyle w:val="apple-style-span"/>
          <w:rFonts w:hint="cs"/>
          <w:rtl/>
        </w:rPr>
        <w:t xml:space="preserve">אינו </w:t>
      </w:r>
      <w:r w:rsidR="00FF2592">
        <w:rPr>
          <w:rStyle w:val="apple-style-span"/>
          <w:rFonts w:hint="cs"/>
          <w:rtl/>
        </w:rPr>
        <w:t xml:space="preserve">עולה </w:t>
      </w:r>
      <w:r w:rsidR="002319F7">
        <w:rPr>
          <w:rStyle w:val="apple-style-span"/>
          <w:rFonts w:hint="cs"/>
          <w:rtl/>
        </w:rPr>
        <w:t>בקנה אחד עם מדיניות זו.</w:t>
      </w:r>
      <w:r w:rsidR="00A53A6F">
        <w:rPr>
          <w:rStyle w:val="apple-style-span"/>
          <w:rFonts w:hint="cs"/>
          <w:rtl/>
        </w:rPr>
        <w:t xml:space="preserve"> לפיכך, לא ניתן להכיר באוכלוסיית המתיישבים כחלק מהאוכלוסייה המקומית לצורך החוק.</w:t>
      </w:r>
      <w:r w:rsidR="002319F7">
        <w:rPr>
          <w:rStyle w:val="apple-style-span"/>
          <w:rFonts w:hint="cs"/>
          <w:rtl/>
        </w:rPr>
        <w:t xml:space="preserve"> </w:t>
      </w:r>
    </w:p>
    <w:p w:rsidR="006C283C" w:rsidRDefault="006C283C" w:rsidP="006C283C">
      <w:pPr>
        <w:pStyle w:val="af"/>
        <w:numPr>
          <w:ilvl w:val="0"/>
          <w:numId w:val="18"/>
        </w:numPr>
        <w:bidi/>
        <w:spacing w:line="360" w:lineRule="auto"/>
        <w:ind w:left="425" w:hanging="357"/>
        <w:contextualSpacing w:val="0"/>
        <w:rPr>
          <w:rStyle w:val="apple-style-span"/>
          <w:rFonts w:hint="cs"/>
        </w:rPr>
      </w:pPr>
      <w:r>
        <w:rPr>
          <w:rFonts w:hint="cs"/>
          <w:rtl/>
        </w:rPr>
        <w:t xml:space="preserve">בשולי הדברים, </w:t>
      </w:r>
      <w:r w:rsidRPr="00A671A1">
        <w:rPr>
          <w:rFonts w:hint="cs"/>
          <w:rtl/>
        </w:rPr>
        <w:t>ניתן</w:t>
      </w:r>
      <w:r>
        <w:rPr>
          <w:rStyle w:val="apple-style-span"/>
          <w:rFonts w:hint="cs"/>
          <w:rtl/>
        </w:rPr>
        <w:t xml:space="preserve"> אף לטעון כי יישום החוק מפר את החובה של המפקד צבאי להבטיח את הסדר והחיים הציבוריים במובן הכלכלי, נוכח הפגיעה הקשה בזכות הקניין של בעלי הקרקעות הפלסטיניים באזור.</w:t>
      </w:r>
    </w:p>
    <w:p w:rsidR="00195B00" w:rsidRDefault="00315464" w:rsidP="00CC21C7">
      <w:pPr>
        <w:pStyle w:val="af"/>
        <w:numPr>
          <w:ilvl w:val="0"/>
          <w:numId w:val="18"/>
        </w:numPr>
        <w:bidi/>
        <w:spacing w:line="360" w:lineRule="auto"/>
        <w:ind w:left="425" w:hanging="357"/>
        <w:contextualSpacing w:val="0"/>
      </w:pPr>
      <w:r>
        <w:rPr>
          <w:rStyle w:val="apple-style-span"/>
          <w:rFonts w:hint="cs"/>
          <w:rtl/>
        </w:rPr>
        <w:t>מעבר ל</w:t>
      </w:r>
      <w:r w:rsidR="00D94F60">
        <w:rPr>
          <w:rStyle w:val="apple-style-span"/>
          <w:rFonts w:hint="cs"/>
          <w:rtl/>
        </w:rPr>
        <w:t xml:space="preserve">כך, </w:t>
      </w:r>
      <w:r w:rsidR="00D94F60">
        <w:rPr>
          <w:rFonts w:hint="cs"/>
          <w:rtl/>
        </w:rPr>
        <w:t xml:space="preserve">גם אם ייקבע כי המפקד הצבאי רשאי תאורטית לפעול לטובת אוכלוסיית המתיישבים, </w:t>
      </w:r>
      <w:r w:rsidR="00D94F60">
        <w:rPr>
          <w:rStyle w:val="apple-style-span"/>
          <w:rFonts w:hint="cs"/>
          <w:rtl/>
        </w:rPr>
        <w:t xml:space="preserve">ניתן לטעון כי החוק סותר את תקנה 43 גם בכך שהוא </w:t>
      </w:r>
      <w:r>
        <w:rPr>
          <w:rStyle w:val="apple-style-span"/>
          <w:rFonts w:hint="cs"/>
          <w:rtl/>
        </w:rPr>
        <w:t>משנה את הדין הקיים באזור,</w:t>
      </w:r>
      <w:r w:rsidR="00CC21C7">
        <w:rPr>
          <w:rStyle w:val="af2"/>
          <w:rtl/>
        </w:rPr>
        <w:footnoteReference w:id="47"/>
      </w:r>
      <w:r>
        <w:rPr>
          <w:rStyle w:val="apple-style-span"/>
          <w:rFonts w:hint="cs"/>
          <w:rtl/>
        </w:rPr>
        <w:t xml:space="preserve"> ללא </w:t>
      </w:r>
      <w:r w:rsidR="00CC21C7">
        <w:rPr>
          <w:rStyle w:val="apple-style-span"/>
          <w:rFonts w:hint="cs"/>
          <w:rtl/>
        </w:rPr>
        <w:t>הצדקה על בסיס קיומו של צורך</w:t>
      </w:r>
      <w:r>
        <w:rPr>
          <w:rStyle w:val="apple-style-span"/>
          <w:rFonts w:hint="cs"/>
          <w:rtl/>
        </w:rPr>
        <w:t xml:space="preserve"> הכרחי </w:t>
      </w:r>
      <w:r w:rsidR="00CC21C7">
        <w:rPr>
          <w:rStyle w:val="apple-style-span"/>
          <w:rFonts w:hint="cs"/>
          <w:rtl/>
        </w:rPr>
        <w:t>שנועד לה</w:t>
      </w:r>
      <w:r w:rsidR="0062372E">
        <w:rPr>
          <w:rFonts w:hint="cs"/>
          <w:rtl/>
        </w:rPr>
        <w:t>בט</w:t>
      </w:r>
      <w:r w:rsidR="00CC21C7">
        <w:rPr>
          <w:rFonts w:hint="cs"/>
          <w:rtl/>
        </w:rPr>
        <w:t>י</w:t>
      </w:r>
      <w:r w:rsidR="0062372E">
        <w:rPr>
          <w:rFonts w:hint="cs"/>
          <w:rtl/>
        </w:rPr>
        <w:t>ח</w:t>
      </w:r>
      <w:r w:rsidR="00CC21C7">
        <w:rPr>
          <w:rFonts w:hint="cs"/>
          <w:rtl/>
        </w:rPr>
        <w:t xml:space="preserve"> את</w:t>
      </w:r>
      <w:r w:rsidR="0062372E">
        <w:rPr>
          <w:rFonts w:hint="cs"/>
          <w:rtl/>
        </w:rPr>
        <w:t xml:space="preserve"> </w:t>
      </w:r>
      <w:r w:rsidR="002B416B">
        <w:rPr>
          <w:rFonts w:hint="cs"/>
          <w:rtl/>
        </w:rPr>
        <w:t>הסדר ו</w:t>
      </w:r>
      <w:r w:rsidR="0062372E">
        <w:rPr>
          <w:rFonts w:hint="cs"/>
          <w:rtl/>
        </w:rPr>
        <w:t>החיים הציבוריים</w:t>
      </w:r>
      <w:r w:rsidR="00CC21C7">
        <w:rPr>
          <w:rFonts w:hint="cs"/>
          <w:rtl/>
        </w:rPr>
        <w:t xml:space="preserve"> של כלל האוכלוסייה</w:t>
      </w:r>
      <w:r w:rsidR="0062372E" w:rsidRPr="004C09C9">
        <w:rPr>
          <w:rFonts w:hint="cs"/>
          <w:rtl/>
        </w:rPr>
        <w:t>.</w:t>
      </w:r>
      <w:r w:rsidR="0062372E" w:rsidRPr="004C09C9">
        <w:rPr>
          <w:rStyle w:val="af2"/>
          <w:rtl/>
        </w:rPr>
        <w:footnoteReference w:id="48"/>
      </w:r>
      <w:r w:rsidR="0062372E">
        <w:rPr>
          <w:rFonts w:hint="cs"/>
          <w:rtl/>
        </w:rPr>
        <w:t xml:space="preserve"> </w:t>
      </w:r>
      <w:r w:rsidR="002B416B">
        <w:rPr>
          <w:rFonts w:hint="cs"/>
          <w:rtl/>
        </w:rPr>
        <w:lastRenderedPageBreak/>
        <w:t xml:space="preserve">בחינה זו תעשה בשים לב לעובדה כי </w:t>
      </w:r>
      <w:proofErr w:type="spellStart"/>
      <w:r w:rsidR="00195B00">
        <w:rPr>
          <w:rFonts w:hint="cs"/>
          <w:rtl/>
        </w:rPr>
        <w:t>באיו"ש</w:t>
      </w:r>
      <w:proofErr w:type="spellEnd"/>
      <w:r w:rsidR="00195B00">
        <w:rPr>
          <w:rFonts w:hint="cs"/>
          <w:rtl/>
        </w:rPr>
        <w:t xml:space="preserve"> מתקיים </w:t>
      </w:r>
      <w:r w:rsidR="00195B00" w:rsidRPr="006F22D9">
        <w:rPr>
          <w:rFonts w:hint="cs"/>
          <w:rtl/>
        </w:rPr>
        <w:t>ממשל צבאי ארוך מועד.</w:t>
      </w:r>
      <w:r w:rsidR="00195B00">
        <w:rPr>
          <w:rStyle w:val="af2"/>
          <w:rFonts w:cs="FrankRuehl"/>
          <w:color w:val="000000"/>
          <w:rtl/>
        </w:rPr>
        <w:footnoteReference w:id="49"/>
      </w:r>
      <w:r w:rsidR="00195B00" w:rsidRPr="00664F60">
        <w:rPr>
          <w:rFonts w:cs="FrankRuehl" w:hint="cs"/>
          <w:color w:val="000000"/>
          <w:rtl/>
        </w:rPr>
        <w:t xml:space="preserve"> </w:t>
      </w:r>
      <w:r w:rsidR="00195B00">
        <w:rPr>
          <w:rFonts w:hint="cs"/>
          <w:rtl/>
        </w:rPr>
        <w:t>ככל שהתפיסה הלוחמתית נמשכת, מרווח הסמכויות</w:t>
      </w:r>
      <w:r w:rsidR="0080673E">
        <w:rPr>
          <w:rFonts w:hint="cs"/>
          <w:rtl/>
        </w:rPr>
        <w:t xml:space="preserve"> של המפקד הצבאי</w:t>
      </w:r>
      <w:r w:rsidR="00195B00">
        <w:rPr>
          <w:rFonts w:hint="cs"/>
          <w:rtl/>
        </w:rPr>
        <w:t xml:space="preserve"> גדל, שכן על</w:t>
      </w:r>
      <w:r w:rsidR="0080673E">
        <w:rPr>
          <w:rFonts w:hint="cs"/>
          <w:rtl/>
        </w:rPr>
        <w:t>יו</w:t>
      </w:r>
      <w:r w:rsidR="00195B00">
        <w:rPr>
          <w:rFonts w:hint="cs"/>
          <w:rtl/>
        </w:rPr>
        <w:t xml:space="preserve"> להתאים את החוקים או </w:t>
      </w:r>
      <w:r w:rsidR="0080673E">
        <w:rPr>
          <w:rFonts w:hint="cs"/>
          <w:rtl/>
        </w:rPr>
        <w:t>לבצע בהם שינויים</w:t>
      </w:r>
      <w:r w:rsidR="00195B00">
        <w:rPr>
          <w:rFonts w:hint="cs"/>
          <w:rtl/>
        </w:rPr>
        <w:t xml:space="preserve"> בהתאם לצרכי האוכלוסייה</w:t>
      </w:r>
      <w:r w:rsidR="00CC21C7">
        <w:rPr>
          <w:rFonts w:hint="cs"/>
          <w:rtl/>
        </w:rPr>
        <w:t xml:space="preserve"> המקומית</w:t>
      </w:r>
      <w:r w:rsidR="00195B00">
        <w:rPr>
          <w:rFonts w:hint="cs"/>
          <w:rtl/>
        </w:rPr>
        <w:t>.</w:t>
      </w:r>
      <w:commentRangeStart w:id="2"/>
      <w:r w:rsidR="00195B00">
        <w:rPr>
          <w:rStyle w:val="af2"/>
          <w:rtl/>
        </w:rPr>
        <w:footnoteReference w:id="50"/>
      </w:r>
      <w:commentRangeEnd w:id="2"/>
      <w:r w:rsidR="000E604D">
        <w:rPr>
          <w:rStyle w:val="af3"/>
          <w:rFonts w:eastAsiaTheme="minorHAnsi"/>
          <w:rtl/>
        </w:rPr>
        <w:commentReference w:id="2"/>
      </w:r>
      <w:r w:rsidR="00195B00">
        <w:rPr>
          <w:rFonts w:hint="cs"/>
          <w:rtl/>
        </w:rPr>
        <w:t xml:space="preserve"> הקפאת חקיקה והימנעות מהתאמתה לצרכי הזמן עלולים להפר את חובת</w:t>
      </w:r>
      <w:r w:rsidR="0080673E">
        <w:rPr>
          <w:rFonts w:hint="cs"/>
          <w:rtl/>
        </w:rPr>
        <w:t>ו</w:t>
      </w:r>
      <w:r w:rsidR="00195B00">
        <w:rPr>
          <w:rFonts w:hint="cs"/>
          <w:rtl/>
        </w:rPr>
        <w:t xml:space="preserve"> כלפי האוכלוסייה.</w:t>
      </w:r>
      <w:r w:rsidR="00195B00">
        <w:rPr>
          <w:rStyle w:val="af2"/>
          <w:rtl/>
        </w:rPr>
        <w:footnoteReference w:id="51"/>
      </w:r>
      <w:r w:rsidR="0080673E">
        <w:rPr>
          <w:rFonts w:hint="cs"/>
          <w:rtl/>
        </w:rPr>
        <w:t xml:space="preserve"> ראו לעניין זה</w:t>
      </w:r>
      <w:r w:rsidR="00195B00">
        <w:rPr>
          <w:rFonts w:hint="cs"/>
          <w:rtl/>
        </w:rPr>
        <w:t xml:space="preserve"> </w:t>
      </w:r>
      <w:r w:rsidR="00195B00" w:rsidRPr="00664F60">
        <w:rPr>
          <w:rFonts w:hint="cs"/>
          <w:b/>
          <w:bCs/>
          <w:rtl/>
        </w:rPr>
        <w:t xml:space="preserve">עניין </w:t>
      </w:r>
      <w:proofErr w:type="spellStart"/>
      <w:r w:rsidR="00195B00" w:rsidRPr="00664F60">
        <w:rPr>
          <w:rFonts w:hint="cs"/>
          <w:b/>
          <w:bCs/>
          <w:rtl/>
        </w:rPr>
        <w:t>טביב</w:t>
      </w:r>
      <w:proofErr w:type="spellEnd"/>
      <w:r w:rsidR="00195B00">
        <w:rPr>
          <w:rFonts w:hint="cs"/>
          <w:rtl/>
        </w:rPr>
        <w:t>, בעמ' 630:</w:t>
      </w:r>
    </w:p>
    <w:p w:rsidR="00195B00" w:rsidRPr="00195B00" w:rsidRDefault="00433549" w:rsidP="00AE476C">
      <w:pPr>
        <w:bidi/>
        <w:spacing w:line="240" w:lineRule="auto"/>
        <w:ind w:left="851" w:right="284"/>
        <w:rPr>
          <w:rtl/>
        </w:rPr>
      </w:pPr>
      <w:r>
        <w:rPr>
          <w:rFonts w:hint="cs"/>
          <w:rtl/>
        </w:rPr>
        <w:t>"</w:t>
      </w:r>
      <w:r w:rsidR="00195B00" w:rsidRPr="00195B00">
        <w:rPr>
          <w:rFonts w:hint="cs"/>
          <w:rtl/>
        </w:rPr>
        <w:t xml:space="preserve">...אכן הכלל הוא, שהמחזיק ממשיך לנהל את עניני השטח המוחזק לפי חוקי הארץ כמו שעמדו בתקפם בזמן הכיבוש. אך לא נעלם מעיני חכמי המשפט הבינלאומי, שמקום שכיבוש צבאי נמשך עת רבה... חובתו של המחזיק כלפי </w:t>
      </w:r>
      <w:proofErr w:type="spellStart"/>
      <w:r w:rsidR="00195B00" w:rsidRPr="00195B00">
        <w:rPr>
          <w:rFonts w:hint="cs"/>
          <w:rtl/>
        </w:rPr>
        <w:t>האוכלוסיה</w:t>
      </w:r>
      <w:proofErr w:type="spellEnd"/>
      <w:r w:rsidR="00195B00" w:rsidRPr="00195B00">
        <w:rPr>
          <w:rFonts w:hint="cs"/>
          <w:rtl/>
        </w:rPr>
        <w:t xml:space="preserve"> האזרחית אפילו מחייבת אותו לשנות מן החוקים, שכן צרכי החברה משתנים במרוצת הזמן, והחוק חייב לענות על אותם הצרכים המשתנים.</w:t>
      </w:r>
      <w:r>
        <w:rPr>
          <w:rFonts w:hint="cs"/>
          <w:rtl/>
        </w:rPr>
        <w:t>"</w:t>
      </w:r>
    </w:p>
    <w:p w:rsidR="00CC21C7" w:rsidRDefault="00CC21C7" w:rsidP="009D43D9">
      <w:pPr>
        <w:pStyle w:val="af"/>
        <w:numPr>
          <w:ilvl w:val="0"/>
          <w:numId w:val="18"/>
        </w:numPr>
        <w:bidi/>
        <w:spacing w:line="360" w:lineRule="auto"/>
        <w:ind w:left="425" w:hanging="357"/>
        <w:contextualSpacing w:val="0"/>
        <w:rPr>
          <w:rStyle w:val="apple-style-span"/>
        </w:rPr>
      </w:pPr>
      <w:r>
        <w:rPr>
          <w:rFonts w:hint="cs"/>
          <w:rtl/>
        </w:rPr>
        <w:t xml:space="preserve">בהקשר זה, </w:t>
      </w:r>
      <w:r>
        <w:rPr>
          <w:rStyle w:val="apple-style-span"/>
          <w:rFonts w:hint="cs"/>
          <w:rtl/>
        </w:rPr>
        <w:t xml:space="preserve">אנו סבורים כי יהיה קשה מאוד לבסס את הטענה שחוק ההסדרה נועד לענות על צרכיה של כלל האוכלוסייה </w:t>
      </w:r>
      <w:r w:rsidR="009D43D9">
        <w:rPr>
          <w:rStyle w:val="apple-style-span"/>
          <w:rFonts w:hint="cs"/>
          <w:rtl/>
        </w:rPr>
        <w:t xml:space="preserve">המקומית </w:t>
      </w:r>
      <w:r>
        <w:rPr>
          <w:rStyle w:val="apple-style-span"/>
          <w:rFonts w:hint="cs"/>
          <w:rtl/>
        </w:rPr>
        <w:t>באזור, וכי החקיקה החדשה נובעת מן ההכרח להתאים את המציאות באזור לתנאים המשתנים.</w:t>
      </w:r>
      <w:r>
        <w:rPr>
          <w:rStyle w:val="af2"/>
          <w:rtl/>
        </w:rPr>
        <w:footnoteReference w:id="52"/>
      </w:r>
      <w:r>
        <w:rPr>
          <w:rStyle w:val="apple-style-span"/>
          <w:rFonts w:hint="cs"/>
          <w:rtl/>
        </w:rPr>
        <w:t xml:space="preserve"> לא רק שזו אינה מטרתו המוצהרת של החוק, שנועד להסדיר את ההתיישבות היהודית </w:t>
      </w:r>
      <w:proofErr w:type="spellStart"/>
      <w:r>
        <w:rPr>
          <w:rStyle w:val="apple-style-span"/>
          <w:rFonts w:hint="cs"/>
          <w:rtl/>
        </w:rPr>
        <w:t>באיו"ש</w:t>
      </w:r>
      <w:proofErr w:type="spellEnd"/>
      <w:r>
        <w:rPr>
          <w:rStyle w:val="apple-style-span"/>
          <w:rFonts w:hint="cs"/>
          <w:rtl/>
        </w:rPr>
        <w:t xml:space="preserve"> בלבד, אף ההיסטוריה החקיקתית של החוק מעיד</w:t>
      </w:r>
      <w:r w:rsidR="009D43D9">
        <w:rPr>
          <w:rStyle w:val="apple-style-span"/>
          <w:rFonts w:hint="cs"/>
          <w:rtl/>
        </w:rPr>
        <w:t>ה על כך</w:t>
      </w:r>
      <w:r>
        <w:rPr>
          <w:rStyle w:val="apple-style-span"/>
          <w:rFonts w:hint="cs"/>
          <w:rtl/>
        </w:rPr>
        <w:t xml:space="preserve"> (ראה דברי ההסבר להצעת החוק; פרוטוקולים של הדיונים בכנסת). מעבר לכך, יישום החוק בשטח יוביל לפגיעה אך ורק ב"תושבים המוגנים"</w:t>
      </w:r>
      <w:r w:rsidR="009D43D9">
        <w:rPr>
          <w:rStyle w:val="apple-style-span"/>
          <w:rFonts w:hint="cs"/>
          <w:rtl/>
        </w:rPr>
        <w:t xml:space="preserve">, דהיינו האוכלוסייה הפלסטינית בלבד, ומיטיב רק עם המתיישבים. זאת, </w:t>
      </w:r>
      <w:r>
        <w:rPr>
          <w:rStyle w:val="apple-style-span"/>
          <w:rFonts w:hint="cs"/>
          <w:rtl/>
        </w:rPr>
        <w:t xml:space="preserve">נוכח העובדה שהטוענים לזכויות בקרקע הם פלסטינים בלבד; ששני שליש של המקרקעין אינם מוסדרים לאחר </w:t>
      </w:r>
      <w:r w:rsidR="009D43D9">
        <w:rPr>
          <w:rStyle w:val="apple-style-span"/>
          <w:rFonts w:hint="cs"/>
          <w:rtl/>
        </w:rPr>
        <w:t>התליית הליכי</w:t>
      </w:r>
      <w:r>
        <w:rPr>
          <w:rStyle w:val="apple-style-span"/>
          <w:rFonts w:hint="cs"/>
          <w:rtl/>
        </w:rPr>
        <w:t xml:space="preserve"> ההסדר בשנת 1967;</w:t>
      </w:r>
      <w:r w:rsidR="009D43D9">
        <w:rPr>
          <w:rStyle w:val="apple-style-span"/>
          <w:rFonts w:hint="cs"/>
          <w:rtl/>
        </w:rPr>
        <w:t xml:space="preserve"> </w:t>
      </w:r>
      <w:r>
        <w:rPr>
          <w:rStyle w:val="apple-style-span"/>
          <w:rFonts w:hint="cs"/>
          <w:rtl/>
        </w:rPr>
        <w:t xml:space="preserve">וניתן להניח כי בהתאם לסעיף 5 לחוק, המקרקעין יוקצו לטובת ההתיישבות היהודית בלבד. </w:t>
      </w:r>
    </w:p>
    <w:p w:rsidR="00CC21C7" w:rsidRDefault="00B15CF5" w:rsidP="00B15CF5">
      <w:pPr>
        <w:pStyle w:val="af"/>
        <w:numPr>
          <w:ilvl w:val="0"/>
          <w:numId w:val="18"/>
        </w:numPr>
        <w:bidi/>
        <w:spacing w:line="360" w:lineRule="auto"/>
        <w:ind w:left="426"/>
        <w:contextualSpacing w:val="0"/>
      </w:pPr>
      <w:r>
        <w:rPr>
          <w:rStyle w:val="apple-style-span"/>
          <w:rFonts w:hint="cs"/>
          <w:rtl/>
        </w:rPr>
        <w:t>מעבר לכך,</w:t>
      </w:r>
      <w:r w:rsidR="001D4728">
        <w:rPr>
          <w:rStyle w:val="apple-style-span"/>
          <w:rFonts w:hint="cs"/>
          <w:rtl/>
        </w:rPr>
        <w:t xml:space="preserve"> ההסדר הגורף הקבוע בחוק מעיד על כך </w:t>
      </w:r>
      <w:r w:rsidR="001D4728">
        <w:rPr>
          <w:rFonts w:hint="cs"/>
          <w:rtl/>
        </w:rPr>
        <w:t xml:space="preserve">שהחוק נועד להיטיב אך ורק עם המתיישבים שהתיישבו </w:t>
      </w:r>
      <w:proofErr w:type="spellStart"/>
      <w:r w:rsidR="001D4728">
        <w:rPr>
          <w:rFonts w:hint="cs"/>
          <w:rtl/>
        </w:rPr>
        <w:t>באיו"ש</w:t>
      </w:r>
      <w:proofErr w:type="spellEnd"/>
      <w:r w:rsidR="001D4728">
        <w:rPr>
          <w:rFonts w:hint="cs"/>
          <w:rtl/>
        </w:rPr>
        <w:t>,</w:t>
      </w:r>
      <w:r w:rsidR="001D4728">
        <w:rPr>
          <w:rStyle w:val="apple-style-span"/>
          <w:rFonts w:hint="cs"/>
          <w:rtl/>
        </w:rPr>
        <w:t xml:space="preserve"> שכן על פי החוק על המפקד הצבאי ליטול את </w:t>
      </w:r>
      <w:r w:rsidR="00CC21C7">
        <w:rPr>
          <w:rFonts w:hint="cs"/>
          <w:rtl/>
        </w:rPr>
        <w:t>זכויות השימוש וההחזקה במקרקעין פרטיים ללא בחינה פרטנית של הנסיבות של כל מקרה ואיזון בין זכות הקניין של בעל הקרקע לבין הזכויות של המחזיק בקרקע, מידת תום הלב שלו והיקף המעורבות של המדינה בבנייה הספציפית (שמוגדרת בחוק בצורה מרחיבה ביותר).</w:t>
      </w:r>
      <w:r w:rsidR="00CC21C7">
        <w:rPr>
          <w:rStyle w:val="af2"/>
          <w:rtl/>
        </w:rPr>
        <w:footnoteReference w:id="53"/>
      </w:r>
      <w:r w:rsidR="00CC21C7">
        <w:rPr>
          <w:rFonts w:hint="cs"/>
          <w:rtl/>
        </w:rPr>
        <w:t xml:space="preserve"> </w:t>
      </w:r>
    </w:p>
    <w:p w:rsidR="00195B00" w:rsidRDefault="00B15CF5" w:rsidP="00B15CF5">
      <w:pPr>
        <w:pStyle w:val="af"/>
        <w:numPr>
          <w:ilvl w:val="0"/>
          <w:numId w:val="18"/>
        </w:numPr>
        <w:bidi/>
        <w:spacing w:line="360" w:lineRule="auto"/>
        <w:ind w:left="425" w:hanging="357"/>
        <w:contextualSpacing w:val="0"/>
      </w:pPr>
      <w:r w:rsidRPr="00B15CF5">
        <w:rPr>
          <w:rFonts w:hint="cs"/>
          <w:rtl/>
        </w:rPr>
        <w:t xml:space="preserve">זאת ועוד, ניתן לטעון כי </w:t>
      </w:r>
      <w:r w:rsidR="006C283C" w:rsidRPr="00B15CF5">
        <w:rPr>
          <w:rFonts w:hint="cs"/>
          <w:rtl/>
        </w:rPr>
        <w:t>הוראות החוק מפרות את עיקרון הזמניות בדיני התפיסה הלוחמתית</w:t>
      </w:r>
      <w:r w:rsidRPr="00B15CF5">
        <w:rPr>
          <w:rFonts w:hint="cs"/>
          <w:rtl/>
        </w:rPr>
        <w:t>.</w:t>
      </w:r>
      <w:r w:rsidR="006C283C" w:rsidRPr="00B15CF5">
        <w:rPr>
          <w:rFonts w:hint="cs"/>
          <w:rtl/>
        </w:rPr>
        <w:t xml:space="preserve"> </w:t>
      </w:r>
      <w:r w:rsidR="00BA5D06" w:rsidRPr="00B15CF5">
        <w:rPr>
          <w:rFonts w:hint="cs"/>
          <w:rtl/>
        </w:rPr>
        <w:t xml:space="preserve">על </w:t>
      </w:r>
      <w:r w:rsidR="00F87110" w:rsidRPr="00B15CF5">
        <w:rPr>
          <w:rFonts w:hint="cs"/>
          <w:rtl/>
        </w:rPr>
        <w:t>פי</w:t>
      </w:r>
      <w:r w:rsidR="00F87110">
        <w:rPr>
          <w:rFonts w:hint="cs"/>
          <w:rtl/>
        </w:rPr>
        <w:t xml:space="preserve"> הפסיקה, המפקד הצבאי אשר שואב את סמכותו מדיני הלחימה, מהווה "שלטון זמני מעצם מהותו, גם אם זמניות זו נמשכת תקופה ארוכה."</w:t>
      </w:r>
      <w:r w:rsidR="00F87110">
        <w:rPr>
          <w:rStyle w:val="af2"/>
          <w:rtl/>
        </w:rPr>
        <w:footnoteReference w:id="54"/>
      </w:r>
      <w:r w:rsidR="00F87110">
        <w:rPr>
          <w:rFonts w:hint="cs"/>
          <w:rtl/>
        </w:rPr>
        <w:t xml:space="preserve"> </w:t>
      </w:r>
      <w:r w:rsidR="00195B00">
        <w:rPr>
          <w:rFonts w:hint="cs"/>
          <w:rtl/>
        </w:rPr>
        <w:t>מכאן, כי "</w:t>
      </w:r>
      <w:r w:rsidR="00195B00" w:rsidRPr="006F22D9">
        <w:rPr>
          <w:rFonts w:hint="cs"/>
          <w:rtl/>
        </w:rPr>
        <w:t xml:space="preserve">ממשל צבאי אינו רשאי להכניס באזור הנתון לתפיסה </w:t>
      </w:r>
      <w:r w:rsidR="00195B00">
        <w:rPr>
          <w:rFonts w:hint="cs"/>
          <w:rtl/>
        </w:rPr>
        <w:t>לוחמתית</w:t>
      </w:r>
      <w:r w:rsidR="00195B00" w:rsidRPr="006F22D9">
        <w:rPr>
          <w:rFonts w:hint="cs"/>
          <w:rtl/>
        </w:rPr>
        <w:t xml:space="preserve"> שינויים מהותיים בעלי אופי קבוע במוסדות הפוליטיים, </w:t>
      </w:r>
      <w:proofErr w:type="spellStart"/>
      <w:r w:rsidR="00195B00" w:rsidRPr="006F22D9">
        <w:rPr>
          <w:rFonts w:hint="cs"/>
          <w:rtl/>
        </w:rPr>
        <w:t>המינהליים</w:t>
      </w:r>
      <w:proofErr w:type="spellEnd"/>
      <w:r w:rsidR="00195B00" w:rsidRPr="006F22D9">
        <w:rPr>
          <w:rFonts w:hint="cs"/>
          <w:rtl/>
        </w:rPr>
        <w:t xml:space="preserve"> או המשפטיים, אלא במקרים יוצאי דופן, כגון שהמוסדות הקיימים מנוגדים, על-פי תוכנם, למושגי צדק ומוסר יסודיים</w:t>
      </w:r>
      <w:r w:rsidR="00195B00">
        <w:rPr>
          <w:rFonts w:hint="cs"/>
          <w:rtl/>
        </w:rPr>
        <w:t xml:space="preserve">." ראו לעניין זה </w:t>
      </w:r>
      <w:r w:rsidR="00433549" w:rsidRPr="00F87110">
        <w:rPr>
          <w:rFonts w:hint="cs"/>
          <w:b/>
          <w:bCs/>
          <w:rtl/>
        </w:rPr>
        <w:t xml:space="preserve">עניין </w:t>
      </w:r>
      <w:proofErr w:type="spellStart"/>
      <w:r w:rsidR="00195B00" w:rsidRPr="00F87110">
        <w:rPr>
          <w:rFonts w:hint="cs"/>
          <w:b/>
          <w:bCs/>
          <w:rtl/>
        </w:rPr>
        <w:t>אסכאן</w:t>
      </w:r>
      <w:proofErr w:type="spellEnd"/>
      <w:r w:rsidR="00195B00">
        <w:rPr>
          <w:rFonts w:hint="cs"/>
          <w:rtl/>
        </w:rPr>
        <w:t>, בעמ' 805:</w:t>
      </w:r>
    </w:p>
    <w:p w:rsidR="00195B00" w:rsidRPr="00195B00" w:rsidRDefault="00433549" w:rsidP="00AE476C">
      <w:pPr>
        <w:bidi/>
        <w:spacing w:line="240" w:lineRule="auto"/>
        <w:ind w:left="851" w:right="284"/>
      </w:pPr>
      <w:r>
        <w:rPr>
          <w:rFonts w:hint="cs"/>
          <w:rtl/>
        </w:rPr>
        <w:lastRenderedPageBreak/>
        <w:t>"</w:t>
      </w:r>
      <w:r w:rsidR="00195B00" w:rsidRPr="00195B00">
        <w:rPr>
          <w:rFonts w:hint="cs"/>
          <w:rtl/>
        </w:rPr>
        <w:t xml:space="preserve">מההוראה בדבר כיבוד החוק הקיים ניתן ללמוד, שבהעדר טעמים מיוחדים אין מפקד האזור צריך, בדרך כלל, ליזום שינויים כאלה באזור, שאפילו אם אינם משנים את הדין הקיים, הרי תהיה להם השפעה מרחיקת לכת ולאורך ימים על המצב באזור, מעבר לתקופה, שבה ההחזקה כאזור צבאי תסתיים בדרך זו או אחרת, אלא אם מדובר בפעולות, שהן לטובת תושבי </w:t>
      </w:r>
      <w:proofErr w:type="spellStart"/>
      <w:r w:rsidR="00195B00" w:rsidRPr="00195B00">
        <w:rPr>
          <w:rFonts w:hint="cs"/>
          <w:rtl/>
        </w:rPr>
        <w:t>האיזור</w:t>
      </w:r>
      <w:proofErr w:type="spellEnd"/>
      <w:r w:rsidR="00195B00" w:rsidRPr="00195B00">
        <w:rPr>
          <w:rFonts w:hint="cs"/>
          <w:rtl/>
        </w:rPr>
        <w:t>.</w:t>
      </w:r>
      <w:r>
        <w:rPr>
          <w:rFonts w:hint="cs"/>
          <w:rtl/>
        </w:rPr>
        <w:t>"</w:t>
      </w:r>
    </w:p>
    <w:p w:rsidR="00C21C40" w:rsidRDefault="006C12F5" w:rsidP="00E9518C">
      <w:pPr>
        <w:pStyle w:val="af"/>
        <w:numPr>
          <w:ilvl w:val="0"/>
          <w:numId w:val="18"/>
        </w:numPr>
        <w:bidi/>
        <w:spacing w:line="360" w:lineRule="auto"/>
        <w:ind w:left="425" w:hanging="357"/>
        <w:contextualSpacing w:val="0"/>
      </w:pPr>
      <w:r w:rsidRPr="006C12F5">
        <w:rPr>
          <w:rFonts w:hint="cs"/>
          <w:rtl/>
        </w:rPr>
        <w:t>בעניין חוק ההסדרה,</w:t>
      </w:r>
      <w:r w:rsidR="006E0A3A" w:rsidRPr="006C12F5">
        <w:rPr>
          <w:rFonts w:hint="cs"/>
          <w:rtl/>
        </w:rPr>
        <w:t xml:space="preserve"> </w:t>
      </w:r>
      <w:r w:rsidR="00A671A1" w:rsidRPr="006C12F5">
        <w:rPr>
          <w:rFonts w:hint="cs"/>
          <w:rtl/>
        </w:rPr>
        <w:t>היות שהזכויות שניטלו יוקצו לטובת ההתיישבות שנבנתה על אותם מקרקעין,</w:t>
      </w:r>
      <w:r w:rsidR="00A671A1">
        <w:rPr>
          <w:rFonts w:hint="cs"/>
          <w:rtl/>
        </w:rPr>
        <w:t xml:space="preserve"> בצורה גורפת וללא הגבלת זמן, </w:t>
      </w:r>
      <w:r w:rsidR="00A671A1" w:rsidRPr="00A671A1">
        <w:rPr>
          <w:rStyle w:val="apple-style-span"/>
          <w:rFonts w:hint="cs"/>
          <w:rtl/>
        </w:rPr>
        <w:t>החוק</w:t>
      </w:r>
      <w:r w:rsidR="00A671A1">
        <w:rPr>
          <w:rFonts w:hint="cs"/>
          <w:rtl/>
        </w:rPr>
        <w:t xml:space="preserve"> מטשטש בפועל את ההבחנה בין שלטון צבאי זמני לבין שלטון רגיל וקבוע,</w:t>
      </w:r>
      <w:r w:rsidR="00A671A1">
        <w:rPr>
          <w:rStyle w:val="af2"/>
          <w:rtl/>
        </w:rPr>
        <w:footnoteReference w:id="55"/>
      </w:r>
      <w:r w:rsidR="00A671A1">
        <w:rPr>
          <w:rFonts w:hint="cs"/>
          <w:rtl/>
        </w:rPr>
        <w:t xml:space="preserve"> שכן מטרת החוק היא לא רק להסדיר את המצב הקיים אלא "לאפשר את המשך ביסוסה ופיתוחה של ההתיישבות".</w:t>
      </w:r>
      <w:r w:rsidR="00CC21C7">
        <w:rPr>
          <w:rStyle w:val="af2"/>
          <w:rtl/>
        </w:rPr>
        <w:footnoteReference w:id="56"/>
      </w:r>
      <w:r w:rsidR="00A671A1">
        <w:rPr>
          <w:rFonts w:hint="cs"/>
          <w:rtl/>
        </w:rPr>
        <w:t xml:space="preserve"> הסדרה זו, הכוללת גם השלמה של הליכי התכנון</w:t>
      </w:r>
      <w:r w:rsidR="00E9518C">
        <w:rPr>
          <w:rFonts w:hint="cs"/>
          <w:rtl/>
        </w:rPr>
        <w:t>,</w:t>
      </w:r>
      <w:r w:rsidR="00E9518C">
        <w:rPr>
          <w:rStyle w:val="af2"/>
          <w:rtl/>
        </w:rPr>
        <w:footnoteReference w:id="57"/>
      </w:r>
      <w:r w:rsidR="00A671A1">
        <w:rPr>
          <w:rFonts w:hint="cs"/>
          <w:rtl/>
        </w:rPr>
        <w:t xml:space="preserve"> יש בה כדי להביא לשינויי קבע, העשוי</w:t>
      </w:r>
      <w:r w:rsidR="00563CBB">
        <w:rPr>
          <w:rFonts w:hint="cs"/>
          <w:rtl/>
        </w:rPr>
        <w:t>ים להימשך לאחר סיום הממשל הצבאי</w:t>
      </w:r>
      <w:r w:rsidR="00A671A1">
        <w:rPr>
          <w:rFonts w:hint="cs"/>
          <w:rtl/>
        </w:rPr>
        <w:t xml:space="preserve">. על אף שכביכול נטילת הזכויות </w:t>
      </w:r>
      <w:r w:rsidR="00823669">
        <w:rPr>
          <w:rFonts w:hint="cs"/>
          <w:rtl/>
        </w:rPr>
        <w:t xml:space="preserve">מוגבלת בזמן, </w:t>
      </w:r>
      <w:r w:rsidR="00A671A1">
        <w:rPr>
          <w:rFonts w:hint="cs"/>
          <w:rtl/>
        </w:rPr>
        <w:t xml:space="preserve">רק "עד להכרעה מדינית בדבר מעמדו של האזור וההתיישבות הישראלית בו," </w:t>
      </w:r>
      <w:r w:rsidR="00823669">
        <w:rPr>
          <w:rFonts w:hint="cs"/>
          <w:rtl/>
        </w:rPr>
        <w:t xml:space="preserve">יובהר כי </w:t>
      </w:r>
      <w:r w:rsidR="00A671A1">
        <w:rPr>
          <w:rFonts w:hint="cs"/>
          <w:rtl/>
        </w:rPr>
        <w:t xml:space="preserve">על פי הפסיקה יש לוודא כי </w:t>
      </w:r>
      <w:r w:rsidR="005C6F5C">
        <w:rPr>
          <w:rFonts w:hint="cs"/>
          <w:rtl/>
        </w:rPr>
        <w:t xml:space="preserve">כל פעולה של </w:t>
      </w:r>
      <w:r w:rsidR="00A671A1">
        <w:rPr>
          <w:rFonts w:hint="cs"/>
          <w:rtl/>
        </w:rPr>
        <w:t>המ</w:t>
      </w:r>
      <w:r w:rsidR="005C6F5C">
        <w:rPr>
          <w:rFonts w:hint="cs"/>
          <w:rtl/>
        </w:rPr>
        <w:t xml:space="preserve">פקד הצבאי עולה בקנה אחד עם </w:t>
      </w:r>
      <w:r w:rsidR="005C6F5C" w:rsidRPr="00563CBB">
        <w:rPr>
          <w:rFonts w:hint="cs"/>
          <w:i/>
          <w:iCs/>
          <w:rtl/>
        </w:rPr>
        <w:t>טיבו הזמני</w:t>
      </w:r>
      <w:r w:rsidR="005C6F5C">
        <w:rPr>
          <w:rFonts w:hint="cs"/>
          <w:rtl/>
        </w:rPr>
        <w:t xml:space="preserve"> של הממשל הצבאי</w:t>
      </w:r>
      <w:r w:rsidR="00A671A1" w:rsidRPr="005D5880">
        <w:rPr>
          <w:rFonts w:hint="cs"/>
          <w:rtl/>
        </w:rPr>
        <w:t>.</w:t>
      </w:r>
      <w:r w:rsidR="00A671A1">
        <w:rPr>
          <w:rStyle w:val="af2"/>
          <w:rtl/>
        </w:rPr>
        <w:footnoteReference w:id="58"/>
      </w:r>
    </w:p>
    <w:p w:rsidR="00A671A1" w:rsidRDefault="00E9518C" w:rsidP="00E9518C">
      <w:pPr>
        <w:pStyle w:val="af"/>
        <w:numPr>
          <w:ilvl w:val="0"/>
          <w:numId w:val="18"/>
        </w:numPr>
        <w:bidi/>
        <w:spacing w:line="360" w:lineRule="auto"/>
        <w:ind w:left="425" w:hanging="357"/>
        <w:contextualSpacing w:val="0"/>
      </w:pPr>
      <w:r>
        <w:rPr>
          <w:rFonts w:hint="cs"/>
          <w:rtl/>
        </w:rPr>
        <w:t>נוכח האמור לעיל, ספק האם חוק ההסדרה מגשים את התכליות העומדות ביסוד תקנה 43, אשר נודע ליצור</w:t>
      </w:r>
      <w:r w:rsidR="00A671A1">
        <w:rPr>
          <w:rFonts w:hint="cs"/>
          <w:rtl/>
        </w:rPr>
        <w:t xml:space="preserve"> איזון עדין בין הצורך הצבאי מחד גיסא, לבין שיקולים הומניטאריים</w:t>
      </w:r>
      <w:r w:rsidR="00454607">
        <w:rPr>
          <w:rFonts w:hint="cs"/>
          <w:rtl/>
        </w:rPr>
        <w:t xml:space="preserve"> של האוכלוסייה המקומית</w:t>
      </w:r>
      <w:r w:rsidR="00A671A1">
        <w:rPr>
          <w:rFonts w:hint="cs"/>
          <w:rtl/>
        </w:rPr>
        <w:t xml:space="preserve"> מאידך גיסא.</w:t>
      </w:r>
      <w:r w:rsidR="00A671A1">
        <w:rPr>
          <w:rStyle w:val="af2"/>
          <w:rtl/>
        </w:rPr>
        <w:footnoteReference w:id="59"/>
      </w:r>
      <w:r w:rsidR="00A671A1">
        <w:rPr>
          <w:rFonts w:hint="cs"/>
          <w:rtl/>
        </w:rPr>
        <w:t xml:space="preserve"> </w:t>
      </w:r>
    </w:p>
    <w:p w:rsidR="00464AE9" w:rsidRDefault="00464AE9" w:rsidP="00E033C9">
      <w:pPr>
        <w:bidi/>
        <w:spacing w:after="0" w:line="240" w:lineRule="auto"/>
        <w:jc w:val="left"/>
        <w:rPr>
          <w:i/>
          <w:iCs/>
          <w:u w:val="single"/>
          <w:rtl/>
        </w:rPr>
      </w:pPr>
      <w:r w:rsidRPr="00D813A9">
        <w:rPr>
          <w:rFonts w:hint="cs"/>
          <w:i/>
          <w:iCs/>
          <w:u w:val="single"/>
          <w:rtl/>
        </w:rPr>
        <w:t xml:space="preserve">חוק ההסדרה אל מול תקנה 46 לתקנות האג </w:t>
      </w:r>
      <w:r w:rsidRPr="00D813A9">
        <w:rPr>
          <w:i/>
          <w:iCs/>
          <w:u w:val="single"/>
          <w:rtl/>
        </w:rPr>
        <w:t>–</w:t>
      </w:r>
      <w:r w:rsidRPr="00D813A9">
        <w:rPr>
          <w:rFonts w:hint="cs"/>
          <w:i/>
          <w:iCs/>
          <w:u w:val="single"/>
          <w:rtl/>
        </w:rPr>
        <w:t xml:space="preserve"> החובה להגן על זכות הקניין</w:t>
      </w:r>
    </w:p>
    <w:p w:rsidR="00E033C9" w:rsidRPr="00D813A9" w:rsidRDefault="00E033C9" w:rsidP="00E033C9">
      <w:pPr>
        <w:bidi/>
        <w:spacing w:after="0" w:line="240" w:lineRule="auto"/>
        <w:jc w:val="left"/>
        <w:rPr>
          <w:i/>
          <w:iCs/>
          <w:u w:val="single"/>
        </w:rPr>
      </w:pPr>
    </w:p>
    <w:p w:rsidR="00464AE9" w:rsidRPr="00D813A9" w:rsidRDefault="00464AE9" w:rsidP="00464AE9">
      <w:pPr>
        <w:pStyle w:val="af"/>
        <w:numPr>
          <w:ilvl w:val="0"/>
          <w:numId w:val="18"/>
        </w:numPr>
        <w:bidi/>
        <w:spacing w:line="360" w:lineRule="auto"/>
        <w:ind w:left="425" w:hanging="357"/>
        <w:contextualSpacing w:val="0"/>
        <w:rPr>
          <w:rStyle w:val="apple-style-span"/>
          <w:rtl/>
        </w:rPr>
      </w:pPr>
      <w:r w:rsidRPr="00D813A9">
        <w:rPr>
          <w:rStyle w:val="apple-style-span"/>
          <w:rFonts w:hint="cs"/>
          <w:rtl/>
        </w:rPr>
        <w:t xml:space="preserve">דיני </w:t>
      </w:r>
      <w:r w:rsidRPr="00D813A9">
        <w:rPr>
          <w:rFonts w:hint="cs"/>
          <w:rtl/>
        </w:rPr>
        <w:t>הלחימה</w:t>
      </w:r>
      <w:r w:rsidRPr="00D813A9">
        <w:rPr>
          <w:rStyle w:val="apple-style-span"/>
          <w:rFonts w:hint="cs"/>
          <w:rtl/>
        </w:rPr>
        <w:t xml:space="preserve"> במשפט הבין לאומי מעניקים הגנה מיוחדת לרכוש פרטי. כך, תקנה 46 לתקנות האג מבהירה כי יש לכבד רכוש פרטי ואין להחרימו:</w:t>
      </w:r>
    </w:p>
    <w:p w:rsidR="00464AE9" w:rsidRPr="00D813A9" w:rsidRDefault="00464AE9" w:rsidP="00464AE9">
      <w:pPr>
        <w:spacing w:line="240" w:lineRule="auto"/>
        <w:ind w:left="284" w:right="851"/>
        <w:rPr>
          <w:sz w:val="22"/>
          <w:szCs w:val="22"/>
        </w:rPr>
      </w:pPr>
      <w:r w:rsidRPr="00D813A9">
        <w:rPr>
          <w:sz w:val="22"/>
          <w:szCs w:val="22"/>
        </w:rPr>
        <w:t xml:space="preserve">Art. 46. Family </w:t>
      </w:r>
      <w:proofErr w:type="spellStart"/>
      <w:r w:rsidRPr="00D813A9">
        <w:rPr>
          <w:sz w:val="22"/>
          <w:szCs w:val="22"/>
        </w:rPr>
        <w:t>honour</w:t>
      </w:r>
      <w:proofErr w:type="spellEnd"/>
      <w:r w:rsidRPr="00D813A9">
        <w:rPr>
          <w:sz w:val="22"/>
          <w:szCs w:val="22"/>
        </w:rPr>
        <w:t xml:space="preserve"> and rights, the lives of persons, and private property, as well as religious convictions and practice, must be </w:t>
      </w:r>
      <w:r w:rsidRPr="00D813A9">
        <w:t>respected</w:t>
      </w:r>
      <w:r w:rsidRPr="00D813A9">
        <w:rPr>
          <w:rFonts w:cs="Narkisim" w:hint="cs"/>
          <w:sz w:val="22"/>
          <w:szCs w:val="22"/>
          <w:rtl/>
        </w:rPr>
        <w:t>.</w:t>
      </w:r>
      <w:r w:rsidRPr="00D813A9">
        <w:rPr>
          <w:sz w:val="22"/>
          <w:szCs w:val="22"/>
        </w:rPr>
        <w:t xml:space="preserve"> Private property cannot be confiscated.</w:t>
      </w:r>
    </w:p>
    <w:p w:rsidR="00464AE9" w:rsidRPr="00D813A9" w:rsidRDefault="00464AE9" w:rsidP="00464AE9">
      <w:pPr>
        <w:pStyle w:val="af0"/>
        <w:ind w:left="84" w:right="651"/>
        <w:rPr>
          <w:sz w:val="22"/>
          <w:szCs w:val="22"/>
        </w:rPr>
      </w:pPr>
    </w:p>
    <w:p w:rsidR="00464AE9" w:rsidRDefault="00464AE9" w:rsidP="00A058F5">
      <w:pPr>
        <w:pStyle w:val="af"/>
        <w:numPr>
          <w:ilvl w:val="0"/>
          <w:numId w:val="18"/>
        </w:numPr>
        <w:bidi/>
        <w:spacing w:line="360" w:lineRule="auto"/>
        <w:ind w:left="425" w:hanging="357"/>
        <w:contextualSpacing w:val="0"/>
        <w:rPr>
          <w:rStyle w:val="apple-style-span"/>
        </w:rPr>
      </w:pPr>
      <w:r w:rsidRPr="00D813A9">
        <w:rPr>
          <w:rFonts w:hint="cs"/>
          <w:rtl/>
        </w:rPr>
        <w:t xml:space="preserve">על פי פסיקת בית המשפט העליון, הוראה זו מטילה על המפקד הצבאי חובה כפולה: חובה שלילית, להימנע מפעולות הפוגעות בתושבים המקומיים; וחובה חיובית, </w:t>
      </w:r>
      <w:r>
        <w:rPr>
          <w:rFonts w:hint="cs"/>
          <w:rtl/>
        </w:rPr>
        <w:t>לבצע</w:t>
      </w:r>
      <w:r w:rsidRPr="00D813A9">
        <w:rPr>
          <w:rFonts w:hint="cs"/>
          <w:rtl/>
        </w:rPr>
        <w:t xml:space="preserve"> פעולות המבטיחות כי התושבים המקומיים לא ייפגעו.</w:t>
      </w:r>
      <w:r w:rsidRPr="00D813A9">
        <w:rPr>
          <w:rStyle w:val="af2"/>
          <w:rtl/>
        </w:rPr>
        <w:footnoteReference w:id="60"/>
      </w:r>
      <w:r w:rsidRPr="00D813A9">
        <w:rPr>
          <w:rFonts w:hint="cs"/>
          <w:rtl/>
        </w:rPr>
        <w:t xml:space="preserve"> בית המשפט העליון הדגיש </w:t>
      </w:r>
      <w:r w:rsidR="009F5598">
        <w:rPr>
          <w:rFonts w:hint="cs"/>
          <w:rtl/>
        </w:rPr>
        <w:t>את ה</w:t>
      </w:r>
      <w:r w:rsidRPr="00D813A9">
        <w:rPr>
          <w:rFonts w:hint="cs"/>
          <w:rtl/>
        </w:rPr>
        <w:t xml:space="preserve">חובה להגן על הקניין של האוכלוסייה המקומית באזור פעמים רבות בעבר, ואף קבע כי </w:t>
      </w:r>
      <w:r w:rsidRPr="00D813A9">
        <w:rPr>
          <w:rtl/>
        </w:rPr>
        <w:t>ההגנה על קניינם של התושבים המוגנים היא "אחת מחובותיו הבסיסיות ביותר של המפקד הצבאי"</w:t>
      </w:r>
      <w:r w:rsidRPr="00D813A9">
        <w:rPr>
          <w:rFonts w:hint="cs"/>
          <w:rtl/>
        </w:rPr>
        <w:t>.</w:t>
      </w:r>
      <w:r w:rsidRPr="00D813A9">
        <w:rPr>
          <w:rStyle w:val="af2"/>
          <w:rtl/>
        </w:rPr>
        <w:footnoteReference w:id="61"/>
      </w:r>
      <w:r w:rsidRPr="00D813A9">
        <w:rPr>
          <w:rStyle w:val="apple-style-span"/>
          <w:rFonts w:hint="cs"/>
          <w:rtl/>
        </w:rPr>
        <w:t xml:space="preserve"> מעבר</w:t>
      </w:r>
      <w:r w:rsidRPr="00D813A9">
        <w:rPr>
          <w:rStyle w:val="apple-style-span"/>
          <w:rtl/>
        </w:rPr>
        <w:t xml:space="preserve"> </w:t>
      </w:r>
      <w:r w:rsidRPr="00D813A9">
        <w:rPr>
          <w:rStyle w:val="apple-style-span"/>
          <w:rFonts w:hint="cs"/>
          <w:rtl/>
        </w:rPr>
        <w:t>לכך</w:t>
      </w:r>
      <w:r w:rsidRPr="00D813A9">
        <w:rPr>
          <w:rStyle w:val="apple-style-span"/>
          <w:rtl/>
        </w:rPr>
        <w:t xml:space="preserve">, </w:t>
      </w:r>
      <w:r w:rsidRPr="00D813A9">
        <w:rPr>
          <w:rStyle w:val="apple-style-span"/>
          <w:rFonts w:hint="cs"/>
          <w:rtl/>
        </w:rPr>
        <w:t>בית</w:t>
      </w:r>
      <w:r w:rsidRPr="00D813A9">
        <w:rPr>
          <w:rStyle w:val="apple-style-span"/>
          <w:rtl/>
        </w:rPr>
        <w:t xml:space="preserve"> </w:t>
      </w:r>
      <w:r w:rsidRPr="00D813A9">
        <w:rPr>
          <w:rStyle w:val="apple-style-span"/>
          <w:rFonts w:hint="cs"/>
          <w:rtl/>
        </w:rPr>
        <w:t>המשפט</w:t>
      </w:r>
      <w:r w:rsidRPr="00D813A9">
        <w:rPr>
          <w:rStyle w:val="apple-style-span"/>
          <w:rtl/>
        </w:rPr>
        <w:t xml:space="preserve"> </w:t>
      </w:r>
      <w:r w:rsidRPr="00D813A9">
        <w:rPr>
          <w:rStyle w:val="apple-style-span"/>
          <w:rFonts w:hint="cs"/>
          <w:rtl/>
        </w:rPr>
        <w:t>העליון</w:t>
      </w:r>
      <w:r w:rsidRPr="00D813A9">
        <w:rPr>
          <w:rStyle w:val="apple-style-span"/>
          <w:rtl/>
        </w:rPr>
        <w:t xml:space="preserve"> </w:t>
      </w:r>
      <w:r w:rsidRPr="00D813A9">
        <w:rPr>
          <w:rStyle w:val="apple-style-span"/>
          <w:rFonts w:hint="cs"/>
          <w:rtl/>
        </w:rPr>
        <w:t>הדגיש</w:t>
      </w:r>
      <w:r w:rsidRPr="00D813A9">
        <w:rPr>
          <w:rStyle w:val="apple-style-span"/>
          <w:rtl/>
        </w:rPr>
        <w:t xml:space="preserve"> </w:t>
      </w:r>
      <w:r w:rsidRPr="00D813A9">
        <w:rPr>
          <w:rStyle w:val="apple-style-span"/>
          <w:rFonts w:hint="cs"/>
          <w:rtl/>
        </w:rPr>
        <w:t>לא</w:t>
      </w:r>
      <w:r w:rsidRPr="00D813A9">
        <w:rPr>
          <w:rStyle w:val="apple-style-span"/>
          <w:rtl/>
        </w:rPr>
        <w:t xml:space="preserve"> </w:t>
      </w:r>
      <w:r w:rsidRPr="00D813A9">
        <w:rPr>
          <w:rStyle w:val="apple-style-span"/>
          <w:rFonts w:hint="cs"/>
          <w:rtl/>
        </w:rPr>
        <w:t>פעם</w:t>
      </w:r>
      <w:r w:rsidRPr="00D813A9">
        <w:rPr>
          <w:rStyle w:val="apple-style-span"/>
          <w:rtl/>
        </w:rPr>
        <w:t xml:space="preserve"> </w:t>
      </w:r>
      <w:r w:rsidRPr="00D813A9">
        <w:rPr>
          <w:rStyle w:val="apple-style-span"/>
          <w:rFonts w:hint="cs"/>
          <w:rtl/>
        </w:rPr>
        <w:t>את</w:t>
      </w:r>
      <w:r w:rsidRPr="00D813A9">
        <w:rPr>
          <w:rStyle w:val="apple-style-span"/>
          <w:rtl/>
        </w:rPr>
        <w:t xml:space="preserve"> </w:t>
      </w:r>
      <w:r w:rsidRPr="00D813A9">
        <w:rPr>
          <w:rStyle w:val="apple-style-span"/>
          <w:rFonts w:hint="cs"/>
          <w:rtl/>
        </w:rPr>
        <w:t>החשיבות</w:t>
      </w:r>
      <w:r>
        <w:rPr>
          <w:rStyle w:val="apple-style-span"/>
          <w:rFonts w:hint="cs"/>
          <w:rtl/>
        </w:rPr>
        <w:t xml:space="preserve"> המיוחדת</w:t>
      </w:r>
      <w:r w:rsidRPr="00D813A9">
        <w:rPr>
          <w:rStyle w:val="apple-style-span"/>
          <w:rtl/>
        </w:rPr>
        <w:t xml:space="preserve"> </w:t>
      </w:r>
      <w:r w:rsidRPr="00D813A9">
        <w:rPr>
          <w:rStyle w:val="apple-style-span"/>
          <w:rFonts w:hint="cs"/>
          <w:rtl/>
        </w:rPr>
        <w:t>בהגנה</w:t>
      </w:r>
      <w:r w:rsidRPr="00D813A9">
        <w:rPr>
          <w:rStyle w:val="apple-style-span"/>
          <w:rtl/>
        </w:rPr>
        <w:t xml:space="preserve"> </w:t>
      </w:r>
      <w:r w:rsidRPr="00D813A9">
        <w:rPr>
          <w:rStyle w:val="apple-style-span"/>
          <w:rFonts w:hint="cs"/>
          <w:rtl/>
        </w:rPr>
        <w:t>על</w:t>
      </w:r>
      <w:r w:rsidRPr="00D813A9">
        <w:rPr>
          <w:rStyle w:val="apple-style-span"/>
          <w:rtl/>
        </w:rPr>
        <w:t xml:space="preserve"> </w:t>
      </w:r>
      <w:r w:rsidRPr="00D813A9">
        <w:rPr>
          <w:rStyle w:val="apple-style-span"/>
          <w:rFonts w:hint="cs"/>
          <w:rtl/>
        </w:rPr>
        <w:t>קרקע</w:t>
      </w:r>
      <w:r w:rsidRPr="00D813A9">
        <w:rPr>
          <w:rStyle w:val="apple-style-span"/>
          <w:rtl/>
        </w:rPr>
        <w:t xml:space="preserve"> </w:t>
      </w:r>
      <w:r w:rsidRPr="00D813A9">
        <w:rPr>
          <w:rStyle w:val="apple-style-span"/>
          <w:rFonts w:hint="cs"/>
          <w:rtl/>
        </w:rPr>
        <w:t>פרטית</w:t>
      </w:r>
      <w:r w:rsidRPr="00D813A9">
        <w:rPr>
          <w:rStyle w:val="apple-style-span"/>
          <w:rtl/>
        </w:rPr>
        <w:t xml:space="preserve"> </w:t>
      </w:r>
      <w:r w:rsidRPr="00D813A9">
        <w:rPr>
          <w:rStyle w:val="apple-style-span"/>
          <w:rFonts w:hint="cs"/>
          <w:rtl/>
        </w:rPr>
        <w:t>ואת</w:t>
      </w:r>
      <w:r w:rsidRPr="00D813A9">
        <w:rPr>
          <w:rStyle w:val="apple-style-span"/>
          <w:rtl/>
        </w:rPr>
        <w:t xml:space="preserve"> </w:t>
      </w:r>
      <w:r w:rsidRPr="00D813A9">
        <w:rPr>
          <w:rStyle w:val="apple-style-span"/>
          <w:rFonts w:hint="cs"/>
          <w:rtl/>
        </w:rPr>
        <w:t>החומרה</w:t>
      </w:r>
      <w:r w:rsidRPr="00D813A9">
        <w:rPr>
          <w:rStyle w:val="apple-style-span"/>
          <w:rtl/>
        </w:rPr>
        <w:t xml:space="preserve"> </w:t>
      </w:r>
      <w:r w:rsidRPr="00D813A9">
        <w:rPr>
          <w:rStyle w:val="apple-style-span"/>
          <w:rFonts w:hint="cs"/>
          <w:rtl/>
        </w:rPr>
        <w:t>בפגיעה</w:t>
      </w:r>
      <w:r w:rsidRPr="00D813A9">
        <w:rPr>
          <w:rStyle w:val="apple-style-span"/>
          <w:rtl/>
        </w:rPr>
        <w:t xml:space="preserve"> </w:t>
      </w:r>
      <w:r>
        <w:rPr>
          <w:rStyle w:val="apple-style-span"/>
          <w:rFonts w:hint="cs"/>
          <w:rtl/>
        </w:rPr>
        <w:t>בה</w:t>
      </w:r>
      <w:r w:rsidRPr="00D813A9">
        <w:rPr>
          <w:rStyle w:val="apple-style-span"/>
          <w:rtl/>
        </w:rPr>
        <w:t>.</w:t>
      </w:r>
      <w:r w:rsidRPr="00D813A9">
        <w:rPr>
          <w:rStyle w:val="af2"/>
          <w:rtl/>
        </w:rPr>
        <w:footnoteReference w:id="62"/>
      </w:r>
      <w:r w:rsidRPr="00D813A9">
        <w:rPr>
          <w:rtl/>
        </w:rPr>
        <w:t xml:space="preserve"> </w:t>
      </w:r>
      <w:r w:rsidRPr="00D813A9">
        <w:rPr>
          <w:rFonts w:hint="cs"/>
          <w:rtl/>
        </w:rPr>
        <w:lastRenderedPageBreak/>
        <w:t>יודגש</w:t>
      </w:r>
      <w:r w:rsidRPr="00D813A9">
        <w:rPr>
          <w:rtl/>
        </w:rPr>
        <w:t xml:space="preserve">, כי </w:t>
      </w:r>
      <w:r w:rsidRPr="00D813A9">
        <w:rPr>
          <w:rStyle w:val="apple-style-span"/>
          <w:rFonts w:hint="cs"/>
          <w:rtl/>
        </w:rPr>
        <w:t>הגנה</w:t>
      </w:r>
      <w:r w:rsidRPr="00D813A9">
        <w:rPr>
          <w:rStyle w:val="apple-style-span"/>
          <w:rtl/>
        </w:rPr>
        <w:t xml:space="preserve"> </w:t>
      </w:r>
      <w:r w:rsidRPr="00D813A9">
        <w:rPr>
          <w:rStyle w:val="apple-style-span"/>
          <w:rFonts w:hint="cs"/>
          <w:rtl/>
        </w:rPr>
        <w:t>זו</w:t>
      </w:r>
      <w:r w:rsidRPr="00D813A9">
        <w:rPr>
          <w:rStyle w:val="apple-style-span"/>
          <w:rtl/>
        </w:rPr>
        <w:t xml:space="preserve"> </w:t>
      </w:r>
      <w:r w:rsidRPr="00D813A9">
        <w:rPr>
          <w:rStyle w:val="apple-style-span"/>
          <w:rFonts w:hint="cs"/>
          <w:rtl/>
        </w:rPr>
        <w:t>אינה</w:t>
      </w:r>
      <w:r w:rsidRPr="00D813A9">
        <w:rPr>
          <w:rStyle w:val="apple-style-span"/>
          <w:rtl/>
        </w:rPr>
        <w:t xml:space="preserve"> </w:t>
      </w:r>
      <w:r w:rsidRPr="00D813A9">
        <w:rPr>
          <w:rStyle w:val="apple-style-span"/>
          <w:rFonts w:hint="cs"/>
          <w:rtl/>
        </w:rPr>
        <w:t>מכוונת</w:t>
      </w:r>
      <w:r w:rsidRPr="00D813A9">
        <w:rPr>
          <w:rStyle w:val="apple-style-span"/>
          <w:rtl/>
        </w:rPr>
        <w:t xml:space="preserve"> </w:t>
      </w:r>
      <w:r w:rsidRPr="00D813A9">
        <w:rPr>
          <w:rStyle w:val="apple-style-span"/>
          <w:rFonts w:hint="cs"/>
          <w:rtl/>
        </w:rPr>
        <w:t>רק</w:t>
      </w:r>
      <w:r w:rsidRPr="00D813A9">
        <w:rPr>
          <w:rStyle w:val="apple-style-span"/>
          <w:rtl/>
        </w:rPr>
        <w:t xml:space="preserve"> </w:t>
      </w:r>
      <w:r w:rsidRPr="00D813A9">
        <w:rPr>
          <w:rStyle w:val="apple-style-span"/>
          <w:rFonts w:hint="cs"/>
          <w:rtl/>
        </w:rPr>
        <w:t>לשמירה</w:t>
      </w:r>
      <w:r w:rsidRPr="00D813A9">
        <w:rPr>
          <w:rStyle w:val="apple-style-span"/>
          <w:rtl/>
        </w:rPr>
        <w:t xml:space="preserve"> </w:t>
      </w:r>
      <w:r w:rsidRPr="00D813A9">
        <w:rPr>
          <w:rStyle w:val="apple-style-span"/>
          <w:rFonts w:hint="cs"/>
          <w:rtl/>
        </w:rPr>
        <w:t>מפני</w:t>
      </w:r>
      <w:r w:rsidRPr="00D813A9">
        <w:rPr>
          <w:rStyle w:val="apple-style-span"/>
          <w:rtl/>
        </w:rPr>
        <w:t xml:space="preserve"> </w:t>
      </w:r>
      <w:r w:rsidRPr="00D813A9">
        <w:rPr>
          <w:rStyle w:val="apple-style-span"/>
          <w:rFonts w:hint="cs"/>
          <w:rtl/>
        </w:rPr>
        <w:t>אובדן</w:t>
      </w:r>
      <w:r w:rsidRPr="00D813A9">
        <w:rPr>
          <w:rStyle w:val="apple-style-span"/>
          <w:rtl/>
        </w:rPr>
        <w:t xml:space="preserve"> </w:t>
      </w:r>
      <w:r w:rsidRPr="00D813A9">
        <w:rPr>
          <w:rStyle w:val="apple-style-span"/>
          <w:rFonts w:hint="cs"/>
          <w:rtl/>
        </w:rPr>
        <w:t>הבעלות</w:t>
      </w:r>
      <w:r w:rsidRPr="00D813A9">
        <w:rPr>
          <w:rStyle w:val="apple-style-span"/>
          <w:rtl/>
        </w:rPr>
        <w:t xml:space="preserve">, </w:t>
      </w:r>
      <w:r w:rsidRPr="00D813A9">
        <w:rPr>
          <w:rStyle w:val="apple-style-span"/>
          <w:rFonts w:hint="cs"/>
          <w:rtl/>
        </w:rPr>
        <w:t>אלא</w:t>
      </w:r>
      <w:r w:rsidRPr="00D813A9">
        <w:rPr>
          <w:rStyle w:val="apple-style-span"/>
          <w:rtl/>
        </w:rPr>
        <w:t xml:space="preserve"> </w:t>
      </w:r>
      <w:r w:rsidRPr="00D813A9">
        <w:rPr>
          <w:rStyle w:val="apple-style-span"/>
          <w:rFonts w:hint="cs"/>
          <w:rtl/>
        </w:rPr>
        <w:t>גם</w:t>
      </w:r>
      <w:r w:rsidRPr="00D813A9">
        <w:rPr>
          <w:rStyle w:val="apple-style-span"/>
          <w:rtl/>
        </w:rPr>
        <w:t xml:space="preserve"> </w:t>
      </w:r>
      <w:r w:rsidRPr="00D813A9">
        <w:rPr>
          <w:rStyle w:val="apple-style-span"/>
          <w:rFonts w:hint="cs"/>
          <w:rtl/>
        </w:rPr>
        <w:t>מפני</w:t>
      </w:r>
      <w:r w:rsidRPr="00D813A9">
        <w:rPr>
          <w:rStyle w:val="apple-style-span"/>
          <w:rtl/>
        </w:rPr>
        <w:t xml:space="preserve"> </w:t>
      </w:r>
      <w:r w:rsidRPr="00D813A9">
        <w:rPr>
          <w:rStyle w:val="apple-style-span"/>
          <w:rFonts w:hint="cs"/>
          <w:rtl/>
        </w:rPr>
        <w:t>שלילת</w:t>
      </w:r>
      <w:r w:rsidRPr="00D813A9">
        <w:rPr>
          <w:rStyle w:val="apple-style-span"/>
          <w:rtl/>
        </w:rPr>
        <w:t xml:space="preserve"> </w:t>
      </w:r>
      <w:r w:rsidRPr="00D813A9">
        <w:rPr>
          <w:rStyle w:val="apple-style-span"/>
          <w:rFonts w:hint="cs"/>
          <w:rtl/>
        </w:rPr>
        <w:t>היכולת</w:t>
      </w:r>
      <w:r w:rsidRPr="00D813A9">
        <w:rPr>
          <w:rStyle w:val="apple-style-span"/>
          <w:rtl/>
        </w:rPr>
        <w:t xml:space="preserve"> </w:t>
      </w:r>
      <w:r w:rsidRPr="00D813A9">
        <w:rPr>
          <w:rStyle w:val="apple-style-span"/>
          <w:rFonts w:hint="cs"/>
          <w:rtl/>
        </w:rPr>
        <w:t>לממש</w:t>
      </w:r>
      <w:r w:rsidRPr="00D813A9">
        <w:rPr>
          <w:rStyle w:val="apple-style-span"/>
          <w:rtl/>
        </w:rPr>
        <w:t xml:space="preserve"> </w:t>
      </w:r>
      <w:r w:rsidRPr="00D813A9">
        <w:rPr>
          <w:rStyle w:val="apple-style-span"/>
          <w:rFonts w:hint="cs"/>
          <w:rtl/>
        </w:rPr>
        <w:t>זכויות</w:t>
      </w:r>
      <w:r w:rsidRPr="00D813A9">
        <w:rPr>
          <w:rStyle w:val="apple-style-span"/>
          <w:rtl/>
        </w:rPr>
        <w:t xml:space="preserve"> </w:t>
      </w:r>
      <w:r w:rsidRPr="00D813A9">
        <w:rPr>
          <w:rStyle w:val="apple-style-span"/>
          <w:rFonts w:hint="cs"/>
          <w:rtl/>
        </w:rPr>
        <w:t>בנכס</w:t>
      </w:r>
      <w:r w:rsidRPr="00D813A9">
        <w:rPr>
          <w:rStyle w:val="apple-style-span"/>
          <w:rtl/>
        </w:rPr>
        <w:t>,</w:t>
      </w:r>
      <w:r w:rsidRPr="00D813A9">
        <w:rPr>
          <w:rStyle w:val="af2"/>
          <w:rtl/>
        </w:rPr>
        <w:footnoteReference w:id="63"/>
      </w:r>
      <w:r w:rsidRPr="00D813A9">
        <w:rPr>
          <w:rStyle w:val="apple-style-span"/>
          <w:rtl/>
        </w:rPr>
        <w:t xml:space="preserve"> לדוגמא על ידי בנייה שלא כדין על האדמה והשתלטות עליה.</w:t>
      </w:r>
      <w:r w:rsidRPr="00D813A9">
        <w:rPr>
          <w:rStyle w:val="af2"/>
          <w:rtl/>
        </w:rPr>
        <w:footnoteReference w:id="64"/>
      </w:r>
    </w:p>
    <w:p w:rsidR="005F42E6" w:rsidRDefault="00505C06" w:rsidP="007F315E">
      <w:pPr>
        <w:pStyle w:val="af"/>
        <w:numPr>
          <w:ilvl w:val="0"/>
          <w:numId w:val="18"/>
        </w:numPr>
        <w:bidi/>
        <w:spacing w:line="360" w:lineRule="auto"/>
        <w:ind w:left="425" w:hanging="357"/>
        <w:contextualSpacing w:val="0"/>
      </w:pPr>
      <w:r w:rsidRPr="007F315E">
        <w:rPr>
          <w:rStyle w:val="apple-style-span"/>
          <w:rFonts w:hint="cs"/>
          <w:u w:val="single"/>
          <w:rtl/>
        </w:rPr>
        <w:t>פגיעה בקניין לצרכי ביטחון</w:t>
      </w:r>
      <w:r w:rsidRPr="00505C06">
        <w:rPr>
          <w:rStyle w:val="apple-style-span"/>
          <w:rFonts w:hint="cs"/>
          <w:rtl/>
        </w:rPr>
        <w:t xml:space="preserve"> </w:t>
      </w:r>
      <w:r w:rsidR="007F315E">
        <w:rPr>
          <w:rStyle w:val="apple-style-span"/>
          <w:rtl/>
        </w:rPr>
        <w:t>–</w:t>
      </w:r>
      <w:r w:rsidR="00AB2801">
        <w:rPr>
          <w:rStyle w:val="apple-style-span"/>
          <w:rFonts w:hint="cs"/>
          <w:rtl/>
        </w:rPr>
        <w:t xml:space="preserve"> </w:t>
      </w:r>
      <w:r w:rsidR="00464AE9" w:rsidRPr="00D813A9">
        <w:rPr>
          <w:rStyle w:val="apple-style-span"/>
          <w:rFonts w:hint="cs"/>
          <w:rtl/>
        </w:rPr>
        <w:t>לצד</w:t>
      </w:r>
      <w:r w:rsidR="00464AE9" w:rsidRPr="00D813A9">
        <w:rPr>
          <w:rStyle w:val="apple-style-span"/>
          <w:rtl/>
        </w:rPr>
        <w:t xml:space="preserve"> ההגנה המוענקת לרכוש ולקניין, מכירים דיני התפיסה </w:t>
      </w:r>
      <w:r w:rsidR="00464AE9" w:rsidRPr="00D813A9">
        <w:rPr>
          <w:rStyle w:val="apple-style-span"/>
          <w:rFonts w:hint="cs"/>
          <w:rtl/>
        </w:rPr>
        <w:t>הלוחמתית</w:t>
      </w:r>
      <w:r w:rsidR="00464AE9" w:rsidRPr="00D813A9">
        <w:rPr>
          <w:rStyle w:val="apple-style-span"/>
          <w:rtl/>
        </w:rPr>
        <w:t xml:space="preserve"> בסמכות לפגוע בזכות הקניין, וזאת בשל הצורך לאזן בין זכות זו לבין </w:t>
      </w:r>
      <w:r w:rsidR="00464AE9" w:rsidRPr="00D813A9">
        <w:rPr>
          <w:rFonts w:hint="cs"/>
          <w:rtl/>
        </w:rPr>
        <w:t>צורכי</w:t>
      </w:r>
      <w:r w:rsidR="00464AE9" w:rsidRPr="00D813A9">
        <w:rPr>
          <w:rtl/>
        </w:rPr>
        <w:t xml:space="preserve"> </w:t>
      </w:r>
      <w:r w:rsidR="00464AE9" w:rsidRPr="00D813A9">
        <w:rPr>
          <w:rFonts w:hint="cs"/>
          <w:rtl/>
        </w:rPr>
        <w:t>הביטחון</w:t>
      </w:r>
      <w:r w:rsidR="00464AE9" w:rsidRPr="00D813A9">
        <w:rPr>
          <w:rtl/>
        </w:rPr>
        <w:t xml:space="preserve"> </w:t>
      </w:r>
      <w:r w:rsidR="00464AE9" w:rsidRPr="00D813A9">
        <w:rPr>
          <w:rFonts w:hint="cs"/>
          <w:rtl/>
        </w:rPr>
        <w:t>מנקודת</w:t>
      </w:r>
      <w:r w:rsidR="00464AE9" w:rsidRPr="00D813A9">
        <w:rPr>
          <w:rtl/>
        </w:rPr>
        <w:t xml:space="preserve"> </w:t>
      </w:r>
      <w:r w:rsidR="00464AE9" w:rsidRPr="00D813A9">
        <w:rPr>
          <w:rFonts w:hint="cs"/>
          <w:rtl/>
        </w:rPr>
        <w:t>ראותו</w:t>
      </w:r>
      <w:r w:rsidR="00464AE9" w:rsidRPr="00D813A9">
        <w:rPr>
          <w:rtl/>
        </w:rPr>
        <w:t xml:space="preserve"> </w:t>
      </w:r>
      <w:r w:rsidR="00464AE9" w:rsidRPr="00D813A9">
        <w:rPr>
          <w:rFonts w:hint="cs"/>
          <w:rtl/>
        </w:rPr>
        <w:t>של</w:t>
      </w:r>
      <w:r w:rsidR="00464AE9" w:rsidRPr="00D813A9">
        <w:rPr>
          <w:rtl/>
        </w:rPr>
        <w:t xml:space="preserve"> </w:t>
      </w:r>
      <w:r w:rsidR="00464AE9" w:rsidRPr="00D813A9">
        <w:rPr>
          <w:rFonts w:hint="cs"/>
          <w:rtl/>
        </w:rPr>
        <w:t>המפקד</w:t>
      </w:r>
      <w:r w:rsidR="00464AE9" w:rsidRPr="00D813A9">
        <w:rPr>
          <w:rtl/>
        </w:rPr>
        <w:t xml:space="preserve"> </w:t>
      </w:r>
      <w:r w:rsidR="00464AE9" w:rsidRPr="00D813A9">
        <w:rPr>
          <w:rFonts w:hint="cs"/>
          <w:rtl/>
        </w:rPr>
        <w:t>הצבאי</w:t>
      </w:r>
      <w:r w:rsidR="00464AE9" w:rsidRPr="00D813A9">
        <w:rPr>
          <w:rStyle w:val="apple-style-span"/>
          <w:rtl/>
        </w:rPr>
        <w:t xml:space="preserve">. כך למשל, הדינים כוללים הוראות </w:t>
      </w:r>
      <w:r w:rsidR="00464AE9" w:rsidRPr="00D813A9">
        <w:rPr>
          <w:rFonts w:hint="cs"/>
          <w:rtl/>
        </w:rPr>
        <w:t>המאפשרות</w:t>
      </w:r>
      <w:r w:rsidR="00464AE9" w:rsidRPr="00D813A9">
        <w:rPr>
          <w:rtl/>
        </w:rPr>
        <w:t xml:space="preserve"> פגיעה בהיבטים ספציפיים של זכות הקניין, </w:t>
      </w:r>
      <w:r w:rsidR="00464AE9" w:rsidRPr="00D813A9">
        <w:rPr>
          <w:rStyle w:val="apple-style-span"/>
          <w:rFonts w:hint="cs"/>
          <w:rtl/>
        </w:rPr>
        <w:t>כגון</w:t>
      </w:r>
      <w:r w:rsidR="00464AE9" w:rsidRPr="00D813A9">
        <w:rPr>
          <w:rStyle w:val="apple-style-span"/>
          <w:rtl/>
        </w:rPr>
        <w:t xml:space="preserve"> מתן אפשרות למפקד </w:t>
      </w:r>
      <w:r w:rsidR="00464AE9" w:rsidRPr="00D813A9">
        <w:rPr>
          <w:rFonts w:hint="cs"/>
          <w:rtl/>
        </w:rPr>
        <w:t>הצבאי</w:t>
      </w:r>
      <w:r w:rsidR="00464AE9" w:rsidRPr="00D813A9">
        <w:rPr>
          <w:rStyle w:val="apple-style-span"/>
          <w:rtl/>
        </w:rPr>
        <w:t xml:space="preserve"> לתפוס מקרקעין פרטיים לצרכים צבאיים </w:t>
      </w:r>
      <w:r w:rsidR="00464AE9" w:rsidRPr="00D813A9">
        <w:rPr>
          <w:rtl/>
        </w:rPr>
        <w:t>(תקנה 52 לתקנות האג)</w:t>
      </w:r>
      <w:r w:rsidR="00464AE9" w:rsidRPr="00D813A9">
        <w:rPr>
          <w:rStyle w:val="af2"/>
          <w:rtl/>
        </w:rPr>
        <w:footnoteReference w:id="65"/>
      </w:r>
      <w:r w:rsidR="00464AE9" w:rsidRPr="00D813A9">
        <w:rPr>
          <w:rtl/>
        </w:rPr>
        <w:t xml:space="preserve"> או להרוס רכוש אויב כאשר הדבר נדרש לצרכי לחימה.</w:t>
      </w:r>
      <w:r w:rsidR="00464AE9" w:rsidRPr="00D813A9">
        <w:rPr>
          <w:rStyle w:val="af2"/>
          <w:rtl/>
        </w:rPr>
        <w:footnoteReference w:id="66"/>
      </w:r>
      <w:r w:rsidR="00464AE9" w:rsidRPr="00D813A9">
        <w:rPr>
          <w:rtl/>
        </w:rPr>
        <w:t xml:space="preserve"> </w:t>
      </w:r>
      <w:r w:rsidR="007F315E">
        <w:rPr>
          <w:rStyle w:val="apple-style-span"/>
          <w:rFonts w:hint="cs"/>
          <w:rtl/>
        </w:rPr>
        <w:t>כלומר, יש לבחון, בכל מקרה לגופו, האם צורך צבאי הצדיק את הפגיעה בקניין.</w:t>
      </w:r>
      <w:r w:rsidR="007F315E" w:rsidRPr="00C82637">
        <w:rPr>
          <w:rStyle w:val="af2"/>
          <w:rtl/>
        </w:rPr>
        <w:footnoteReference w:id="67"/>
      </w:r>
    </w:p>
    <w:p w:rsidR="00505C06" w:rsidRPr="00D813A9" w:rsidRDefault="00505C06" w:rsidP="00DD78BF">
      <w:pPr>
        <w:pStyle w:val="af"/>
        <w:numPr>
          <w:ilvl w:val="0"/>
          <w:numId w:val="18"/>
        </w:numPr>
        <w:bidi/>
        <w:spacing w:line="360" w:lineRule="auto"/>
        <w:ind w:left="425" w:hanging="357"/>
        <w:contextualSpacing w:val="0"/>
      </w:pPr>
      <w:r w:rsidRPr="00D813A9">
        <w:rPr>
          <w:rFonts w:hint="cs"/>
          <w:rtl/>
        </w:rPr>
        <w:t>יחד</w:t>
      </w:r>
      <w:r w:rsidRPr="00D813A9">
        <w:rPr>
          <w:rtl/>
        </w:rPr>
        <w:t xml:space="preserve"> </w:t>
      </w:r>
      <w:r w:rsidRPr="00D813A9">
        <w:rPr>
          <w:rFonts w:hint="cs"/>
          <w:rtl/>
        </w:rPr>
        <w:t>עם</w:t>
      </w:r>
      <w:r w:rsidRPr="00D813A9">
        <w:rPr>
          <w:rtl/>
        </w:rPr>
        <w:t xml:space="preserve"> </w:t>
      </w:r>
      <w:r w:rsidRPr="00D813A9">
        <w:rPr>
          <w:rFonts w:hint="cs"/>
          <w:rtl/>
        </w:rPr>
        <w:t>זאת</w:t>
      </w:r>
      <w:r w:rsidRPr="00D813A9">
        <w:rPr>
          <w:rtl/>
        </w:rPr>
        <w:t xml:space="preserve">, </w:t>
      </w:r>
      <w:r w:rsidRPr="00D813A9">
        <w:rPr>
          <w:rFonts w:hint="cs"/>
          <w:rtl/>
        </w:rPr>
        <w:t>גם</w:t>
      </w:r>
      <w:r w:rsidRPr="00D813A9">
        <w:rPr>
          <w:rtl/>
        </w:rPr>
        <w:t xml:space="preserve"> </w:t>
      </w:r>
      <w:r w:rsidRPr="00D813A9">
        <w:rPr>
          <w:rFonts w:hint="cs"/>
          <w:rtl/>
        </w:rPr>
        <w:t>כאשר</w:t>
      </w:r>
      <w:r w:rsidRPr="00D813A9">
        <w:rPr>
          <w:rtl/>
        </w:rPr>
        <w:t xml:space="preserve"> </w:t>
      </w:r>
      <w:r w:rsidRPr="00D813A9">
        <w:rPr>
          <w:rFonts w:hint="cs"/>
          <w:rtl/>
        </w:rPr>
        <w:t>בית</w:t>
      </w:r>
      <w:r w:rsidRPr="00D813A9">
        <w:rPr>
          <w:rtl/>
        </w:rPr>
        <w:t xml:space="preserve"> </w:t>
      </w:r>
      <w:r w:rsidRPr="00D813A9">
        <w:rPr>
          <w:rFonts w:hint="cs"/>
          <w:rtl/>
        </w:rPr>
        <w:t>המשפט</w:t>
      </w:r>
      <w:r w:rsidRPr="00D813A9">
        <w:rPr>
          <w:rtl/>
        </w:rPr>
        <w:t xml:space="preserve"> </w:t>
      </w:r>
      <w:r w:rsidRPr="00D813A9">
        <w:rPr>
          <w:rFonts w:hint="cs"/>
          <w:rtl/>
        </w:rPr>
        <w:t>העליון</w:t>
      </w:r>
      <w:r w:rsidRPr="00D813A9">
        <w:rPr>
          <w:rtl/>
        </w:rPr>
        <w:t xml:space="preserve"> </w:t>
      </w:r>
      <w:r w:rsidRPr="00D813A9">
        <w:rPr>
          <w:rFonts w:hint="cs"/>
          <w:rtl/>
        </w:rPr>
        <w:t>התיר</w:t>
      </w:r>
      <w:r w:rsidRPr="00D813A9">
        <w:rPr>
          <w:rtl/>
        </w:rPr>
        <w:t xml:space="preserve"> </w:t>
      </w:r>
      <w:r w:rsidR="00DD78BF">
        <w:rPr>
          <w:rFonts w:hint="cs"/>
          <w:rtl/>
        </w:rPr>
        <w:t xml:space="preserve">בעבר </w:t>
      </w:r>
      <w:r w:rsidRPr="00D813A9">
        <w:rPr>
          <w:rFonts w:hint="cs"/>
          <w:rtl/>
        </w:rPr>
        <w:t>להפקיע</w:t>
      </w:r>
      <w:r w:rsidRPr="00D813A9">
        <w:rPr>
          <w:rtl/>
        </w:rPr>
        <w:t xml:space="preserve"> </w:t>
      </w:r>
      <w:r w:rsidRPr="00D813A9">
        <w:rPr>
          <w:rFonts w:hint="cs"/>
          <w:rtl/>
        </w:rPr>
        <w:t>קרקע</w:t>
      </w:r>
      <w:r w:rsidRPr="00D813A9">
        <w:rPr>
          <w:rtl/>
        </w:rPr>
        <w:t xml:space="preserve"> </w:t>
      </w:r>
      <w:r w:rsidRPr="00D813A9">
        <w:rPr>
          <w:rFonts w:hint="cs"/>
          <w:rtl/>
        </w:rPr>
        <w:t>פרטית</w:t>
      </w:r>
      <w:r w:rsidRPr="00D813A9">
        <w:rPr>
          <w:rtl/>
        </w:rPr>
        <w:t xml:space="preserve"> </w:t>
      </w:r>
      <w:r w:rsidRPr="00D813A9">
        <w:rPr>
          <w:rFonts w:hint="cs"/>
          <w:rtl/>
        </w:rPr>
        <w:t>לצרכים</w:t>
      </w:r>
      <w:r w:rsidRPr="00D813A9">
        <w:rPr>
          <w:rtl/>
        </w:rPr>
        <w:t xml:space="preserve"> </w:t>
      </w:r>
      <w:r w:rsidRPr="00D813A9">
        <w:rPr>
          <w:rFonts w:hint="cs"/>
          <w:rtl/>
        </w:rPr>
        <w:t>ביטחוניים</w:t>
      </w:r>
      <w:r w:rsidRPr="00D813A9">
        <w:rPr>
          <w:rtl/>
        </w:rPr>
        <w:t xml:space="preserve">, </w:t>
      </w:r>
      <w:r w:rsidRPr="00D813A9">
        <w:rPr>
          <w:rFonts w:hint="cs"/>
          <w:rtl/>
        </w:rPr>
        <w:t>הוא</w:t>
      </w:r>
      <w:r w:rsidRPr="00D813A9">
        <w:rPr>
          <w:rtl/>
        </w:rPr>
        <w:t xml:space="preserve"> </w:t>
      </w:r>
      <w:r w:rsidRPr="00D813A9">
        <w:rPr>
          <w:rFonts w:hint="cs"/>
          <w:rtl/>
        </w:rPr>
        <w:t>קבע</w:t>
      </w:r>
      <w:r w:rsidRPr="00D813A9">
        <w:rPr>
          <w:rtl/>
        </w:rPr>
        <w:t xml:space="preserve"> </w:t>
      </w:r>
      <w:r w:rsidRPr="00D813A9">
        <w:rPr>
          <w:rFonts w:hint="cs"/>
          <w:rtl/>
        </w:rPr>
        <w:t>כי</w:t>
      </w:r>
      <w:r w:rsidRPr="00D813A9">
        <w:rPr>
          <w:rtl/>
        </w:rPr>
        <w:t xml:space="preserve"> </w:t>
      </w:r>
      <w:r w:rsidRPr="00D813A9">
        <w:rPr>
          <w:rFonts w:hint="cs"/>
          <w:rtl/>
        </w:rPr>
        <w:t>על</w:t>
      </w:r>
      <w:r w:rsidRPr="00D813A9">
        <w:rPr>
          <w:rtl/>
        </w:rPr>
        <w:t xml:space="preserve"> </w:t>
      </w:r>
      <w:r w:rsidRPr="00D813A9">
        <w:rPr>
          <w:rFonts w:hint="cs"/>
          <w:rtl/>
        </w:rPr>
        <w:t>ההפקעה</w:t>
      </w:r>
      <w:r w:rsidRPr="00D813A9">
        <w:rPr>
          <w:rtl/>
        </w:rPr>
        <w:t xml:space="preserve"> </w:t>
      </w:r>
      <w:r w:rsidRPr="00D813A9">
        <w:rPr>
          <w:rFonts w:hint="cs"/>
          <w:rtl/>
        </w:rPr>
        <w:t>להיות</w:t>
      </w:r>
      <w:r w:rsidRPr="00D813A9">
        <w:rPr>
          <w:rtl/>
        </w:rPr>
        <w:t xml:space="preserve"> </w:t>
      </w:r>
      <w:r w:rsidRPr="00D813A9">
        <w:rPr>
          <w:rFonts w:hint="cs"/>
          <w:rtl/>
        </w:rPr>
        <w:t>קצובה</w:t>
      </w:r>
      <w:r w:rsidRPr="00D813A9">
        <w:rPr>
          <w:rtl/>
        </w:rPr>
        <w:t xml:space="preserve"> </w:t>
      </w:r>
      <w:r w:rsidRPr="00D813A9">
        <w:rPr>
          <w:rFonts w:hint="cs"/>
          <w:rtl/>
        </w:rPr>
        <w:t>בזמן</w:t>
      </w:r>
      <w:r>
        <w:rPr>
          <w:rFonts w:hint="cs"/>
          <w:rtl/>
        </w:rPr>
        <w:t xml:space="preserve"> </w:t>
      </w:r>
      <w:r w:rsidRPr="00D813A9">
        <w:rPr>
          <w:rFonts w:hint="cs"/>
          <w:rtl/>
        </w:rPr>
        <w:t>מוגדר</w:t>
      </w:r>
      <w:r w:rsidRPr="00D813A9">
        <w:rPr>
          <w:rtl/>
        </w:rPr>
        <w:t xml:space="preserve"> הכולל מועד לסיומ</w:t>
      </w:r>
      <w:r w:rsidRPr="00D813A9">
        <w:rPr>
          <w:rFonts w:hint="cs"/>
          <w:rtl/>
        </w:rPr>
        <w:t>ה</w:t>
      </w:r>
      <w:r>
        <w:rPr>
          <w:rFonts w:hint="cs"/>
          <w:rtl/>
        </w:rPr>
        <w:t xml:space="preserve"> ואך למשך קיומו של הצורך הצבאי.</w:t>
      </w:r>
      <w:r w:rsidRPr="00D813A9">
        <w:rPr>
          <w:rStyle w:val="af2"/>
          <w:rtl/>
        </w:rPr>
        <w:footnoteReference w:id="68"/>
      </w:r>
      <w:r>
        <w:rPr>
          <w:rFonts w:hint="cs"/>
          <w:rtl/>
        </w:rPr>
        <w:t xml:space="preserve"> כמו כן נקבע כי מקום בו מדובר במקרקעין פרטיים</w:t>
      </w:r>
      <w:r w:rsidR="00DD78BF">
        <w:rPr>
          <w:rFonts w:hint="cs"/>
          <w:rtl/>
        </w:rPr>
        <w:t>,</w:t>
      </w:r>
      <w:r w:rsidRPr="00D813A9">
        <w:rPr>
          <w:rtl/>
        </w:rPr>
        <w:t xml:space="preserve"> </w:t>
      </w:r>
      <w:r w:rsidRPr="00D813A9">
        <w:rPr>
          <w:rFonts w:hint="cs"/>
          <w:rtl/>
        </w:rPr>
        <w:t>אין</w:t>
      </w:r>
      <w:r w:rsidRPr="00D813A9">
        <w:rPr>
          <w:rtl/>
        </w:rPr>
        <w:t xml:space="preserve"> </w:t>
      </w:r>
      <w:r w:rsidRPr="00D813A9">
        <w:rPr>
          <w:rFonts w:hint="cs"/>
          <w:rtl/>
        </w:rPr>
        <w:t>להסתפק</w:t>
      </w:r>
      <w:r w:rsidRPr="00D813A9">
        <w:rPr>
          <w:rtl/>
        </w:rPr>
        <w:t xml:space="preserve"> </w:t>
      </w:r>
      <w:r w:rsidRPr="00D813A9">
        <w:rPr>
          <w:rFonts w:hint="cs"/>
          <w:rtl/>
        </w:rPr>
        <w:t>בקביעת</w:t>
      </w:r>
      <w:r w:rsidRPr="00D813A9">
        <w:rPr>
          <w:rtl/>
        </w:rPr>
        <w:t xml:space="preserve"> </w:t>
      </w:r>
      <w:r w:rsidRPr="00D813A9">
        <w:rPr>
          <w:rFonts w:hint="cs"/>
          <w:rtl/>
        </w:rPr>
        <w:t>מועד</w:t>
      </w:r>
      <w:r w:rsidRPr="00D813A9">
        <w:rPr>
          <w:rtl/>
        </w:rPr>
        <w:t xml:space="preserve"> </w:t>
      </w:r>
      <w:r w:rsidRPr="00D813A9">
        <w:rPr>
          <w:rFonts w:hint="cs"/>
          <w:rtl/>
        </w:rPr>
        <w:t>עתידי</w:t>
      </w:r>
      <w:r w:rsidRPr="00D813A9">
        <w:rPr>
          <w:rtl/>
        </w:rPr>
        <w:t xml:space="preserve"> </w:t>
      </w:r>
      <w:r w:rsidRPr="00D813A9">
        <w:rPr>
          <w:rFonts w:hint="cs"/>
          <w:rtl/>
        </w:rPr>
        <w:t>התלוי</w:t>
      </w:r>
      <w:r w:rsidRPr="00D813A9">
        <w:rPr>
          <w:rtl/>
        </w:rPr>
        <w:t xml:space="preserve"> </w:t>
      </w:r>
      <w:r w:rsidRPr="00D813A9">
        <w:rPr>
          <w:rFonts w:hint="cs"/>
          <w:rtl/>
        </w:rPr>
        <w:t>בהתקיימות</w:t>
      </w:r>
      <w:r w:rsidRPr="00D813A9">
        <w:rPr>
          <w:rtl/>
        </w:rPr>
        <w:t xml:space="preserve"> </w:t>
      </w:r>
      <w:r w:rsidRPr="00D813A9">
        <w:rPr>
          <w:rFonts w:hint="cs"/>
          <w:rtl/>
        </w:rPr>
        <w:t>תנאי</w:t>
      </w:r>
      <w:r w:rsidRPr="00D813A9">
        <w:rPr>
          <w:rtl/>
        </w:rPr>
        <w:t xml:space="preserve"> </w:t>
      </w:r>
      <w:r w:rsidRPr="00D813A9">
        <w:rPr>
          <w:rFonts w:hint="cs"/>
          <w:rtl/>
        </w:rPr>
        <w:t>לא</w:t>
      </w:r>
      <w:r w:rsidRPr="00D813A9">
        <w:rPr>
          <w:rtl/>
        </w:rPr>
        <w:t xml:space="preserve"> </w:t>
      </w:r>
      <w:r w:rsidRPr="00D813A9">
        <w:rPr>
          <w:rFonts w:hint="cs"/>
          <w:rtl/>
        </w:rPr>
        <w:t>ודאי</w:t>
      </w:r>
      <w:r>
        <w:rPr>
          <w:rFonts w:hint="cs"/>
          <w:rtl/>
        </w:rPr>
        <w:t xml:space="preserve"> שיש לגביו ערפול בכל הנוגע לתכנון לטווח ארוך יותר</w:t>
      </w:r>
      <w:r w:rsidRPr="00D813A9">
        <w:rPr>
          <w:rtl/>
        </w:rPr>
        <w:t>.</w:t>
      </w:r>
      <w:r w:rsidRPr="00D813A9">
        <w:rPr>
          <w:rStyle w:val="af2"/>
          <w:rtl/>
        </w:rPr>
        <w:footnoteReference w:id="69"/>
      </w:r>
      <w:r w:rsidRPr="00D813A9">
        <w:rPr>
          <w:rtl/>
        </w:rPr>
        <w:t xml:space="preserve"> על פי בית המשפט העליון, "</w:t>
      </w:r>
      <w:r w:rsidRPr="00D813A9">
        <w:rPr>
          <w:rStyle w:val="apple-style-span"/>
          <w:rFonts w:hint="cs"/>
          <w:rtl/>
        </w:rPr>
        <w:t>הכוח</w:t>
      </w:r>
      <w:r w:rsidRPr="00D813A9">
        <w:rPr>
          <w:rStyle w:val="apple-style-span"/>
          <w:rtl/>
        </w:rPr>
        <w:t xml:space="preserve"> </w:t>
      </w:r>
      <w:r w:rsidRPr="00D813A9">
        <w:rPr>
          <w:rStyle w:val="apple-style-span"/>
          <w:rFonts w:hint="cs"/>
          <w:rtl/>
        </w:rPr>
        <w:t>הכובש</w:t>
      </w:r>
      <w:r w:rsidRPr="00D813A9">
        <w:rPr>
          <w:rStyle w:val="apple-style-span"/>
          <w:rtl/>
        </w:rPr>
        <w:t xml:space="preserve"> </w:t>
      </w:r>
      <w:r w:rsidRPr="00D813A9">
        <w:rPr>
          <w:rStyle w:val="apple-style-span"/>
          <w:rFonts w:hint="cs"/>
          <w:rtl/>
        </w:rPr>
        <w:t>אינו</w:t>
      </w:r>
      <w:r w:rsidRPr="00D813A9">
        <w:rPr>
          <w:rStyle w:val="apple-style-span"/>
          <w:rtl/>
        </w:rPr>
        <w:t xml:space="preserve"> </w:t>
      </w:r>
      <w:r w:rsidRPr="00D813A9">
        <w:rPr>
          <w:rStyle w:val="apple-style-span"/>
          <w:rFonts w:hint="cs"/>
          <w:rtl/>
        </w:rPr>
        <w:t>רשאי</w:t>
      </w:r>
      <w:r w:rsidRPr="00D813A9">
        <w:rPr>
          <w:rStyle w:val="apple-style-span"/>
          <w:rtl/>
        </w:rPr>
        <w:t xml:space="preserve"> </w:t>
      </w:r>
      <w:r w:rsidRPr="00D813A9">
        <w:rPr>
          <w:rStyle w:val="apple-style-span"/>
          <w:rFonts w:hint="cs"/>
          <w:rtl/>
        </w:rPr>
        <w:t>להפקיע</w:t>
      </w:r>
      <w:r w:rsidRPr="00D813A9">
        <w:rPr>
          <w:rStyle w:val="apple-style-span"/>
          <w:rtl/>
        </w:rPr>
        <w:t xml:space="preserve"> </w:t>
      </w:r>
      <w:r w:rsidRPr="00D813A9">
        <w:rPr>
          <w:rStyle w:val="apple-style-span"/>
          <w:rFonts w:hint="cs"/>
          <w:rtl/>
        </w:rPr>
        <w:t>את</w:t>
      </w:r>
      <w:r w:rsidRPr="00D813A9">
        <w:rPr>
          <w:rStyle w:val="apple-style-span"/>
          <w:rtl/>
        </w:rPr>
        <w:t xml:space="preserve"> </w:t>
      </w:r>
      <w:r w:rsidRPr="00D813A9">
        <w:rPr>
          <w:rStyle w:val="apple-style-span"/>
          <w:rFonts w:hint="cs"/>
          <w:rtl/>
        </w:rPr>
        <w:t>השטח</w:t>
      </w:r>
      <w:r w:rsidRPr="00D813A9">
        <w:rPr>
          <w:rStyle w:val="apple-style-span"/>
          <w:rtl/>
        </w:rPr>
        <w:t xml:space="preserve"> </w:t>
      </w:r>
      <w:r w:rsidRPr="00D813A9">
        <w:rPr>
          <w:rStyle w:val="apple-style-span"/>
          <w:rFonts w:hint="cs"/>
          <w:rtl/>
        </w:rPr>
        <w:t>לצרכיו</w:t>
      </w:r>
      <w:r w:rsidRPr="00D813A9">
        <w:rPr>
          <w:rStyle w:val="apple-style-span"/>
          <w:rtl/>
        </w:rPr>
        <w:t xml:space="preserve"> </w:t>
      </w:r>
      <w:r w:rsidRPr="00D813A9">
        <w:rPr>
          <w:rStyle w:val="apple-style-span"/>
          <w:rFonts w:hint="cs"/>
          <w:rtl/>
        </w:rPr>
        <w:t>לטווח</w:t>
      </w:r>
      <w:r w:rsidRPr="00D813A9">
        <w:rPr>
          <w:rStyle w:val="apple-style-span"/>
          <w:rtl/>
        </w:rPr>
        <w:t xml:space="preserve"> </w:t>
      </w:r>
      <w:r w:rsidRPr="00D813A9">
        <w:rPr>
          <w:rStyle w:val="apple-style-span"/>
          <w:rFonts w:hint="cs"/>
          <w:rtl/>
        </w:rPr>
        <w:t>ארוך</w:t>
      </w:r>
      <w:r w:rsidRPr="00D813A9">
        <w:rPr>
          <w:rStyle w:val="apple-style-span"/>
          <w:rtl/>
        </w:rPr>
        <w:t xml:space="preserve"> </w:t>
      </w:r>
      <w:r w:rsidRPr="00D813A9">
        <w:rPr>
          <w:rStyle w:val="apple-style-span"/>
          <w:rFonts w:hint="cs"/>
          <w:rtl/>
        </w:rPr>
        <w:t>שכן</w:t>
      </w:r>
      <w:r w:rsidRPr="00D813A9">
        <w:rPr>
          <w:rStyle w:val="apple-style-span"/>
          <w:rtl/>
        </w:rPr>
        <w:t xml:space="preserve"> </w:t>
      </w:r>
      <w:r w:rsidRPr="00D813A9">
        <w:rPr>
          <w:rStyle w:val="apple-style-span"/>
          <w:rFonts w:hint="cs"/>
          <w:rtl/>
        </w:rPr>
        <w:t>אחיזתו</w:t>
      </w:r>
      <w:r w:rsidRPr="00D813A9">
        <w:rPr>
          <w:rStyle w:val="apple-style-span"/>
          <w:rtl/>
        </w:rPr>
        <w:t xml:space="preserve"> </w:t>
      </w:r>
      <w:r w:rsidRPr="00D813A9">
        <w:rPr>
          <w:rStyle w:val="apple-style-span"/>
          <w:rFonts w:hint="cs"/>
          <w:rtl/>
        </w:rPr>
        <w:t>של</w:t>
      </w:r>
      <w:r w:rsidRPr="00D813A9">
        <w:rPr>
          <w:rStyle w:val="apple-style-span"/>
          <w:rtl/>
        </w:rPr>
        <w:t xml:space="preserve"> </w:t>
      </w:r>
      <w:r w:rsidRPr="00D813A9">
        <w:rPr>
          <w:rStyle w:val="apple-style-span"/>
          <w:rFonts w:hint="cs"/>
          <w:rtl/>
        </w:rPr>
        <w:t>האחרון</w:t>
      </w:r>
      <w:r w:rsidRPr="00D813A9">
        <w:rPr>
          <w:rStyle w:val="apple-style-span"/>
          <w:rtl/>
        </w:rPr>
        <w:t xml:space="preserve"> </w:t>
      </w:r>
      <w:r w:rsidRPr="00D813A9">
        <w:rPr>
          <w:rStyle w:val="apple-style-span"/>
          <w:rFonts w:hint="cs"/>
          <w:rtl/>
        </w:rPr>
        <w:t>בשטח</w:t>
      </w:r>
      <w:r w:rsidRPr="00D813A9">
        <w:rPr>
          <w:rStyle w:val="apple-style-span"/>
          <w:rtl/>
        </w:rPr>
        <w:t xml:space="preserve"> </w:t>
      </w:r>
      <w:r w:rsidRPr="00D813A9">
        <w:rPr>
          <w:rStyle w:val="apple-style-span"/>
          <w:rFonts w:hint="cs"/>
          <w:rtl/>
        </w:rPr>
        <w:t>היא</w:t>
      </w:r>
      <w:r w:rsidRPr="00D813A9">
        <w:rPr>
          <w:rStyle w:val="apple-style-span"/>
          <w:rtl/>
        </w:rPr>
        <w:t xml:space="preserve"> </w:t>
      </w:r>
      <w:r w:rsidRPr="00D813A9">
        <w:rPr>
          <w:rStyle w:val="apple-style-span"/>
          <w:rFonts w:hint="cs"/>
          <w:rtl/>
        </w:rPr>
        <w:t>בעלת</w:t>
      </w:r>
      <w:r w:rsidRPr="00D813A9">
        <w:rPr>
          <w:rStyle w:val="apple-style-span"/>
          <w:rtl/>
        </w:rPr>
        <w:t xml:space="preserve"> </w:t>
      </w:r>
      <w:r w:rsidRPr="00D813A9">
        <w:rPr>
          <w:rStyle w:val="apple-style-span"/>
          <w:rFonts w:hint="cs"/>
          <w:rtl/>
        </w:rPr>
        <w:t>אופי</w:t>
      </w:r>
      <w:r w:rsidRPr="00D813A9">
        <w:rPr>
          <w:rStyle w:val="apple-style-span"/>
          <w:rtl/>
        </w:rPr>
        <w:t xml:space="preserve"> </w:t>
      </w:r>
      <w:r w:rsidRPr="00D813A9">
        <w:rPr>
          <w:rStyle w:val="apple-style-span"/>
          <w:rFonts w:hint="cs"/>
          <w:rtl/>
        </w:rPr>
        <w:t>זמני</w:t>
      </w:r>
      <w:r w:rsidRPr="00D813A9">
        <w:rPr>
          <w:rStyle w:val="apple-style-span"/>
          <w:rtl/>
        </w:rPr>
        <w:t>."</w:t>
      </w:r>
      <w:r w:rsidRPr="00D813A9">
        <w:rPr>
          <w:rStyle w:val="af2"/>
        </w:rPr>
        <w:footnoteReference w:id="70"/>
      </w:r>
    </w:p>
    <w:p w:rsidR="003D251C" w:rsidRDefault="00EB34C4" w:rsidP="00DD78BF">
      <w:pPr>
        <w:pStyle w:val="af"/>
        <w:numPr>
          <w:ilvl w:val="0"/>
          <w:numId w:val="18"/>
        </w:numPr>
        <w:bidi/>
        <w:spacing w:line="360" w:lineRule="auto"/>
        <w:ind w:left="425" w:hanging="357"/>
        <w:contextualSpacing w:val="0"/>
      </w:pPr>
      <w:r w:rsidRPr="00D813A9">
        <w:rPr>
          <w:rStyle w:val="apple-style-span"/>
          <w:rtl/>
        </w:rPr>
        <w:t xml:space="preserve">על פי בית המשפט העליון, סמכותו של המפקד הצבאי לתפוס קרקעות להתיישבות ישראלית חייבת להיות מעוגנת בדיני התפיסה </w:t>
      </w:r>
      <w:r w:rsidRPr="00D813A9">
        <w:rPr>
          <w:rStyle w:val="apple-style-span"/>
          <w:rFonts w:hint="cs"/>
          <w:rtl/>
        </w:rPr>
        <w:t>הלוחמתית</w:t>
      </w:r>
      <w:r>
        <w:rPr>
          <w:rStyle w:val="apple-style-span"/>
          <w:rFonts w:hint="cs"/>
          <w:rtl/>
        </w:rPr>
        <w:t>.</w:t>
      </w:r>
      <w:r w:rsidRPr="00D813A9">
        <w:rPr>
          <w:rStyle w:val="af2"/>
          <w:rtl/>
        </w:rPr>
        <w:footnoteReference w:id="71"/>
      </w:r>
      <w:r>
        <w:rPr>
          <w:rStyle w:val="apple-style-span"/>
          <w:rFonts w:hint="cs"/>
          <w:rtl/>
        </w:rPr>
        <w:t xml:space="preserve"> </w:t>
      </w:r>
      <w:r w:rsidR="003D251C" w:rsidRPr="00D813A9">
        <w:rPr>
          <w:rFonts w:hint="cs"/>
          <w:rtl/>
        </w:rPr>
        <w:t>בית</w:t>
      </w:r>
      <w:r w:rsidR="003D251C" w:rsidRPr="00D813A9">
        <w:rPr>
          <w:rtl/>
        </w:rPr>
        <w:t xml:space="preserve"> </w:t>
      </w:r>
      <w:r w:rsidR="003D251C" w:rsidRPr="00D813A9">
        <w:rPr>
          <w:rFonts w:hint="cs"/>
          <w:rtl/>
        </w:rPr>
        <w:t>המשפט</w:t>
      </w:r>
      <w:r w:rsidR="003D251C" w:rsidRPr="00D813A9">
        <w:rPr>
          <w:rtl/>
        </w:rPr>
        <w:t xml:space="preserve"> </w:t>
      </w:r>
      <w:r w:rsidR="00524724" w:rsidRPr="00D813A9">
        <w:rPr>
          <w:rtl/>
        </w:rPr>
        <w:t xml:space="preserve">קבע זה מכבר כי התיישבות ישראלית לכשעצמה אינה עונה על צורך בטחוני המצדיק </w:t>
      </w:r>
      <w:r w:rsidR="00524724" w:rsidRPr="00D813A9">
        <w:rPr>
          <w:rFonts w:hint="cs"/>
          <w:rtl/>
        </w:rPr>
        <w:t>הפקעת</w:t>
      </w:r>
      <w:r w:rsidR="00524724" w:rsidRPr="00D813A9">
        <w:rPr>
          <w:rtl/>
        </w:rPr>
        <w:t xml:space="preserve"> </w:t>
      </w:r>
      <w:r w:rsidR="00524724" w:rsidRPr="00D813A9">
        <w:rPr>
          <w:rFonts w:hint="cs"/>
          <w:rtl/>
        </w:rPr>
        <w:t>מקרקעין</w:t>
      </w:r>
      <w:r w:rsidR="00524724" w:rsidRPr="00D813A9">
        <w:rPr>
          <w:rtl/>
        </w:rPr>
        <w:t xml:space="preserve"> </w:t>
      </w:r>
      <w:r w:rsidR="00524724" w:rsidRPr="00D813A9">
        <w:rPr>
          <w:rFonts w:hint="cs"/>
          <w:rtl/>
        </w:rPr>
        <w:t>פרטיים</w:t>
      </w:r>
      <w:r w:rsidR="00524724">
        <w:rPr>
          <w:rFonts w:hint="cs"/>
          <w:rtl/>
        </w:rPr>
        <w:t>,</w:t>
      </w:r>
      <w:r w:rsidR="00524724" w:rsidRPr="00D813A9">
        <w:rPr>
          <w:rStyle w:val="af2"/>
          <w:rtl/>
        </w:rPr>
        <w:footnoteReference w:id="72"/>
      </w:r>
      <w:r w:rsidR="00524724" w:rsidRPr="00D813A9">
        <w:rPr>
          <w:rtl/>
        </w:rPr>
        <w:t xml:space="preserve"> </w:t>
      </w:r>
      <w:r w:rsidR="00524724">
        <w:rPr>
          <w:rFonts w:hint="cs"/>
          <w:rtl/>
        </w:rPr>
        <w:t xml:space="preserve">אך </w:t>
      </w:r>
      <w:r w:rsidR="003D251C" w:rsidRPr="00D813A9">
        <w:rPr>
          <w:rFonts w:hint="cs"/>
          <w:rtl/>
        </w:rPr>
        <w:t>הכיר</w:t>
      </w:r>
      <w:r w:rsidR="003D251C" w:rsidRPr="00D813A9">
        <w:rPr>
          <w:rtl/>
        </w:rPr>
        <w:t xml:space="preserve"> </w:t>
      </w:r>
      <w:r w:rsidR="003D251C" w:rsidRPr="00D813A9">
        <w:rPr>
          <w:rFonts w:hint="cs"/>
          <w:rtl/>
        </w:rPr>
        <w:t>בעבר</w:t>
      </w:r>
      <w:r w:rsidR="003D251C" w:rsidRPr="00D813A9">
        <w:rPr>
          <w:rtl/>
        </w:rPr>
        <w:t xml:space="preserve"> </w:t>
      </w:r>
      <w:r w:rsidR="003D251C" w:rsidRPr="00D813A9">
        <w:rPr>
          <w:rFonts w:hint="cs"/>
          <w:rtl/>
        </w:rPr>
        <w:t>בהקמת</w:t>
      </w:r>
      <w:r w:rsidR="003D251C" w:rsidRPr="00D813A9">
        <w:rPr>
          <w:rtl/>
        </w:rPr>
        <w:t xml:space="preserve"> </w:t>
      </w:r>
      <w:r w:rsidR="003D251C" w:rsidRPr="00D813A9">
        <w:rPr>
          <w:rFonts w:hint="cs"/>
          <w:rtl/>
        </w:rPr>
        <w:t>ישובים</w:t>
      </w:r>
      <w:r w:rsidR="003D251C" w:rsidRPr="00D813A9">
        <w:rPr>
          <w:rtl/>
        </w:rPr>
        <w:t xml:space="preserve"> </w:t>
      </w:r>
      <w:r w:rsidR="003D251C" w:rsidRPr="00D813A9">
        <w:rPr>
          <w:rFonts w:hint="cs"/>
          <w:rtl/>
        </w:rPr>
        <w:t>אזרחיים</w:t>
      </w:r>
      <w:r w:rsidR="003D251C" w:rsidRPr="00D813A9">
        <w:rPr>
          <w:rtl/>
        </w:rPr>
        <w:t xml:space="preserve"> </w:t>
      </w:r>
      <w:r w:rsidR="003D251C" w:rsidRPr="00D813A9">
        <w:rPr>
          <w:rFonts w:hint="cs"/>
          <w:rtl/>
        </w:rPr>
        <w:t>כאשר</w:t>
      </w:r>
      <w:r w:rsidR="003D251C" w:rsidRPr="00D813A9">
        <w:rPr>
          <w:rtl/>
        </w:rPr>
        <w:t xml:space="preserve"> </w:t>
      </w:r>
      <w:r w:rsidR="003D251C" w:rsidRPr="00D813A9">
        <w:rPr>
          <w:rFonts w:hint="cs"/>
          <w:rtl/>
        </w:rPr>
        <w:t>אלה</w:t>
      </w:r>
      <w:r w:rsidR="003D251C" w:rsidRPr="00D813A9">
        <w:rPr>
          <w:rtl/>
        </w:rPr>
        <w:t xml:space="preserve"> </w:t>
      </w:r>
      <w:r w:rsidR="003D251C" w:rsidRPr="00D813A9">
        <w:rPr>
          <w:rFonts w:hint="cs"/>
          <w:rtl/>
        </w:rPr>
        <w:t>מ</w:t>
      </w:r>
      <w:r w:rsidR="003D251C">
        <w:rPr>
          <w:rFonts w:hint="cs"/>
          <w:rtl/>
        </w:rPr>
        <w:t>י</w:t>
      </w:r>
      <w:r w:rsidR="003D251C" w:rsidRPr="00D813A9">
        <w:rPr>
          <w:rFonts w:hint="cs"/>
          <w:rtl/>
        </w:rPr>
        <w:t>לאו</w:t>
      </w:r>
      <w:r w:rsidR="003D251C" w:rsidRPr="00D813A9">
        <w:rPr>
          <w:rtl/>
        </w:rPr>
        <w:t xml:space="preserve"> </w:t>
      </w:r>
      <w:r w:rsidR="003D251C" w:rsidRPr="00D813A9">
        <w:rPr>
          <w:rFonts w:hint="cs"/>
          <w:rtl/>
        </w:rPr>
        <w:t>צורך</w:t>
      </w:r>
      <w:r w:rsidR="003D251C" w:rsidRPr="00D813A9">
        <w:rPr>
          <w:rtl/>
        </w:rPr>
        <w:t xml:space="preserve"> </w:t>
      </w:r>
      <w:r w:rsidR="003D251C" w:rsidRPr="00D813A9">
        <w:rPr>
          <w:rFonts w:hint="cs"/>
          <w:rtl/>
        </w:rPr>
        <w:t>צבאי</w:t>
      </w:r>
      <w:r w:rsidR="003D251C">
        <w:rPr>
          <w:rtl/>
        </w:rPr>
        <w:t xml:space="preserve"> ממשי</w:t>
      </w:r>
      <w:r w:rsidR="003D251C">
        <w:rPr>
          <w:rFonts w:hint="cs"/>
          <w:rtl/>
        </w:rPr>
        <w:t>.</w:t>
      </w:r>
      <w:r w:rsidR="003D251C" w:rsidRPr="00D813A9">
        <w:rPr>
          <w:rtl/>
        </w:rPr>
        <w:t xml:space="preserve"> </w:t>
      </w:r>
      <w:r w:rsidR="003D251C">
        <w:rPr>
          <w:rFonts w:hint="cs"/>
          <w:rtl/>
        </w:rPr>
        <w:t xml:space="preserve">נקבע כי על הצורך הצבאי להיות קונקרטי, </w:t>
      </w:r>
      <w:r w:rsidR="003D251C" w:rsidRPr="00D813A9">
        <w:rPr>
          <w:rFonts w:hint="cs"/>
          <w:rtl/>
        </w:rPr>
        <w:t>ו</w:t>
      </w:r>
      <w:r w:rsidR="003D251C">
        <w:rPr>
          <w:rFonts w:hint="cs"/>
          <w:rtl/>
        </w:rPr>
        <w:t xml:space="preserve">הוא אינו כולל את </w:t>
      </w:r>
      <w:r w:rsidR="003D251C" w:rsidRPr="00D813A9">
        <w:rPr>
          <w:rtl/>
        </w:rPr>
        <w:t>צ</w:t>
      </w:r>
      <w:r w:rsidR="003D251C" w:rsidRPr="00D813A9">
        <w:rPr>
          <w:rFonts w:hint="cs"/>
          <w:rtl/>
        </w:rPr>
        <w:t>ורכי</w:t>
      </w:r>
      <w:r w:rsidR="003D251C" w:rsidRPr="00D813A9">
        <w:rPr>
          <w:rtl/>
        </w:rPr>
        <w:t xml:space="preserve"> </w:t>
      </w:r>
      <w:r w:rsidR="003D251C" w:rsidRPr="00D813A9">
        <w:rPr>
          <w:rFonts w:hint="cs"/>
          <w:rtl/>
        </w:rPr>
        <w:t>הביטחון</w:t>
      </w:r>
      <w:r w:rsidR="003D251C" w:rsidRPr="00D813A9">
        <w:rPr>
          <w:rtl/>
        </w:rPr>
        <w:t xml:space="preserve"> </w:t>
      </w:r>
      <w:r w:rsidR="003D251C" w:rsidRPr="00D813A9">
        <w:rPr>
          <w:rFonts w:hint="cs"/>
          <w:rtl/>
        </w:rPr>
        <w:t>הלאומי</w:t>
      </w:r>
      <w:r w:rsidR="003D251C" w:rsidRPr="00D813A9">
        <w:rPr>
          <w:rtl/>
        </w:rPr>
        <w:t xml:space="preserve"> </w:t>
      </w:r>
      <w:r w:rsidR="003D251C" w:rsidRPr="00D813A9">
        <w:rPr>
          <w:rFonts w:hint="cs"/>
          <w:rtl/>
        </w:rPr>
        <w:t>במובנם</w:t>
      </w:r>
      <w:r w:rsidR="003D251C" w:rsidRPr="00D813A9">
        <w:rPr>
          <w:rtl/>
        </w:rPr>
        <w:t xml:space="preserve"> </w:t>
      </w:r>
      <w:r w:rsidR="003D251C" w:rsidRPr="00D813A9">
        <w:rPr>
          <w:rFonts w:hint="cs"/>
          <w:rtl/>
        </w:rPr>
        <w:t>הרחב</w:t>
      </w:r>
      <w:r w:rsidR="003D251C" w:rsidRPr="00D813A9">
        <w:rPr>
          <w:rtl/>
        </w:rPr>
        <w:t xml:space="preserve">, </w:t>
      </w:r>
      <w:r w:rsidR="003D251C" w:rsidRPr="00D813A9">
        <w:rPr>
          <w:rFonts w:hint="cs"/>
          <w:rtl/>
        </w:rPr>
        <w:t>כמו</w:t>
      </w:r>
      <w:r w:rsidR="003D251C" w:rsidRPr="00D813A9">
        <w:rPr>
          <w:rtl/>
        </w:rPr>
        <w:t xml:space="preserve"> </w:t>
      </w:r>
      <w:r w:rsidR="003D251C" w:rsidRPr="00D813A9">
        <w:rPr>
          <w:rFonts w:hint="cs"/>
          <w:rtl/>
        </w:rPr>
        <w:t>למשל</w:t>
      </w:r>
      <w:r w:rsidR="003D251C" w:rsidRPr="00D813A9">
        <w:rPr>
          <w:rtl/>
        </w:rPr>
        <w:t xml:space="preserve"> </w:t>
      </w:r>
      <w:r w:rsidR="003D251C">
        <w:rPr>
          <w:rFonts w:hint="cs"/>
          <w:rtl/>
        </w:rPr>
        <w:t>את מימוש ההשקפה לפיה זכותו של עם ישראל להתיישב ביהודה ושומרון</w:t>
      </w:r>
      <w:r w:rsidR="003D251C" w:rsidRPr="00D813A9">
        <w:rPr>
          <w:rtl/>
        </w:rPr>
        <w:t>.</w:t>
      </w:r>
      <w:r w:rsidR="003D251C" w:rsidRPr="00D813A9">
        <w:rPr>
          <w:rStyle w:val="af2"/>
          <w:rtl/>
        </w:rPr>
        <w:footnoteReference w:id="73"/>
      </w:r>
      <w:r w:rsidR="003D251C" w:rsidRPr="00D813A9">
        <w:rPr>
          <w:rtl/>
        </w:rPr>
        <w:t xml:space="preserve"> </w:t>
      </w:r>
      <w:r w:rsidR="005F42E6">
        <w:rPr>
          <w:rFonts w:hint="cs"/>
          <w:rtl/>
        </w:rPr>
        <w:t xml:space="preserve">עוד </w:t>
      </w:r>
      <w:r w:rsidR="00DD78BF">
        <w:rPr>
          <w:rStyle w:val="apple-style-span"/>
          <w:rFonts w:hint="cs"/>
          <w:rtl/>
        </w:rPr>
        <w:t xml:space="preserve">נקבע </w:t>
      </w:r>
      <w:r w:rsidR="005F42E6" w:rsidRPr="00D813A9">
        <w:rPr>
          <w:rStyle w:val="apple-style-span"/>
          <w:rFonts w:hint="cs"/>
          <w:rtl/>
        </w:rPr>
        <w:t>בהקשר</w:t>
      </w:r>
      <w:r w:rsidR="005F42E6" w:rsidRPr="00D813A9">
        <w:rPr>
          <w:rStyle w:val="apple-style-span"/>
          <w:rtl/>
        </w:rPr>
        <w:t xml:space="preserve"> </w:t>
      </w:r>
      <w:r w:rsidR="005F42E6" w:rsidRPr="00D813A9">
        <w:rPr>
          <w:rStyle w:val="apple-style-span"/>
          <w:rFonts w:hint="cs"/>
          <w:rtl/>
        </w:rPr>
        <w:t>זה</w:t>
      </w:r>
      <w:r w:rsidR="005F42E6" w:rsidRPr="00D813A9">
        <w:rPr>
          <w:rStyle w:val="apple-style-span"/>
          <w:rtl/>
        </w:rPr>
        <w:t xml:space="preserve"> </w:t>
      </w:r>
      <w:r w:rsidR="005F42E6" w:rsidRPr="00D813A9">
        <w:rPr>
          <w:rtl/>
        </w:rPr>
        <w:t>ש</w:t>
      </w:r>
      <w:r w:rsidR="005F42E6">
        <w:rPr>
          <w:rFonts w:hint="cs"/>
          <w:rtl/>
        </w:rPr>
        <w:t xml:space="preserve">ראוי כי </w:t>
      </w:r>
      <w:r w:rsidR="005F42E6" w:rsidRPr="00D813A9">
        <w:rPr>
          <w:rtl/>
        </w:rPr>
        <w:t>הי</w:t>
      </w:r>
      <w:r w:rsidR="005F42E6">
        <w:rPr>
          <w:rFonts w:hint="cs"/>
          <w:rtl/>
        </w:rPr>
        <w:t>ו</w:t>
      </w:r>
      <w:r w:rsidR="005F42E6" w:rsidRPr="00D813A9">
        <w:rPr>
          <w:rtl/>
        </w:rPr>
        <w:t>זמה ל</w:t>
      </w:r>
      <w:r w:rsidR="005F42E6">
        <w:rPr>
          <w:rFonts w:hint="cs"/>
          <w:rtl/>
        </w:rPr>
        <w:t xml:space="preserve">הקמת יישוב </w:t>
      </w:r>
      <w:r w:rsidR="005F42E6" w:rsidRPr="00D813A9">
        <w:rPr>
          <w:rFonts w:hint="cs"/>
          <w:rtl/>
        </w:rPr>
        <w:t>תבוא</w:t>
      </w:r>
      <w:r w:rsidR="005F42E6" w:rsidRPr="00D813A9">
        <w:rPr>
          <w:rtl/>
        </w:rPr>
        <w:t xml:space="preserve"> </w:t>
      </w:r>
      <w:r w:rsidR="005F42E6" w:rsidRPr="00D813A9">
        <w:rPr>
          <w:rFonts w:hint="cs"/>
          <w:rtl/>
        </w:rPr>
        <w:t>מן</w:t>
      </w:r>
      <w:r w:rsidR="005F42E6" w:rsidRPr="00D813A9">
        <w:rPr>
          <w:rtl/>
        </w:rPr>
        <w:t xml:space="preserve"> </w:t>
      </w:r>
      <w:r w:rsidR="005F42E6" w:rsidRPr="00D813A9">
        <w:rPr>
          <w:rFonts w:hint="cs"/>
          <w:rtl/>
        </w:rPr>
        <w:t>הדרג</w:t>
      </w:r>
      <w:r w:rsidR="005F42E6" w:rsidRPr="00D813A9">
        <w:rPr>
          <w:rtl/>
        </w:rPr>
        <w:t xml:space="preserve"> </w:t>
      </w:r>
      <w:r w:rsidR="005F42E6" w:rsidRPr="00D813A9">
        <w:rPr>
          <w:rFonts w:hint="cs"/>
          <w:rtl/>
        </w:rPr>
        <w:t>הצבאי</w:t>
      </w:r>
      <w:r w:rsidR="005F42E6" w:rsidRPr="00D813A9">
        <w:rPr>
          <w:rtl/>
        </w:rPr>
        <w:t xml:space="preserve"> </w:t>
      </w:r>
      <w:r w:rsidR="005F42E6" w:rsidRPr="00D813A9">
        <w:rPr>
          <w:rFonts w:hint="cs"/>
          <w:rtl/>
        </w:rPr>
        <w:t>הבקי</w:t>
      </w:r>
      <w:r w:rsidR="005F42E6">
        <w:rPr>
          <w:rFonts w:hint="cs"/>
          <w:rtl/>
        </w:rPr>
        <w:t>א</w:t>
      </w:r>
      <w:r w:rsidR="005F42E6" w:rsidRPr="00D813A9">
        <w:rPr>
          <w:rtl/>
        </w:rPr>
        <w:t xml:space="preserve"> </w:t>
      </w:r>
      <w:r w:rsidR="005F42E6" w:rsidRPr="00D813A9">
        <w:rPr>
          <w:rFonts w:hint="cs"/>
          <w:rtl/>
        </w:rPr>
        <w:t>בצורכי</w:t>
      </w:r>
      <w:r w:rsidR="005F42E6" w:rsidRPr="00D813A9">
        <w:rPr>
          <w:rtl/>
        </w:rPr>
        <w:t xml:space="preserve"> </w:t>
      </w:r>
      <w:r w:rsidR="005F42E6" w:rsidRPr="00D813A9">
        <w:rPr>
          <w:rFonts w:hint="cs"/>
          <w:rtl/>
        </w:rPr>
        <w:t>הצבא</w:t>
      </w:r>
      <w:r w:rsidR="005F42E6">
        <w:rPr>
          <w:rFonts w:hint="cs"/>
          <w:rtl/>
        </w:rPr>
        <w:t xml:space="preserve">, ולא מן הדרג המדיני, היות שהדרג הצבאי מתכנן את פעולותיו </w:t>
      </w:r>
      <w:r w:rsidR="005F42E6" w:rsidRPr="00D813A9">
        <w:rPr>
          <w:rFonts w:hint="cs"/>
          <w:rtl/>
        </w:rPr>
        <w:t>מראש</w:t>
      </w:r>
      <w:r w:rsidR="005F42E6" w:rsidRPr="00D813A9">
        <w:rPr>
          <w:rtl/>
        </w:rPr>
        <w:t xml:space="preserve"> </w:t>
      </w:r>
      <w:r w:rsidR="005F42E6">
        <w:rPr>
          <w:rFonts w:hint="cs"/>
          <w:rtl/>
        </w:rPr>
        <w:t>על סמך שיקולים צבאיים</w:t>
      </w:r>
      <w:r w:rsidR="005F42E6" w:rsidRPr="00D813A9">
        <w:rPr>
          <w:rtl/>
        </w:rPr>
        <w:t>.</w:t>
      </w:r>
      <w:r w:rsidR="005F42E6" w:rsidRPr="00D813A9">
        <w:rPr>
          <w:rStyle w:val="af2"/>
          <w:rtl/>
        </w:rPr>
        <w:footnoteReference w:id="74"/>
      </w:r>
    </w:p>
    <w:p w:rsidR="006547AE" w:rsidRDefault="00505C06" w:rsidP="006547AE">
      <w:pPr>
        <w:pStyle w:val="af"/>
        <w:numPr>
          <w:ilvl w:val="0"/>
          <w:numId w:val="18"/>
        </w:numPr>
        <w:bidi/>
        <w:spacing w:line="360" w:lineRule="auto"/>
        <w:ind w:left="425" w:hanging="357"/>
        <w:contextualSpacing w:val="0"/>
      </w:pPr>
      <w:r w:rsidRPr="00505C06">
        <w:rPr>
          <w:rStyle w:val="apple-style-span"/>
          <w:rFonts w:hint="cs"/>
          <w:u w:val="single"/>
          <w:rtl/>
        </w:rPr>
        <w:lastRenderedPageBreak/>
        <w:t xml:space="preserve">פגיעה בקניין </w:t>
      </w:r>
      <w:r>
        <w:rPr>
          <w:rStyle w:val="apple-style-span"/>
          <w:rFonts w:hint="cs"/>
          <w:u w:val="single"/>
          <w:rtl/>
        </w:rPr>
        <w:t>לטובת האוכלוסייה המקומית</w:t>
      </w:r>
      <w:r w:rsidRPr="00505C06">
        <w:rPr>
          <w:rStyle w:val="apple-style-span"/>
          <w:rFonts w:hint="cs"/>
          <w:rtl/>
        </w:rPr>
        <w:t xml:space="preserve"> - </w:t>
      </w:r>
      <w:r w:rsidR="00464AE9">
        <w:rPr>
          <w:rFonts w:hint="cs"/>
          <w:rtl/>
        </w:rPr>
        <w:t>נוסף לכך</w:t>
      </w:r>
      <w:r w:rsidR="00464AE9" w:rsidRPr="00D813A9">
        <w:rPr>
          <w:rtl/>
        </w:rPr>
        <w:t xml:space="preserve">, </w:t>
      </w:r>
      <w:r w:rsidR="006547AE">
        <w:rPr>
          <w:rFonts w:hint="cs"/>
          <w:rtl/>
        </w:rPr>
        <w:t>ב</w:t>
      </w:r>
      <w:r w:rsidR="00464AE9" w:rsidRPr="00D813A9">
        <w:rPr>
          <w:rtl/>
        </w:rPr>
        <w:t xml:space="preserve">בג"ץ </w:t>
      </w:r>
      <w:proofErr w:type="spellStart"/>
      <w:r w:rsidR="006547AE" w:rsidRPr="00AE476C">
        <w:rPr>
          <w:rFonts w:hint="cs"/>
          <w:b/>
          <w:bCs/>
          <w:rtl/>
        </w:rPr>
        <w:t>אסכאן</w:t>
      </w:r>
      <w:proofErr w:type="spellEnd"/>
      <w:r w:rsidR="006547AE" w:rsidRPr="00D813A9">
        <w:rPr>
          <w:rtl/>
        </w:rPr>
        <w:t xml:space="preserve"> </w:t>
      </w:r>
      <w:r w:rsidR="006547AE">
        <w:rPr>
          <w:rFonts w:hint="cs"/>
          <w:rtl/>
        </w:rPr>
        <w:t xml:space="preserve">בית המשפט </w:t>
      </w:r>
      <w:r w:rsidR="00464AE9" w:rsidRPr="00D813A9">
        <w:rPr>
          <w:rtl/>
        </w:rPr>
        <w:t>הכיר בעבר ב</w:t>
      </w:r>
      <w:r w:rsidR="006547AE">
        <w:rPr>
          <w:rFonts w:hint="cs"/>
          <w:rtl/>
        </w:rPr>
        <w:t>סמכותו</w:t>
      </w:r>
      <w:r w:rsidR="00464AE9" w:rsidRPr="00D813A9">
        <w:rPr>
          <w:rtl/>
        </w:rPr>
        <w:t xml:space="preserve"> של המפקד הצבאי </w:t>
      </w:r>
      <w:r w:rsidR="00464AE9" w:rsidRPr="00D813A9">
        <w:rPr>
          <w:rFonts w:hint="cs"/>
          <w:rtl/>
        </w:rPr>
        <w:t>לפגוע</w:t>
      </w:r>
      <w:r w:rsidR="00464AE9" w:rsidRPr="00D813A9">
        <w:rPr>
          <w:rtl/>
        </w:rPr>
        <w:t xml:space="preserve"> בזכות הקניין (על ידי הפקעה או תפיסה של קרקע פרטית),</w:t>
      </w:r>
      <w:r w:rsidR="006547AE">
        <w:rPr>
          <w:rFonts w:hint="cs"/>
          <w:rtl/>
        </w:rPr>
        <w:t xml:space="preserve"> </w:t>
      </w:r>
      <w:r w:rsidR="00DD78BF">
        <w:rPr>
          <w:rFonts w:hint="cs"/>
          <w:rtl/>
        </w:rPr>
        <w:t>ו</w:t>
      </w:r>
      <w:r w:rsidR="006547AE">
        <w:rPr>
          <w:rFonts w:hint="cs"/>
          <w:rtl/>
        </w:rPr>
        <w:t>בלבד שנתקיימו שלושה תנאים מצטברים: "</w:t>
      </w:r>
      <w:r w:rsidR="006547AE">
        <w:rPr>
          <w:rtl/>
        </w:rPr>
        <w:t>ראשית, מפעיל הסמכות פועל על-פי הדרישות הקבועות בחוק המקומי; שנית</w:t>
      </w:r>
      <w:r w:rsidR="006547AE">
        <w:rPr>
          <w:rFonts w:hint="cs"/>
          <w:rtl/>
        </w:rPr>
        <w:t xml:space="preserve">, </w:t>
      </w:r>
      <w:r w:rsidR="006547AE">
        <w:rPr>
          <w:rtl/>
        </w:rPr>
        <w:t>הפעלת הסמכות הינה לטובת האוכלוס</w:t>
      </w:r>
      <w:r w:rsidR="00A058F5">
        <w:rPr>
          <w:rFonts w:hint="cs"/>
          <w:rtl/>
        </w:rPr>
        <w:t>י</w:t>
      </w:r>
      <w:r w:rsidR="006547AE">
        <w:rPr>
          <w:rtl/>
        </w:rPr>
        <w:t xml:space="preserve">יה המקומית, כנדרש על- פי תקנה 43 לתקנות האג; שלישית, בעל הסמכות מפעיל את הסמכות על-פי כללי היסוד של המשפט </w:t>
      </w:r>
      <w:proofErr w:type="spellStart"/>
      <w:r w:rsidR="006547AE">
        <w:rPr>
          <w:rtl/>
        </w:rPr>
        <w:t>המינהלי</w:t>
      </w:r>
      <w:proofErr w:type="spellEnd"/>
      <w:r w:rsidR="006547AE">
        <w:rPr>
          <w:rtl/>
        </w:rPr>
        <w:t xml:space="preserve"> הישראלי, כגון מתן זכות שמיעה לפני ההפקעה או התפיסה</w:t>
      </w:r>
      <w:r w:rsidR="006547AE">
        <w:rPr>
          <w:rFonts w:hint="cs"/>
          <w:rtl/>
        </w:rPr>
        <w:t>."</w:t>
      </w:r>
      <w:r w:rsidR="006547AE">
        <w:rPr>
          <w:rStyle w:val="af2"/>
          <w:rtl/>
        </w:rPr>
        <w:footnoteReference w:id="75"/>
      </w:r>
      <w:r w:rsidR="006547AE">
        <w:rPr>
          <w:rFonts w:hint="cs"/>
          <w:rtl/>
        </w:rPr>
        <w:t xml:space="preserve"> עוד נקבע שם, כי יש להעניק פיצויים לנפגע</w:t>
      </w:r>
      <w:r w:rsidR="00464AE9" w:rsidRPr="00D813A9">
        <w:rPr>
          <w:rtl/>
        </w:rPr>
        <w:t>.</w:t>
      </w:r>
      <w:r w:rsidR="00464AE9" w:rsidRPr="00D813A9">
        <w:rPr>
          <w:rStyle w:val="af2"/>
          <w:rtl/>
        </w:rPr>
        <w:footnoteReference w:id="76"/>
      </w:r>
      <w:r w:rsidR="00464AE9" w:rsidRPr="00D813A9">
        <w:rPr>
          <w:rtl/>
        </w:rPr>
        <w:t xml:space="preserve"> </w:t>
      </w:r>
    </w:p>
    <w:p w:rsidR="00E033C9" w:rsidRDefault="00464AE9" w:rsidP="00974DC7">
      <w:pPr>
        <w:pStyle w:val="af"/>
        <w:numPr>
          <w:ilvl w:val="0"/>
          <w:numId w:val="18"/>
        </w:numPr>
        <w:bidi/>
        <w:spacing w:line="360" w:lineRule="auto"/>
        <w:ind w:left="425" w:hanging="357"/>
        <w:contextualSpacing w:val="0"/>
      </w:pPr>
      <w:r w:rsidRPr="00D813A9">
        <w:rPr>
          <w:rtl/>
        </w:rPr>
        <w:t xml:space="preserve">כלומר, פעולה הדרושה להבטחת הסדר והביטחון הציבוריים של </w:t>
      </w:r>
      <w:r w:rsidR="00974DC7">
        <w:rPr>
          <w:rFonts w:hint="cs"/>
          <w:rtl/>
        </w:rPr>
        <w:t>"האוכלוסייה המקומית"</w:t>
      </w:r>
      <w:r w:rsidRPr="00D813A9">
        <w:rPr>
          <w:rtl/>
        </w:rPr>
        <w:t xml:space="preserve"> יכולה להיחשב לחלק מ"צרכי הצבא הכובש" בגינן ניתן, לפי תקנה 52, לתפוס רכוש פרטי.</w:t>
      </w:r>
      <w:r w:rsidRPr="00D813A9">
        <w:rPr>
          <w:rStyle w:val="af2"/>
          <w:rtl/>
        </w:rPr>
        <w:footnoteReference w:id="77"/>
      </w:r>
      <w:r w:rsidRPr="00E033C9">
        <w:rPr>
          <w:b/>
          <w:bCs/>
          <w:rtl/>
        </w:rPr>
        <w:t xml:space="preserve"> </w:t>
      </w:r>
      <w:r w:rsidRPr="00D813A9">
        <w:rPr>
          <w:rtl/>
        </w:rPr>
        <w:t xml:space="preserve"> לעניין זה נקבע, כי ב</w:t>
      </w:r>
      <w:r w:rsidRPr="00D813A9">
        <w:rPr>
          <w:rFonts w:hint="cs"/>
          <w:rtl/>
        </w:rPr>
        <w:t>מסגרת</w:t>
      </w:r>
      <w:r w:rsidRPr="00D813A9">
        <w:rPr>
          <w:rtl/>
        </w:rPr>
        <w:t xml:space="preserve"> טובת האוכלוסייה המקומית </w:t>
      </w:r>
      <w:r w:rsidRPr="00D813A9">
        <w:rPr>
          <w:rFonts w:hint="cs"/>
          <w:rtl/>
        </w:rPr>
        <w:t>ניתן</w:t>
      </w:r>
      <w:r w:rsidRPr="00D813A9">
        <w:rPr>
          <w:rtl/>
        </w:rPr>
        <w:t xml:space="preserve"> לבחון </w:t>
      </w:r>
      <w:r w:rsidRPr="00255C72">
        <w:rPr>
          <w:rFonts w:hint="cs"/>
          <w:rtl/>
        </w:rPr>
        <w:t>גם</w:t>
      </w:r>
      <w:r w:rsidRPr="00D813A9">
        <w:rPr>
          <w:rtl/>
        </w:rPr>
        <w:t xml:space="preserve"> את טובתם ש</w:t>
      </w:r>
      <w:r w:rsidR="006547AE">
        <w:rPr>
          <w:rtl/>
        </w:rPr>
        <w:t xml:space="preserve">ל אזרחי ישראל המתגוררים </w:t>
      </w:r>
      <w:proofErr w:type="spellStart"/>
      <w:r w:rsidR="006547AE">
        <w:rPr>
          <w:rtl/>
        </w:rPr>
        <w:t>באיו"ש</w:t>
      </w:r>
      <w:proofErr w:type="spellEnd"/>
      <w:r w:rsidR="006547AE">
        <w:rPr>
          <w:rFonts w:hint="cs"/>
          <w:rtl/>
        </w:rPr>
        <w:t xml:space="preserve">, </w:t>
      </w:r>
      <w:r w:rsidRPr="00D813A9">
        <w:rPr>
          <w:rFonts w:hint="cs"/>
          <w:rtl/>
        </w:rPr>
        <w:t>אולם</w:t>
      </w:r>
      <w:r w:rsidRPr="00D813A9">
        <w:rPr>
          <w:rtl/>
        </w:rPr>
        <w:t xml:space="preserve"> נאמר במפורש כי "הכוח הכובש אינו רשאי, אפוא, להפקיע אדמות שלא לצורך צבאי, אלא אם השימוש שיעשה בהן נועד לשרת את התושבים המוגנים."</w:t>
      </w:r>
      <w:r w:rsidRPr="00D813A9">
        <w:rPr>
          <w:rStyle w:val="af2"/>
          <w:rtl/>
        </w:rPr>
        <w:footnoteReference w:id="78"/>
      </w:r>
      <w:r w:rsidRPr="00D813A9">
        <w:rPr>
          <w:rtl/>
        </w:rPr>
        <w:t xml:space="preserve"> </w:t>
      </w:r>
    </w:p>
    <w:p w:rsidR="00255C72" w:rsidRDefault="00464AE9" w:rsidP="00E370F8">
      <w:pPr>
        <w:pStyle w:val="af"/>
        <w:numPr>
          <w:ilvl w:val="0"/>
          <w:numId w:val="18"/>
        </w:numPr>
        <w:bidi/>
        <w:spacing w:line="360" w:lineRule="auto"/>
        <w:ind w:left="425" w:hanging="357"/>
        <w:contextualSpacing w:val="0"/>
      </w:pPr>
      <w:r w:rsidRPr="00D813A9">
        <w:rPr>
          <w:rFonts w:hint="cs"/>
          <w:rtl/>
        </w:rPr>
        <w:t>כעת</w:t>
      </w:r>
      <w:r w:rsidRPr="00D813A9">
        <w:rPr>
          <w:rtl/>
        </w:rPr>
        <w:t xml:space="preserve"> נפנה לבחון את הוראות חוק ההסדרה. </w:t>
      </w:r>
      <w:r w:rsidR="00DB541E">
        <w:rPr>
          <w:rStyle w:val="apple-style-span"/>
          <w:rFonts w:hint="cs"/>
          <w:rtl/>
        </w:rPr>
        <w:t xml:space="preserve">בהתאם לניתוח של מחלקת </w:t>
      </w:r>
      <w:r w:rsidR="00DB541E" w:rsidRPr="00D813A9">
        <w:rPr>
          <w:rStyle w:val="apple-style-span"/>
          <w:rtl/>
        </w:rPr>
        <w:t>ייעוץ וחקיקה – משפט אזרחי</w:t>
      </w:r>
      <w:r w:rsidR="00DB541E">
        <w:rPr>
          <w:rStyle w:val="apple-style-span"/>
          <w:rFonts w:hint="cs"/>
          <w:rtl/>
        </w:rPr>
        <w:t xml:space="preserve">, הוראות החוק </w:t>
      </w:r>
      <w:r w:rsidR="00E370F8">
        <w:rPr>
          <w:rStyle w:val="apple-style-span"/>
          <w:rFonts w:hint="cs"/>
          <w:rtl/>
        </w:rPr>
        <w:t xml:space="preserve">ככל הנראה </w:t>
      </w:r>
      <w:r w:rsidR="00DB541E">
        <w:rPr>
          <w:rStyle w:val="apple-style-span"/>
          <w:rFonts w:hint="cs"/>
          <w:rtl/>
        </w:rPr>
        <w:t>פוגעות בקניין הפרטי.</w:t>
      </w:r>
      <w:r w:rsidR="00DB541E" w:rsidRPr="00D813A9">
        <w:rPr>
          <w:rStyle w:val="af2"/>
          <w:rtl/>
        </w:rPr>
        <w:footnoteReference w:id="79"/>
      </w:r>
      <w:r w:rsidR="00DB541E">
        <w:rPr>
          <w:rStyle w:val="apple-style-span"/>
          <w:rFonts w:hint="cs"/>
          <w:rtl/>
        </w:rPr>
        <w:t xml:space="preserve"> </w:t>
      </w:r>
      <w:r w:rsidR="007F315E">
        <w:rPr>
          <w:rFonts w:hint="cs"/>
          <w:rtl/>
        </w:rPr>
        <w:t xml:space="preserve">האם צורך צבאי הצדיק את הפגיעה בקניין? </w:t>
      </w:r>
      <w:r w:rsidR="00E370F8">
        <w:rPr>
          <w:rFonts w:hint="cs"/>
          <w:rtl/>
        </w:rPr>
        <w:t>כאמור לעיל, נראה ש</w:t>
      </w:r>
      <w:r w:rsidR="007F315E">
        <w:rPr>
          <w:rFonts w:hint="cs"/>
          <w:rtl/>
        </w:rPr>
        <w:t xml:space="preserve">התשובה היא שלילית. </w:t>
      </w:r>
    </w:p>
    <w:p w:rsidR="0017167A" w:rsidRDefault="007F315E" w:rsidP="0038079E">
      <w:pPr>
        <w:pStyle w:val="af"/>
        <w:numPr>
          <w:ilvl w:val="0"/>
          <w:numId w:val="18"/>
        </w:numPr>
        <w:bidi/>
        <w:spacing w:line="360" w:lineRule="auto"/>
        <w:ind w:left="425" w:hanging="357"/>
        <w:contextualSpacing w:val="0"/>
      </w:pPr>
      <w:r w:rsidRPr="00A85105">
        <w:rPr>
          <w:rFonts w:hint="cs"/>
          <w:rtl/>
        </w:rPr>
        <w:t>האם הפגיעה בקניין</w:t>
      </w:r>
      <w:r w:rsidR="00A85105">
        <w:rPr>
          <w:rFonts w:hint="cs"/>
          <w:rtl/>
        </w:rPr>
        <w:t xml:space="preserve"> </w:t>
      </w:r>
      <w:r w:rsidR="00A85105">
        <w:rPr>
          <w:rtl/>
        </w:rPr>
        <w:t>–</w:t>
      </w:r>
      <w:r w:rsidR="006547AE">
        <w:rPr>
          <w:rFonts w:hint="cs"/>
          <w:rtl/>
        </w:rPr>
        <w:t xml:space="preserve"> בכל מקרה </w:t>
      </w:r>
      <w:r w:rsidR="00DD78BF">
        <w:rPr>
          <w:rFonts w:hint="cs"/>
          <w:rtl/>
        </w:rPr>
        <w:t xml:space="preserve">לגופו </w:t>
      </w:r>
      <w:r w:rsidR="006547AE">
        <w:rPr>
          <w:rtl/>
        </w:rPr>
        <w:t>–</w:t>
      </w:r>
      <w:r w:rsidR="006547AE">
        <w:rPr>
          <w:rFonts w:hint="cs"/>
          <w:rtl/>
        </w:rPr>
        <w:t xml:space="preserve"> עונה על שלושת התנאים </w:t>
      </w:r>
      <w:r w:rsidR="006547AE" w:rsidRPr="00E033C9">
        <w:rPr>
          <w:rFonts w:hint="cs"/>
          <w:b/>
          <w:bCs/>
          <w:rtl/>
        </w:rPr>
        <w:t>המצטברים</w:t>
      </w:r>
      <w:r w:rsidR="006547AE">
        <w:rPr>
          <w:rFonts w:hint="cs"/>
          <w:rtl/>
        </w:rPr>
        <w:t xml:space="preserve"> שנקבעו בבג"ץ </w:t>
      </w:r>
      <w:proofErr w:type="spellStart"/>
      <w:r w:rsidR="006547AE" w:rsidRPr="00E033C9">
        <w:rPr>
          <w:rFonts w:hint="cs"/>
          <w:b/>
          <w:bCs/>
          <w:rtl/>
        </w:rPr>
        <w:t>אסכאן</w:t>
      </w:r>
      <w:proofErr w:type="spellEnd"/>
      <w:r w:rsidR="006547AE">
        <w:rPr>
          <w:rFonts w:hint="cs"/>
          <w:rtl/>
        </w:rPr>
        <w:t>?</w:t>
      </w:r>
      <w:r w:rsidR="00E033C9">
        <w:rPr>
          <w:rFonts w:hint="cs"/>
          <w:rtl/>
        </w:rPr>
        <w:t xml:space="preserve"> </w:t>
      </w:r>
      <w:r w:rsidR="006547AE">
        <w:rPr>
          <w:rtl/>
        </w:rPr>
        <w:t xml:space="preserve">ראשית, </w:t>
      </w:r>
      <w:r w:rsidR="006547AE">
        <w:rPr>
          <w:rFonts w:hint="cs"/>
          <w:rtl/>
        </w:rPr>
        <w:t xml:space="preserve">נראה כי הוראות החוק </w:t>
      </w:r>
      <w:r w:rsidR="00E370F8">
        <w:rPr>
          <w:rFonts w:hint="cs"/>
          <w:rtl/>
        </w:rPr>
        <w:t>מחייבות את המפקד הצבאי לפעול שלא בהתאם לסמכויות המוקנות לו בדין המקומי, ובכלל זה תקנות האג</w:t>
      </w:r>
      <w:r w:rsidR="006547AE">
        <w:rPr>
          <w:rFonts w:hint="cs"/>
          <w:rtl/>
        </w:rPr>
        <w:t>.</w:t>
      </w:r>
      <w:r w:rsidR="00C9014F">
        <w:rPr>
          <w:rFonts w:hint="cs"/>
          <w:rtl/>
        </w:rPr>
        <w:t xml:space="preserve"> כך לדוגמא</w:t>
      </w:r>
      <w:r w:rsidR="006547AE">
        <w:rPr>
          <w:rFonts w:hint="cs"/>
          <w:rtl/>
        </w:rPr>
        <w:t xml:space="preserve"> </w:t>
      </w:r>
      <w:r w:rsidR="00C9014F">
        <w:rPr>
          <w:rFonts w:hint="cs"/>
          <w:rtl/>
        </w:rPr>
        <w:t xml:space="preserve">החוק לא מאפשר למפקד הצבאי לקיים בחינה פרטנית בכל מקרה לגופו </w:t>
      </w:r>
      <w:r w:rsidR="00C9014F">
        <w:rPr>
          <w:rtl/>
        </w:rPr>
        <w:t>–</w:t>
      </w:r>
      <w:r w:rsidR="00C9014F">
        <w:rPr>
          <w:rFonts w:hint="cs"/>
          <w:rtl/>
        </w:rPr>
        <w:t xml:space="preserve"> לדוגמא של מידת הזיקה של בעל הקרקע למקרקעין. </w:t>
      </w:r>
      <w:r w:rsidR="006547AE">
        <w:rPr>
          <w:rFonts w:hint="cs"/>
          <w:rtl/>
        </w:rPr>
        <w:t xml:space="preserve">שנית, </w:t>
      </w:r>
      <w:r w:rsidR="00E370F8">
        <w:rPr>
          <w:rFonts w:hint="cs"/>
          <w:rtl/>
        </w:rPr>
        <w:t xml:space="preserve">כאמור לעיל, ספק רב האם </w:t>
      </w:r>
      <w:r w:rsidR="006547AE">
        <w:rPr>
          <w:rFonts w:hint="cs"/>
          <w:rtl/>
        </w:rPr>
        <w:t xml:space="preserve">החוק עונה על הדרישה </w:t>
      </w:r>
      <w:r w:rsidR="00C9014F">
        <w:rPr>
          <w:rFonts w:hint="cs"/>
          <w:rtl/>
        </w:rPr>
        <w:t xml:space="preserve">לפיה על </w:t>
      </w:r>
      <w:r w:rsidR="00201859">
        <w:rPr>
          <w:rFonts w:hint="cs"/>
          <w:rtl/>
        </w:rPr>
        <w:t xml:space="preserve">הפגיעה בקניין </w:t>
      </w:r>
      <w:r w:rsidR="00C9014F">
        <w:rPr>
          <w:rFonts w:hint="cs"/>
          <w:rtl/>
        </w:rPr>
        <w:t xml:space="preserve">להיעשות </w:t>
      </w:r>
      <w:r w:rsidR="006547AE">
        <w:rPr>
          <w:rtl/>
        </w:rPr>
        <w:t>לטובת האוכלוס</w:t>
      </w:r>
      <w:r w:rsidR="006547AE">
        <w:rPr>
          <w:rFonts w:hint="cs"/>
          <w:rtl/>
        </w:rPr>
        <w:t>י</w:t>
      </w:r>
      <w:r w:rsidR="006547AE">
        <w:rPr>
          <w:rtl/>
        </w:rPr>
        <w:t>יה המקומית</w:t>
      </w:r>
      <w:r w:rsidR="00201859">
        <w:rPr>
          <w:rFonts w:hint="cs"/>
          <w:rtl/>
        </w:rPr>
        <w:t xml:space="preserve"> (</w:t>
      </w:r>
      <w:r w:rsidR="006547AE">
        <w:rPr>
          <w:rFonts w:hint="cs"/>
          <w:rtl/>
        </w:rPr>
        <w:t>ראה דיון בהרחבה לעיל</w:t>
      </w:r>
      <w:r w:rsidR="00201859">
        <w:rPr>
          <w:rFonts w:hint="cs"/>
          <w:rtl/>
        </w:rPr>
        <w:t>)</w:t>
      </w:r>
      <w:r w:rsidR="006547AE">
        <w:rPr>
          <w:rFonts w:hint="cs"/>
          <w:rtl/>
        </w:rPr>
        <w:t xml:space="preserve">; בנוגע לתנאי השלישי, החוק </w:t>
      </w:r>
      <w:r w:rsidR="0017167A">
        <w:rPr>
          <w:rFonts w:hint="cs"/>
          <w:rtl/>
        </w:rPr>
        <w:t xml:space="preserve">מנוסח בצורה כוללנית וגורפת, והוא אינו </w:t>
      </w:r>
      <w:r w:rsidR="006547AE">
        <w:rPr>
          <w:rFonts w:hint="cs"/>
          <w:rtl/>
        </w:rPr>
        <w:t xml:space="preserve">מעניק </w:t>
      </w:r>
      <w:r w:rsidR="0017167A">
        <w:rPr>
          <w:rFonts w:hint="cs"/>
          <w:rtl/>
        </w:rPr>
        <w:t xml:space="preserve">לבעל הקרקע שנפגע </w:t>
      </w:r>
      <w:commentRangeStart w:id="3"/>
      <w:r w:rsidR="0017167A">
        <w:rPr>
          <w:rFonts w:hint="cs"/>
          <w:rtl/>
        </w:rPr>
        <w:t>את</w:t>
      </w:r>
      <w:commentRangeEnd w:id="3"/>
      <w:r w:rsidR="008E6F21">
        <w:rPr>
          <w:rStyle w:val="af3"/>
          <w:rFonts w:eastAsiaTheme="minorHAnsi"/>
          <w:rtl/>
        </w:rPr>
        <w:commentReference w:id="3"/>
      </w:r>
      <w:r w:rsidR="0017167A">
        <w:rPr>
          <w:rFonts w:hint="cs"/>
          <w:rtl/>
        </w:rPr>
        <w:t xml:space="preserve"> </w:t>
      </w:r>
      <w:proofErr w:type="spellStart"/>
      <w:r w:rsidR="0038079E">
        <w:rPr>
          <w:rFonts w:hint="cs"/>
          <w:rtl/>
        </w:rPr>
        <w:t>ההגנות</w:t>
      </w:r>
      <w:proofErr w:type="spellEnd"/>
      <w:r w:rsidR="0017167A">
        <w:rPr>
          <w:rFonts w:hint="cs"/>
          <w:rtl/>
        </w:rPr>
        <w:t xml:space="preserve"> </w:t>
      </w:r>
      <w:r w:rsidR="0038079E">
        <w:rPr>
          <w:rFonts w:hint="cs"/>
          <w:rtl/>
        </w:rPr>
        <w:t>הקיימות ב</w:t>
      </w:r>
      <w:r w:rsidR="006547AE">
        <w:rPr>
          <w:rtl/>
        </w:rPr>
        <w:t xml:space="preserve">משפט המנהלי הישראלי, כגון מתן זכות שמיעה לפני </w:t>
      </w:r>
      <w:r w:rsidR="0017167A">
        <w:rPr>
          <w:rFonts w:hint="cs"/>
          <w:rtl/>
        </w:rPr>
        <w:t>נטילת הזכויות בקרקע.</w:t>
      </w:r>
      <w:r w:rsidR="008E6F21">
        <w:rPr>
          <w:rStyle w:val="af2"/>
        </w:rPr>
        <w:footnoteReference w:id="80"/>
      </w:r>
    </w:p>
    <w:p w:rsidR="00DC2AE5" w:rsidRDefault="00DC2AE5" w:rsidP="00DC2AE5">
      <w:pPr>
        <w:bidi/>
        <w:spacing w:line="360" w:lineRule="auto"/>
        <w:rPr>
          <w:i/>
          <w:iCs/>
          <w:u w:val="single"/>
          <w:rtl/>
        </w:rPr>
      </w:pPr>
      <w:r w:rsidRPr="00DC2AE5">
        <w:rPr>
          <w:rFonts w:hint="cs"/>
          <w:i/>
          <w:iCs/>
          <w:u w:val="single"/>
          <w:rtl/>
        </w:rPr>
        <w:t xml:space="preserve">חוק ההסדרה אל מול </w:t>
      </w:r>
      <w:r>
        <w:rPr>
          <w:rFonts w:hint="cs"/>
          <w:i/>
          <w:iCs/>
          <w:u w:val="single"/>
          <w:rtl/>
        </w:rPr>
        <w:t>סעיף 27 לאמנת ג'נבה הרביעית</w:t>
      </w:r>
    </w:p>
    <w:p w:rsidR="000A4394" w:rsidRDefault="000A4394" w:rsidP="009A31AF">
      <w:pPr>
        <w:pStyle w:val="af"/>
        <w:numPr>
          <w:ilvl w:val="0"/>
          <w:numId w:val="18"/>
        </w:numPr>
        <w:bidi/>
        <w:spacing w:line="360" w:lineRule="auto"/>
        <w:ind w:left="425" w:hanging="357"/>
        <w:contextualSpacing w:val="0"/>
      </w:pPr>
      <w:r>
        <w:rPr>
          <w:rFonts w:hint="cs"/>
          <w:rtl/>
        </w:rPr>
        <w:t xml:space="preserve">כאמור לעיל, מדינת ישראל הצהירה כי היא מחילה </w:t>
      </w:r>
      <w:proofErr w:type="spellStart"/>
      <w:r>
        <w:rPr>
          <w:rFonts w:hint="cs"/>
          <w:rtl/>
        </w:rPr>
        <w:t>באיו"ש</w:t>
      </w:r>
      <w:proofErr w:type="spellEnd"/>
      <w:r>
        <w:rPr>
          <w:rFonts w:hint="cs"/>
          <w:rtl/>
        </w:rPr>
        <w:t xml:space="preserve"> את ההוראות ההומניטאריות של אמנת ג'נבה הרביעית</w:t>
      </w:r>
      <w:r w:rsidR="009A31AF">
        <w:rPr>
          <w:rFonts w:hint="cs"/>
          <w:rtl/>
        </w:rPr>
        <w:t>.</w:t>
      </w:r>
      <w:r>
        <w:rPr>
          <w:rFonts w:hint="cs"/>
          <w:rtl/>
        </w:rPr>
        <w:t xml:space="preserve"> בתוך כך, הן עמדת המדינה</w:t>
      </w:r>
      <w:r w:rsidRPr="0082480D">
        <w:rPr>
          <w:vertAlign w:val="superscript"/>
          <w:rtl/>
        </w:rPr>
        <w:footnoteReference w:id="81"/>
      </w:r>
      <w:r>
        <w:rPr>
          <w:rFonts w:hint="cs"/>
          <w:rtl/>
        </w:rPr>
        <w:t xml:space="preserve">  והן פסיקת בית המשפט העליון הכירו בכך שסעיף 27 לאמנה מהווה חלק מהמשפט הבין לאומי </w:t>
      </w:r>
      <w:proofErr w:type="spellStart"/>
      <w:r>
        <w:rPr>
          <w:rFonts w:hint="cs"/>
          <w:rtl/>
        </w:rPr>
        <w:t>המינהגי</w:t>
      </w:r>
      <w:proofErr w:type="spellEnd"/>
      <w:r>
        <w:rPr>
          <w:rFonts w:hint="cs"/>
          <w:rtl/>
        </w:rPr>
        <w:t>.</w:t>
      </w:r>
      <w:r w:rsidRPr="0082480D">
        <w:rPr>
          <w:vertAlign w:val="superscript"/>
          <w:rtl/>
        </w:rPr>
        <w:footnoteReference w:id="82"/>
      </w:r>
      <w:r>
        <w:rPr>
          <w:rFonts w:hint="cs"/>
          <w:rtl/>
        </w:rPr>
        <w:t xml:space="preserve"> </w:t>
      </w:r>
    </w:p>
    <w:p w:rsidR="00570800" w:rsidRPr="00DB509F" w:rsidRDefault="00B93F03" w:rsidP="009A31AF">
      <w:pPr>
        <w:pStyle w:val="af"/>
        <w:numPr>
          <w:ilvl w:val="0"/>
          <w:numId w:val="18"/>
        </w:numPr>
        <w:bidi/>
        <w:spacing w:line="360" w:lineRule="auto"/>
        <w:ind w:left="425" w:hanging="357"/>
        <w:contextualSpacing w:val="0"/>
        <w:rPr>
          <w:rtl/>
        </w:rPr>
      </w:pPr>
      <w:r w:rsidRPr="00D47D7E">
        <w:rPr>
          <w:rFonts w:hint="cs"/>
          <w:rtl/>
        </w:rPr>
        <w:lastRenderedPageBreak/>
        <w:t xml:space="preserve">סעיף 27 לאמנת ג'נבה מהווה את </w:t>
      </w:r>
      <w:r w:rsidRPr="00DC2AE5">
        <w:rPr>
          <w:rFonts w:hint="cs"/>
          <w:rtl/>
        </w:rPr>
        <w:t>התשתית הערכית</w:t>
      </w:r>
      <w:r>
        <w:rPr>
          <w:rFonts w:hint="cs"/>
          <w:rtl/>
        </w:rPr>
        <w:t xml:space="preserve"> ואת </w:t>
      </w:r>
      <w:r w:rsidRPr="00D47D7E">
        <w:rPr>
          <w:rFonts w:hint="cs"/>
          <w:rtl/>
        </w:rPr>
        <w:t>העקרונות עליהם מבוססת אמנת ג'נבה הרביעית בכללותה.</w:t>
      </w:r>
      <w:r w:rsidRPr="00DC2AE5">
        <w:rPr>
          <w:vertAlign w:val="superscript"/>
          <w:rtl/>
        </w:rPr>
        <w:footnoteReference w:id="83"/>
      </w:r>
      <w:r w:rsidRPr="00D47D7E">
        <w:rPr>
          <w:rFonts w:hint="cs"/>
          <w:rtl/>
        </w:rPr>
        <w:t xml:space="preserve"> הסעיף </w:t>
      </w:r>
      <w:r>
        <w:rPr>
          <w:rFonts w:hint="cs"/>
          <w:rtl/>
        </w:rPr>
        <w:t>כולל</w:t>
      </w:r>
      <w:r w:rsidRPr="00D47D7E">
        <w:rPr>
          <w:rFonts w:hint="cs"/>
          <w:rtl/>
        </w:rPr>
        <w:t xml:space="preserve"> את הזכות לכבוד האדם וזכויות הפרט הבסיסיות </w:t>
      </w:r>
      <w:r>
        <w:rPr>
          <w:rFonts w:hint="cs"/>
          <w:rtl/>
        </w:rPr>
        <w:t>אשר עומדות בבסיס האמנה</w:t>
      </w:r>
      <w:r w:rsidR="003E1B0D">
        <w:rPr>
          <w:rFonts w:hint="cs"/>
          <w:rtl/>
        </w:rPr>
        <w:t>, והוא הוכר על ידי בית המשפט כהוראה הבסיסית של המשפט הבין-</w:t>
      </w:r>
      <w:r w:rsidR="003E1B0D" w:rsidRPr="00D47D7E">
        <w:rPr>
          <w:rFonts w:hint="cs"/>
          <w:rtl/>
        </w:rPr>
        <w:t>לאומי ההומניט</w:t>
      </w:r>
      <w:r w:rsidR="003E1B0D">
        <w:rPr>
          <w:rFonts w:hint="cs"/>
          <w:rtl/>
        </w:rPr>
        <w:t>א</w:t>
      </w:r>
      <w:r w:rsidR="003E1B0D" w:rsidRPr="00D47D7E">
        <w:rPr>
          <w:rFonts w:hint="cs"/>
          <w:rtl/>
        </w:rPr>
        <w:t>רי החלה בעת קיומן של פעולות לחימה</w:t>
      </w:r>
      <w:r w:rsidR="003E1B0D">
        <w:rPr>
          <w:rFonts w:hint="cs"/>
          <w:rtl/>
        </w:rPr>
        <w:t>, ממנה ה"תושבים המוגנים"</w:t>
      </w:r>
      <w:r w:rsidR="003E1B0D" w:rsidRPr="00D47D7E">
        <w:rPr>
          <w:rFonts w:hint="cs"/>
          <w:rtl/>
        </w:rPr>
        <w:t xml:space="preserve"> </w:t>
      </w:r>
      <w:r w:rsidR="003E1B0D">
        <w:rPr>
          <w:rFonts w:hint="cs"/>
          <w:rtl/>
        </w:rPr>
        <w:t>שואבים את זכויותיהם</w:t>
      </w:r>
      <w:r w:rsidR="009A31AF">
        <w:rPr>
          <w:rFonts w:hint="cs"/>
          <w:rtl/>
        </w:rPr>
        <w:t>:</w:t>
      </w:r>
      <w:r w:rsidR="003E1B0D">
        <w:rPr>
          <w:rStyle w:val="af2"/>
          <w:rtl/>
        </w:rPr>
        <w:footnoteReference w:id="84"/>
      </w:r>
    </w:p>
    <w:p w:rsidR="00570800" w:rsidRPr="00570800" w:rsidRDefault="00570800" w:rsidP="009A31AF">
      <w:pPr>
        <w:spacing w:after="0" w:line="240" w:lineRule="auto"/>
        <w:ind w:left="357" w:right="567"/>
        <w:rPr>
          <w:sz w:val="22"/>
          <w:szCs w:val="22"/>
        </w:rPr>
      </w:pPr>
      <w:r w:rsidRPr="00570800">
        <w:rPr>
          <w:sz w:val="22"/>
          <w:szCs w:val="22"/>
        </w:rPr>
        <w:t xml:space="preserve">Art. 27. "Protected persons are entitled, in all circumstances, to respect for their persons, their </w:t>
      </w:r>
      <w:proofErr w:type="spellStart"/>
      <w:r w:rsidRPr="00570800">
        <w:rPr>
          <w:sz w:val="22"/>
          <w:szCs w:val="22"/>
        </w:rPr>
        <w:t>honour</w:t>
      </w:r>
      <w:proofErr w:type="spellEnd"/>
      <w:r w:rsidRPr="00570800">
        <w:rPr>
          <w:sz w:val="22"/>
          <w:szCs w:val="22"/>
        </w:rPr>
        <w:t xml:space="preserve">, their family rights, their religious convictions and practices, and their manners and customs. They shall at all times be humanely treated, and shall be protected especially against all acts of violence or threats thereof and against insults and public curiosity. </w:t>
      </w:r>
    </w:p>
    <w:p w:rsidR="00570800" w:rsidRPr="00570800" w:rsidRDefault="00570800" w:rsidP="009A31AF">
      <w:pPr>
        <w:spacing w:after="0" w:line="240" w:lineRule="auto"/>
        <w:ind w:left="357" w:right="567"/>
        <w:rPr>
          <w:sz w:val="22"/>
          <w:szCs w:val="22"/>
        </w:rPr>
      </w:pPr>
      <w:r w:rsidRPr="00570800">
        <w:rPr>
          <w:sz w:val="22"/>
          <w:szCs w:val="22"/>
        </w:rPr>
        <w:t xml:space="preserve">Women shall be especially protected against any attack on their </w:t>
      </w:r>
      <w:proofErr w:type="spellStart"/>
      <w:r w:rsidRPr="00570800">
        <w:rPr>
          <w:sz w:val="22"/>
          <w:szCs w:val="22"/>
        </w:rPr>
        <w:t>honour</w:t>
      </w:r>
      <w:proofErr w:type="spellEnd"/>
      <w:r w:rsidRPr="00570800">
        <w:rPr>
          <w:sz w:val="22"/>
          <w:szCs w:val="22"/>
        </w:rPr>
        <w:t xml:space="preserve">, in particular against rape, enforced prostitution, or any form of indecent assault. </w:t>
      </w:r>
    </w:p>
    <w:p w:rsidR="00570800" w:rsidRPr="00570800" w:rsidRDefault="00570800" w:rsidP="009A31AF">
      <w:pPr>
        <w:spacing w:after="0" w:line="240" w:lineRule="auto"/>
        <w:ind w:left="357" w:right="567"/>
        <w:rPr>
          <w:sz w:val="22"/>
          <w:szCs w:val="22"/>
        </w:rPr>
      </w:pPr>
      <w:r w:rsidRPr="00570800">
        <w:rPr>
          <w:sz w:val="22"/>
          <w:szCs w:val="22"/>
        </w:rPr>
        <w:t xml:space="preserve">Without prejudice to the provisions relating to their state of health, age and sex, all protected persons shall be treated with the same consideration by the Party to the conflict in whose power they are, without any adverse distinction based, in particular, on race, religion or political opinion. </w:t>
      </w:r>
    </w:p>
    <w:p w:rsidR="00570800" w:rsidRPr="00D47D7E" w:rsidRDefault="00570800" w:rsidP="009A31AF">
      <w:pPr>
        <w:spacing w:line="240" w:lineRule="auto"/>
        <w:ind w:left="357" w:right="567"/>
      </w:pPr>
      <w:r w:rsidRPr="00570800">
        <w:rPr>
          <w:sz w:val="22"/>
          <w:szCs w:val="22"/>
        </w:rPr>
        <w:t>However, the Parties to the conflict may take such measures of control and security in regard to protected persons as may be necessary as a result of the war</w:t>
      </w:r>
      <w:r w:rsidRPr="00570800">
        <w:rPr>
          <w:rFonts w:ascii="Arial" w:hAnsi="Arial" w:cs="Arial"/>
          <w:color w:val="555555"/>
          <w:sz w:val="18"/>
          <w:szCs w:val="18"/>
          <w:shd w:val="clear" w:color="auto" w:fill="FFFFFF"/>
        </w:rPr>
        <w:t>.</w:t>
      </w:r>
      <w:r w:rsidRPr="00D47D7E">
        <w:t>"</w:t>
      </w:r>
    </w:p>
    <w:p w:rsidR="003E1B0D" w:rsidRDefault="00570800" w:rsidP="009A31AF">
      <w:pPr>
        <w:bidi/>
        <w:spacing w:line="360" w:lineRule="auto"/>
        <w:ind w:firstLine="357"/>
        <w:rPr>
          <w:rtl/>
        </w:rPr>
      </w:pPr>
      <w:r>
        <w:rPr>
          <w:rFonts w:hint="cs"/>
          <w:rtl/>
        </w:rPr>
        <w:t xml:space="preserve">עוד ראו מתוך פסק דינה של </w:t>
      </w:r>
      <w:r w:rsidR="003E1B0D">
        <w:rPr>
          <w:rFonts w:hint="cs"/>
          <w:rtl/>
        </w:rPr>
        <w:t xml:space="preserve">כב' הנשיאה (בדימוס) בייניש בבג"ץ 201/09 </w:t>
      </w:r>
      <w:r w:rsidR="003E1B0D" w:rsidRPr="00570800">
        <w:rPr>
          <w:rFonts w:hint="cs"/>
          <w:b/>
          <w:bCs/>
          <w:rtl/>
        </w:rPr>
        <w:t>רופאים לזכויות אדם</w:t>
      </w:r>
      <w:r w:rsidR="003E1B0D">
        <w:rPr>
          <w:rFonts w:hint="cs"/>
          <w:rtl/>
        </w:rPr>
        <w:t>:</w:t>
      </w:r>
    </w:p>
    <w:p w:rsidR="003E1B0D" w:rsidRDefault="003E1B0D" w:rsidP="00E033C9">
      <w:pPr>
        <w:bidi/>
        <w:spacing w:line="240" w:lineRule="auto"/>
        <w:ind w:left="1276" w:right="992"/>
        <w:rPr>
          <w:rtl/>
        </w:rPr>
      </w:pPr>
      <w:r w:rsidRPr="00281BE7">
        <w:rPr>
          <w:rFonts w:hint="cs"/>
          <w:rtl/>
        </w:rPr>
        <w:t xml:space="preserve">"ההוראה הבסיסית של המשפט הבינלאומי ההומניטרי החלה בעת קיומן של פעולות לחימה (הן בשטח הנתון לתפיסה לוחמתית והן בשטחם של הצדדים ללחימה) מעוגנת בסעיף 27 לאמנת ג'נבה הרביעית, </w:t>
      </w:r>
      <w:r w:rsidRPr="00570800">
        <w:rPr>
          <w:rFonts w:hint="cs"/>
          <w:rtl/>
        </w:rPr>
        <w:t>הקובע כי אזרחים מוגנים – בין אם הם מצויים בשטח הנתון לתפיסה לוחמתית או בשטח המצוי בריבונותם של הצדדים ללחימה - זכאים בכל הנסיבות, בין היתר, ליחס של דרך ארץ לגופם ולכבודם, ולהגנה מפני כל מעשי אלימות או איום במעשי אלימות (ראו גם סעיף 46 לתקנות האג)."</w:t>
      </w:r>
      <w:r w:rsidRPr="00570800">
        <w:rPr>
          <w:vertAlign w:val="superscript"/>
          <w:rtl/>
        </w:rPr>
        <w:footnoteReference w:id="85"/>
      </w:r>
      <w:r>
        <w:rPr>
          <w:rFonts w:hint="cs"/>
          <w:rtl/>
        </w:rPr>
        <w:t xml:space="preserve"> </w:t>
      </w:r>
    </w:p>
    <w:p w:rsidR="00DB509F" w:rsidRDefault="00570800" w:rsidP="00570800">
      <w:pPr>
        <w:bidi/>
        <w:spacing w:line="360" w:lineRule="auto"/>
        <w:ind w:firstLine="425"/>
      </w:pPr>
      <w:r>
        <w:rPr>
          <w:rFonts w:hint="cs"/>
          <w:rtl/>
        </w:rPr>
        <w:t>ו</w:t>
      </w:r>
      <w:r w:rsidR="00DB509F">
        <w:rPr>
          <w:rFonts w:hint="cs"/>
          <w:rtl/>
        </w:rPr>
        <w:t xml:space="preserve">גם בעניין </w:t>
      </w:r>
      <w:proofErr w:type="spellStart"/>
      <w:r w:rsidR="00DB509F" w:rsidRPr="00DB509F">
        <w:rPr>
          <w:rFonts w:hint="cs"/>
          <w:b/>
          <w:bCs/>
          <w:rtl/>
        </w:rPr>
        <w:t>מראעבה</w:t>
      </w:r>
      <w:proofErr w:type="spellEnd"/>
      <w:r w:rsidR="00DB509F" w:rsidRPr="00DB509F">
        <w:rPr>
          <w:rFonts w:hint="cs"/>
          <w:b/>
          <w:bCs/>
          <w:rtl/>
        </w:rPr>
        <w:t>,</w:t>
      </w:r>
      <w:r w:rsidR="00DB509F">
        <w:rPr>
          <w:rFonts w:hint="cs"/>
          <w:rtl/>
        </w:rPr>
        <w:t xml:space="preserve"> פס' 26 לפסק דינו של כב' הנשיא (בדימוס) ברק, להלן:</w:t>
      </w:r>
    </w:p>
    <w:p w:rsidR="00DB509F" w:rsidRPr="00DB509F" w:rsidRDefault="00570800" w:rsidP="00E033C9">
      <w:pPr>
        <w:bidi/>
        <w:spacing w:line="240" w:lineRule="auto"/>
        <w:ind w:left="1276" w:right="992"/>
        <w:rPr>
          <w:rtl/>
        </w:rPr>
      </w:pPr>
      <w:r>
        <w:rPr>
          <w:rFonts w:hint="cs"/>
          <w:rtl/>
        </w:rPr>
        <w:t>"</w:t>
      </w:r>
      <w:r w:rsidR="00DB509F" w:rsidRPr="00DB509F">
        <w:rPr>
          <w:rFonts w:hint="cs"/>
          <w:rtl/>
        </w:rPr>
        <w:t xml:space="preserve">מהו המקור המשפטי ממנו יונקים התושבים המוגנים באזור את זכויותיהם? על </w:t>
      </w:r>
      <w:proofErr w:type="spellStart"/>
      <w:r w:rsidR="00DB509F" w:rsidRPr="00DB509F">
        <w:rPr>
          <w:rFonts w:hint="cs"/>
          <w:rtl/>
        </w:rPr>
        <w:t>הכל</w:t>
      </w:r>
      <w:proofErr w:type="spellEnd"/>
      <w:r w:rsidR="00DB509F" w:rsidRPr="00DB509F">
        <w:rPr>
          <w:rFonts w:hint="cs"/>
          <w:rtl/>
        </w:rPr>
        <w:t xml:space="preserve"> מקובל כי המשפט הבינלאומי ההומניטרי הוא מקור מרכזי לזכויות אלה. משפט זה מעוגן, בין השאר, בתקנות האג. תקנה 46 לתקנות האג קובעת:</w:t>
      </w:r>
      <w:r w:rsidR="00DB509F">
        <w:rPr>
          <w:rFonts w:hint="cs"/>
          <w:rtl/>
        </w:rPr>
        <w:t xml:space="preserve"> </w:t>
      </w:r>
      <w:r w:rsidR="00DB509F" w:rsidRPr="00DB509F">
        <w:rPr>
          <w:rFonts w:hint="cs"/>
          <w:rtl/>
        </w:rPr>
        <w:t>"יש לכבד את כבוד המשפחה וזכויותיהם, חיי אדם, רכוש פרטי וכן את אמונות הדת ומנהגי הפולחן.</w:t>
      </w:r>
      <w:r w:rsidR="00DB509F">
        <w:rPr>
          <w:rFonts w:hint="cs"/>
          <w:rtl/>
        </w:rPr>
        <w:t xml:space="preserve"> </w:t>
      </w:r>
      <w:r w:rsidR="00DB509F" w:rsidRPr="00DB509F">
        <w:rPr>
          <w:rFonts w:hint="cs"/>
          <w:rtl/>
        </w:rPr>
        <w:t>אין להחרים רכוש פרטי".</w:t>
      </w:r>
    </w:p>
    <w:p w:rsidR="00DB509F" w:rsidRPr="00DB509F" w:rsidRDefault="00DB509F" w:rsidP="00E033C9">
      <w:pPr>
        <w:bidi/>
        <w:spacing w:line="240" w:lineRule="auto"/>
        <w:ind w:left="1276" w:right="992"/>
        <w:rPr>
          <w:rtl/>
        </w:rPr>
      </w:pPr>
      <w:r w:rsidRPr="00DB509F">
        <w:rPr>
          <w:rFonts w:hint="cs"/>
          <w:rtl/>
        </w:rPr>
        <w:t> כן מעוגן משפט הומניטרי זה באמנת ג'נבה הרביעית, המגינה על זכויותיהם של "אנשים מוגנים". ההוראה המרכזית קבועה בסעיף 27:</w:t>
      </w:r>
    </w:p>
    <w:p w:rsidR="00DB509F" w:rsidRPr="00DB509F" w:rsidRDefault="00DB509F" w:rsidP="00E033C9">
      <w:pPr>
        <w:bidi/>
        <w:spacing w:line="240" w:lineRule="auto"/>
        <w:ind w:left="1276" w:right="992"/>
        <w:rPr>
          <w:rtl/>
        </w:rPr>
      </w:pPr>
      <w:r w:rsidRPr="00DB509F">
        <w:rPr>
          <w:rFonts w:hint="cs"/>
          <w:rtl/>
        </w:rPr>
        <w:t xml:space="preserve"> "מוגנים זכאים בכל הנסיבות ליחס של דרך-ארץ לגופם, לכבודם, לזכויותיהם המשפחתיות, לאמונתם ולפולחנם, לנימוסיהם ולמנהגיהם. היחס אליהם יהא תמיד אנושי, והם יוגנו במיוחד מפני כל מעשי אלימות, או איומי אלימות, ומפני </w:t>
      </w:r>
      <w:r w:rsidRPr="00DB509F">
        <w:rPr>
          <w:rFonts w:hint="cs"/>
          <w:rtl/>
        </w:rPr>
        <w:lastRenderedPageBreak/>
        <w:t>עלבונות וסקרנות הרבים... בעלי הסכסוך רשאים לנקוט, לגבי מוגנים, אותם אמצעי פיקוח וביטחון שיהיו דרושים כתוצאה מהמלחמה".</w:t>
      </w:r>
      <w:r w:rsidRPr="00570800">
        <w:rPr>
          <w:vertAlign w:val="superscript"/>
          <w:rtl/>
        </w:rPr>
        <w:footnoteReference w:id="86"/>
      </w:r>
    </w:p>
    <w:p w:rsidR="00DB509F" w:rsidRDefault="00DB509F" w:rsidP="00DB509F">
      <w:pPr>
        <w:pStyle w:val="af"/>
        <w:numPr>
          <w:ilvl w:val="0"/>
          <w:numId w:val="18"/>
        </w:numPr>
        <w:bidi/>
        <w:spacing w:line="360" w:lineRule="auto"/>
        <w:ind w:left="425" w:hanging="357"/>
        <w:contextualSpacing w:val="0"/>
      </w:pPr>
      <w:r>
        <w:rPr>
          <w:rFonts w:hint="cs"/>
          <w:rtl/>
        </w:rPr>
        <w:t xml:space="preserve">בהתאם לעקרונות דיני התפיסה הלוחמתית, </w:t>
      </w:r>
      <w:r w:rsidR="003E1B0D">
        <w:rPr>
          <w:rFonts w:hint="cs"/>
          <w:rtl/>
        </w:rPr>
        <w:t>כאמור בסיפא של הסעיף,</w:t>
      </w:r>
      <w:r w:rsidR="003E1B0D" w:rsidRPr="00D47D7E">
        <w:rPr>
          <w:rFonts w:hint="cs"/>
          <w:rtl/>
        </w:rPr>
        <w:t xml:space="preserve"> </w:t>
      </w:r>
      <w:r w:rsidR="003E1B0D">
        <w:rPr>
          <w:rFonts w:hint="cs"/>
          <w:rtl/>
        </w:rPr>
        <w:t>ה</w:t>
      </w:r>
      <w:r w:rsidR="003E1B0D" w:rsidRPr="00D47D7E">
        <w:rPr>
          <w:rFonts w:hint="cs"/>
          <w:rtl/>
        </w:rPr>
        <w:t xml:space="preserve">זכויות </w:t>
      </w:r>
      <w:r w:rsidR="003E1B0D">
        <w:rPr>
          <w:rFonts w:hint="cs"/>
          <w:rtl/>
        </w:rPr>
        <w:t>המוקנות מכוח הסעיף אינן מוחלטות וניתן לאזן ביניהן לבין</w:t>
      </w:r>
      <w:r w:rsidR="003E1B0D" w:rsidRPr="00785241">
        <w:rPr>
          <w:rFonts w:hint="cs"/>
          <w:rtl/>
        </w:rPr>
        <w:t xml:space="preserve"> </w:t>
      </w:r>
      <w:r w:rsidR="003E1B0D">
        <w:rPr>
          <w:rFonts w:hint="cs"/>
          <w:rtl/>
        </w:rPr>
        <w:t>נקיטת אותם אמצעי פיקוח וביטחון שיהיו דרושים כתוצאה מהמלחמה</w:t>
      </w:r>
      <w:r w:rsidR="003E1B0D" w:rsidRPr="00D47D7E">
        <w:rPr>
          <w:rFonts w:hint="cs"/>
          <w:rtl/>
        </w:rPr>
        <w:t>.</w:t>
      </w:r>
      <w:r w:rsidR="00376A9E" w:rsidRPr="00D47D7E">
        <w:rPr>
          <w:rStyle w:val="af2"/>
          <w:rtl/>
        </w:rPr>
        <w:footnoteReference w:id="87"/>
      </w:r>
      <w:r w:rsidR="003E1B0D">
        <w:rPr>
          <w:rFonts w:hint="cs"/>
          <w:rtl/>
        </w:rPr>
        <w:t xml:space="preserve"> יחד עם זאת, ל</w:t>
      </w:r>
      <w:r w:rsidR="003E1B0D" w:rsidRPr="003E1B0D">
        <w:rPr>
          <w:rFonts w:hint="cs"/>
          <w:rtl/>
        </w:rPr>
        <w:t>אמצעים א</w:t>
      </w:r>
      <w:r w:rsidR="003E1B0D">
        <w:rPr>
          <w:rFonts w:hint="cs"/>
          <w:rtl/>
        </w:rPr>
        <w:t>לה אסור לפגוע בליבת הזכויות,</w:t>
      </w:r>
      <w:r w:rsidR="003E1B0D">
        <w:rPr>
          <w:rStyle w:val="af2"/>
          <w:rtl/>
        </w:rPr>
        <w:footnoteReference w:id="88"/>
      </w:r>
      <w:r w:rsidR="003E1B0D" w:rsidRPr="003E1B0D">
        <w:rPr>
          <w:rFonts w:hint="cs"/>
          <w:rtl/>
        </w:rPr>
        <w:t xml:space="preserve"> </w:t>
      </w:r>
      <w:r w:rsidR="003E1B0D">
        <w:rPr>
          <w:rFonts w:hint="cs"/>
          <w:rtl/>
        </w:rPr>
        <w:t>ועליהם להיות מידתיים</w:t>
      </w:r>
      <w:r w:rsidR="003E1B0D">
        <w:rPr>
          <w:rFonts w:cs="FrankRuehl" w:hint="cs"/>
          <w:rtl/>
        </w:rPr>
        <w:t>.</w:t>
      </w:r>
      <w:r w:rsidR="003E1B0D" w:rsidRPr="00DC2AE5">
        <w:rPr>
          <w:vertAlign w:val="superscript"/>
          <w:rtl/>
        </w:rPr>
        <w:footnoteReference w:id="89"/>
      </w:r>
      <w:r w:rsidR="003E1B0D">
        <w:rPr>
          <w:rFonts w:hint="cs"/>
          <w:rtl/>
        </w:rPr>
        <w:t xml:space="preserve"> </w:t>
      </w:r>
    </w:p>
    <w:p w:rsidR="00DB509F" w:rsidRPr="00DB509F" w:rsidRDefault="00612605" w:rsidP="001922CF">
      <w:pPr>
        <w:pStyle w:val="af"/>
        <w:numPr>
          <w:ilvl w:val="0"/>
          <w:numId w:val="18"/>
        </w:numPr>
        <w:bidi/>
        <w:spacing w:line="360" w:lineRule="auto"/>
        <w:ind w:left="425" w:hanging="357"/>
        <w:contextualSpacing w:val="0"/>
        <w:rPr>
          <w:rtl/>
        </w:rPr>
      </w:pPr>
      <w:r>
        <w:rPr>
          <w:rFonts w:hint="cs"/>
          <w:rtl/>
        </w:rPr>
        <w:t xml:space="preserve">סקירה של הפסיקה הרלוונטית העלתה כי </w:t>
      </w:r>
      <w:r w:rsidR="002F41BD">
        <w:rPr>
          <w:rFonts w:hint="cs"/>
          <w:rtl/>
        </w:rPr>
        <w:t xml:space="preserve">ככלל, </w:t>
      </w:r>
      <w:r w:rsidR="00BB1E63">
        <w:rPr>
          <w:rFonts w:hint="cs"/>
          <w:rtl/>
        </w:rPr>
        <w:t xml:space="preserve">במקרים העוסקים בפגיעה ברכוש, כאשר </w:t>
      </w:r>
      <w:r>
        <w:rPr>
          <w:rFonts w:hint="cs"/>
          <w:rtl/>
        </w:rPr>
        <w:t xml:space="preserve">בית המשפט העליון </w:t>
      </w:r>
      <w:r w:rsidR="00BB1E63">
        <w:rPr>
          <w:rFonts w:hint="cs"/>
          <w:rtl/>
        </w:rPr>
        <w:t xml:space="preserve">בחן </w:t>
      </w:r>
      <w:r>
        <w:rPr>
          <w:rFonts w:hint="cs"/>
          <w:rtl/>
        </w:rPr>
        <w:t xml:space="preserve">האם פעולת המפקד הצבאי עולה בקנה אחד </w:t>
      </w:r>
      <w:r w:rsidR="00BB1E63">
        <w:rPr>
          <w:rFonts w:hint="cs"/>
          <w:rtl/>
        </w:rPr>
        <w:t xml:space="preserve">עם </w:t>
      </w:r>
      <w:r w:rsidR="002F41BD">
        <w:rPr>
          <w:rFonts w:hint="cs"/>
          <w:rtl/>
        </w:rPr>
        <w:t xml:space="preserve">תקנה </w:t>
      </w:r>
      <w:r w:rsidRPr="00D47D7E">
        <w:rPr>
          <w:rFonts w:hint="cs"/>
          <w:rtl/>
        </w:rPr>
        <w:t xml:space="preserve">46 לתקנות האג, </w:t>
      </w:r>
      <w:r w:rsidR="00BB1E63">
        <w:rPr>
          <w:rFonts w:hint="cs"/>
          <w:rtl/>
        </w:rPr>
        <w:t>הוא בחן זאת גם לאור סעיף 27 לאמנת ג'נבה הרביעית.</w:t>
      </w:r>
      <w:r w:rsidR="00BB1E63">
        <w:rPr>
          <w:rStyle w:val="af2"/>
          <w:rtl/>
        </w:rPr>
        <w:footnoteReference w:id="90"/>
      </w:r>
      <w:r w:rsidR="003E1B0D">
        <w:rPr>
          <w:rFonts w:hint="cs"/>
          <w:rtl/>
        </w:rPr>
        <w:t xml:space="preserve"> בהתאם לכך, </w:t>
      </w:r>
      <w:r w:rsidR="00506578">
        <w:rPr>
          <w:rFonts w:hint="cs"/>
          <w:rtl/>
        </w:rPr>
        <w:t>על פי פסיקת בית המשפט</w:t>
      </w:r>
      <w:r w:rsidR="003E1B0D">
        <w:rPr>
          <w:rFonts w:hint="cs"/>
          <w:rtl/>
        </w:rPr>
        <w:t xml:space="preserve"> העליון</w:t>
      </w:r>
      <w:r w:rsidR="00506578">
        <w:rPr>
          <w:rFonts w:hint="cs"/>
          <w:rtl/>
        </w:rPr>
        <w:t xml:space="preserve">, </w:t>
      </w:r>
      <w:r w:rsidR="00BB1E63">
        <w:rPr>
          <w:rFonts w:hint="cs"/>
          <w:rtl/>
        </w:rPr>
        <w:t xml:space="preserve">הן </w:t>
      </w:r>
      <w:r w:rsidR="00506578">
        <w:rPr>
          <w:rFonts w:hint="cs"/>
          <w:rtl/>
        </w:rPr>
        <w:t>סעיף 27 ו</w:t>
      </w:r>
      <w:r w:rsidR="00BB1E63">
        <w:rPr>
          <w:rFonts w:hint="cs"/>
          <w:rtl/>
        </w:rPr>
        <w:t xml:space="preserve">הן </w:t>
      </w:r>
      <w:r w:rsidR="00506578">
        <w:rPr>
          <w:rFonts w:hint="cs"/>
          <w:rtl/>
        </w:rPr>
        <w:t>תקנה 46 מ</w:t>
      </w:r>
      <w:r w:rsidR="00506578" w:rsidRPr="00D47D7E">
        <w:rPr>
          <w:rFonts w:hint="cs"/>
          <w:rtl/>
        </w:rPr>
        <w:t>חייבים את המפקד הצבאי לשמור על האינטרסים והצרכים של האוכלוסייה המקומית</w:t>
      </w:r>
      <w:r w:rsidR="0056751E">
        <w:rPr>
          <w:rFonts w:hint="cs"/>
          <w:rtl/>
        </w:rPr>
        <w:t>,</w:t>
      </w:r>
      <w:r w:rsidR="00506578" w:rsidRPr="002F41BD">
        <w:rPr>
          <w:vertAlign w:val="superscript"/>
          <w:rtl/>
        </w:rPr>
        <w:footnoteReference w:id="91"/>
      </w:r>
      <w:r w:rsidR="00506578" w:rsidRPr="00D47D7E">
        <w:rPr>
          <w:rFonts w:hint="cs"/>
          <w:rtl/>
        </w:rPr>
        <w:t xml:space="preserve"> </w:t>
      </w:r>
      <w:r w:rsidR="0056751E">
        <w:rPr>
          <w:rFonts w:hint="cs"/>
          <w:rtl/>
        </w:rPr>
        <w:t>כאשר המדובר כאמור לעיל בחובה כפולה</w:t>
      </w:r>
      <w:r w:rsidR="001922CF">
        <w:rPr>
          <w:rFonts w:hint="cs"/>
          <w:rtl/>
        </w:rPr>
        <w:t>-</w:t>
      </w:r>
      <w:r w:rsidR="0056751E">
        <w:rPr>
          <w:rFonts w:hint="cs"/>
          <w:rtl/>
        </w:rPr>
        <w:t xml:space="preserve"> </w:t>
      </w:r>
      <w:r w:rsidR="0056751E" w:rsidRPr="00D813A9">
        <w:rPr>
          <w:rFonts w:hint="cs"/>
          <w:rtl/>
        </w:rPr>
        <w:t xml:space="preserve">להימנע מפעולות הפוגעות בתושבים המקומיים </w:t>
      </w:r>
      <w:r w:rsidR="0056751E">
        <w:rPr>
          <w:rFonts w:hint="cs"/>
          <w:rtl/>
        </w:rPr>
        <w:t>ולבצע</w:t>
      </w:r>
      <w:r w:rsidR="0056751E" w:rsidRPr="00D813A9">
        <w:rPr>
          <w:rFonts w:hint="cs"/>
          <w:rtl/>
        </w:rPr>
        <w:t xml:space="preserve"> פעולות </w:t>
      </w:r>
      <w:r w:rsidR="0056751E">
        <w:rPr>
          <w:rFonts w:hint="cs"/>
          <w:rtl/>
        </w:rPr>
        <w:t xml:space="preserve">שיבטיחו </w:t>
      </w:r>
      <w:r w:rsidR="0056751E" w:rsidRPr="00D813A9">
        <w:rPr>
          <w:rFonts w:hint="cs"/>
          <w:rtl/>
        </w:rPr>
        <w:t>כי התושבים המקומיים לא ייפגעו</w:t>
      </w:r>
      <w:r w:rsidR="0056751E">
        <w:rPr>
          <w:rFonts w:hint="cs"/>
          <w:rtl/>
        </w:rPr>
        <w:t>.</w:t>
      </w:r>
      <w:r w:rsidR="0056751E" w:rsidRPr="00D813A9">
        <w:rPr>
          <w:rStyle w:val="af2"/>
          <w:rtl/>
        </w:rPr>
        <w:footnoteReference w:id="92"/>
      </w:r>
      <w:r w:rsidR="00506578" w:rsidRPr="00D47D7E">
        <w:rPr>
          <w:rFonts w:hint="cs"/>
          <w:rtl/>
        </w:rPr>
        <w:t xml:space="preserve"> </w:t>
      </w:r>
    </w:p>
    <w:p w:rsidR="003E1B0D" w:rsidRDefault="002B7E20" w:rsidP="00DB509F">
      <w:pPr>
        <w:pStyle w:val="af"/>
        <w:numPr>
          <w:ilvl w:val="0"/>
          <w:numId w:val="18"/>
        </w:numPr>
        <w:bidi/>
        <w:spacing w:line="360" w:lineRule="auto"/>
        <w:ind w:left="425" w:hanging="357"/>
        <w:contextualSpacing w:val="0"/>
      </w:pPr>
      <w:r>
        <w:rPr>
          <w:rFonts w:hint="cs"/>
          <w:rtl/>
        </w:rPr>
        <w:t xml:space="preserve">בעניין חוק ההסדרה, עולה השאלה האם </w:t>
      </w:r>
      <w:r w:rsidR="003E1B0D">
        <w:rPr>
          <w:rFonts w:hint="cs"/>
          <w:rtl/>
        </w:rPr>
        <w:t xml:space="preserve">מעבר לפגיעה בזכות הקניין בהתאם לתקנה 46 לתקנות האג, </w:t>
      </w:r>
      <w:r>
        <w:rPr>
          <w:rFonts w:hint="cs"/>
          <w:rtl/>
        </w:rPr>
        <w:t>החוק פוגע בזכותם של "התושבים המוגנים" לכבוד</w:t>
      </w:r>
      <w:r w:rsidR="002C1223">
        <w:rPr>
          <w:rFonts w:hint="cs"/>
          <w:rtl/>
        </w:rPr>
        <w:t xml:space="preserve">, </w:t>
      </w:r>
      <w:r w:rsidR="00C74055">
        <w:rPr>
          <w:rFonts w:hint="cs"/>
          <w:rtl/>
        </w:rPr>
        <w:t>ו</w:t>
      </w:r>
      <w:r w:rsidR="002C1223">
        <w:rPr>
          <w:rFonts w:hint="cs"/>
          <w:rtl/>
        </w:rPr>
        <w:t>האם הוא מפר את החובה ל</w:t>
      </w:r>
      <w:r w:rsidR="00F15C6B">
        <w:rPr>
          <w:rFonts w:hint="cs"/>
          <w:rtl/>
        </w:rPr>
        <w:t xml:space="preserve">העניק לכל </w:t>
      </w:r>
      <w:r w:rsidR="002C1223">
        <w:rPr>
          <w:rFonts w:hint="cs"/>
          <w:rtl/>
        </w:rPr>
        <w:t xml:space="preserve">"התושבים המוגנים" </w:t>
      </w:r>
      <w:r w:rsidR="00F15C6B">
        <w:rPr>
          <w:rFonts w:hint="cs"/>
          <w:rtl/>
        </w:rPr>
        <w:t>יחס שוויוני</w:t>
      </w:r>
      <w:r w:rsidR="003E1B0D">
        <w:rPr>
          <w:rFonts w:hint="cs"/>
          <w:rtl/>
        </w:rPr>
        <w:t xml:space="preserve"> בהתאם לקבוע בפסקה השלישית לסעיף כדלקמן:</w:t>
      </w:r>
    </w:p>
    <w:p w:rsidR="00DB509F" w:rsidRDefault="002C1223" w:rsidP="001922CF">
      <w:pPr>
        <w:spacing w:after="0" w:line="240" w:lineRule="auto"/>
        <w:ind w:left="357" w:right="567"/>
        <w:rPr>
          <w:sz w:val="22"/>
          <w:szCs w:val="22"/>
          <w:rtl/>
        </w:rPr>
      </w:pPr>
      <w:r w:rsidRPr="00F15C6B">
        <w:rPr>
          <w:sz w:val="22"/>
          <w:szCs w:val="22"/>
        </w:rPr>
        <w:t xml:space="preserve">Without prejudice to the provisions relating to their state of health, age and sex, all protected persons shall be treated with the same consideration by the Party to the conflict in whose power they are, without any adverse distinction based, in particular, on race, </w:t>
      </w:r>
      <w:r w:rsidR="00DB509F">
        <w:rPr>
          <w:sz w:val="22"/>
          <w:szCs w:val="22"/>
        </w:rPr>
        <w:t xml:space="preserve">religion or political opinion. </w:t>
      </w:r>
    </w:p>
    <w:p w:rsidR="00DB509F" w:rsidRDefault="00DB509F" w:rsidP="00DB509F">
      <w:pPr>
        <w:spacing w:after="0" w:line="360" w:lineRule="auto"/>
        <w:ind w:left="360" w:right="567"/>
        <w:rPr>
          <w:sz w:val="22"/>
          <w:szCs w:val="22"/>
          <w:rtl/>
        </w:rPr>
      </w:pPr>
    </w:p>
    <w:p w:rsidR="001B3459" w:rsidRPr="00DB509F" w:rsidRDefault="001B3459" w:rsidP="0038079E">
      <w:pPr>
        <w:pStyle w:val="af"/>
        <w:numPr>
          <w:ilvl w:val="0"/>
          <w:numId w:val="18"/>
        </w:numPr>
        <w:bidi/>
        <w:spacing w:line="360" w:lineRule="auto"/>
        <w:ind w:left="425" w:hanging="357"/>
        <w:contextualSpacing w:val="0"/>
      </w:pPr>
      <w:r>
        <w:rPr>
          <w:rFonts w:hint="cs"/>
          <w:rtl/>
        </w:rPr>
        <w:t xml:space="preserve">אנו סבורים כי ניתן לטעון </w:t>
      </w:r>
      <w:r w:rsidR="00FF11BC">
        <w:rPr>
          <w:rFonts w:hint="cs"/>
          <w:rtl/>
        </w:rPr>
        <w:t>ש</w:t>
      </w:r>
      <w:r>
        <w:rPr>
          <w:rFonts w:hint="cs"/>
          <w:rtl/>
        </w:rPr>
        <w:t xml:space="preserve">חוק ההסדרה אינה עולה בקנה אחד גם עם סעיף 27. ראשית, </w:t>
      </w:r>
      <w:r w:rsidR="0038079E">
        <w:rPr>
          <w:rFonts w:hint="cs"/>
          <w:rtl/>
        </w:rPr>
        <w:t xml:space="preserve">עצם ההנחה של החוק לפיו יש לבצע איזון בזכויות בין המתיישבים לבין "התושבים המוגנים", קל וחומר </w:t>
      </w:r>
      <w:r w:rsidR="00FC1DED">
        <w:rPr>
          <w:rFonts w:hint="cs"/>
          <w:rtl/>
        </w:rPr>
        <w:t xml:space="preserve">הפגיעה </w:t>
      </w:r>
      <w:r w:rsidR="00FF11BC">
        <w:rPr>
          <w:rFonts w:hint="cs"/>
          <w:rtl/>
        </w:rPr>
        <w:t xml:space="preserve">הקשה </w:t>
      </w:r>
      <w:r w:rsidR="0038079E">
        <w:rPr>
          <w:rFonts w:hint="cs"/>
          <w:rtl/>
        </w:rPr>
        <w:t xml:space="preserve">שהחוק יוצר </w:t>
      </w:r>
      <w:r w:rsidR="00FC1DED">
        <w:rPr>
          <w:rFonts w:hint="cs"/>
          <w:rtl/>
        </w:rPr>
        <w:t>ב</w:t>
      </w:r>
      <w:r w:rsidR="0038079E">
        <w:rPr>
          <w:rFonts w:hint="cs"/>
          <w:rtl/>
        </w:rPr>
        <w:t>עיקרון ה</w:t>
      </w:r>
      <w:r w:rsidR="00FC1DED">
        <w:rPr>
          <w:rFonts w:hint="cs"/>
          <w:rtl/>
        </w:rPr>
        <w:t xml:space="preserve">שוויון </w:t>
      </w:r>
      <w:r w:rsidR="00FF11BC">
        <w:rPr>
          <w:rFonts w:hint="cs"/>
          <w:rtl/>
        </w:rPr>
        <w:t xml:space="preserve">בין </w:t>
      </w:r>
      <w:r w:rsidR="0038079E">
        <w:rPr>
          <w:rFonts w:hint="cs"/>
          <w:rtl/>
        </w:rPr>
        <w:t>קבוצות אלו</w:t>
      </w:r>
      <w:r w:rsidR="00FF11BC">
        <w:rPr>
          <w:rFonts w:hint="cs"/>
          <w:rtl/>
        </w:rPr>
        <w:t xml:space="preserve"> </w:t>
      </w:r>
      <w:r w:rsidR="00FC1DED">
        <w:rPr>
          <w:rFonts w:hint="cs"/>
          <w:rtl/>
        </w:rPr>
        <w:t xml:space="preserve">- שתידון לעומק במסגרת הבחינה החוקתית של החוק - אינה עולה בקנה אחד עם החובה להגן על כבודם של "התושבים המוגנים". שנית, על אף שהפסקה השלישית לחוק </w:t>
      </w:r>
      <w:r w:rsidR="0038079E">
        <w:rPr>
          <w:rFonts w:hint="cs"/>
          <w:rtl/>
        </w:rPr>
        <w:t>מתייחסת לכך ש</w:t>
      </w:r>
      <w:r w:rsidR="00FC1DED">
        <w:rPr>
          <w:rFonts w:hint="cs"/>
          <w:rtl/>
        </w:rPr>
        <w:t>אין להפלות בין "התושבים המוגנים" לבין עצמם,</w:t>
      </w:r>
      <w:r w:rsidR="00FC1DED" w:rsidRPr="00AB2801">
        <w:rPr>
          <w:sz w:val="22"/>
          <w:szCs w:val="22"/>
          <w:vertAlign w:val="superscript"/>
          <w:rtl/>
        </w:rPr>
        <w:footnoteReference w:id="93"/>
      </w:r>
      <w:r w:rsidR="00FC1DED">
        <w:rPr>
          <w:rFonts w:hint="cs"/>
          <w:rtl/>
        </w:rPr>
        <w:t xml:space="preserve"> אנו סבורים כי מכוח קל וחומר, </w:t>
      </w:r>
      <w:r w:rsidR="0038079E">
        <w:rPr>
          <w:rFonts w:hint="cs"/>
          <w:rtl/>
        </w:rPr>
        <w:t>בוודאי ש</w:t>
      </w:r>
      <w:r w:rsidR="00FC1DED">
        <w:rPr>
          <w:rFonts w:hint="cs"/>
          <w:rtl/>
        </w:rPr>
        <w:t xml:space="preserve">לא ניתן להפלות בין אוכלוסייה שמוגדרת "תושבים </w:t>
      </w:r>
      <w:r w:rsidR="00FC1DED">
        <w:rPr>
          <w:rFonts w:hint="cs"/>
          <w:rtl/>
        </w:rPr>
        <w:lastRenderedPageBreak/>
        <w:t>מוגנים" לבין המתיישבים ש</w:t>
      </w:r>
      <w:r w:rsidR="0038079E">
        <w:rPr>
          <w:rFonts w:hint="cs"/>
          <w:rtl/>
        </w:rPr>
        <w:t>כבר נקבע ש</w:t>
      </w:r>
      <w:r w:rsidR="00FC1DED">
        <w:rPr>
          <w:rFonts w:hint="cs"/>
          <w:rtl/>
        </w:rPr>
        <w:t xml:space="preserve">אינם "תושבים מוגנים". </w:t>
      </w:r>
      <w:r w:rsidR="0038079E">
        <w:rPr>
          <w:rFonts w:hint="cs"/>
          <w:rtl/>
        </w:rPr>
        <w:t xml:space="preserve">לפיכך, </w:t>
      </w:r>
      <w:r w:rsidR="00FC1DED">
        <w:rPr>
          <w:rFonts w:hint="cs"/>
          <w:rtl/>
        </w:rPr>
        <w:t xml:space="preserve">ככל שהוראות חוק ההסדרה מפלות בין קבוצות אלו, הן מפרות גם את הרציונל הקבוע בסעיף 27 לאמנת ג'נבה הרביעית. </w:t>
      </w:r>
    </w:p>
    <w:sectPr w:rsidR="001B3459" w:rsidRPr="00DB509F" w:rsidSect="00B657A3">
      <w:headerReference w:type="default" r:id="rId19"/>
      <w:footerReference w:type="default" r:id="rId20"/>
      <w:headerReference w:type="first" r:id="rId21"/>
      <w:footerReference w:type="first" r:id="rId22"/>
      <w:pgSz w:w="11907" w:h="16839" w:code="9"/>
      <w:pgMar w:top="1417" w:right="1417" w:bottom="1417" w:left="1417" w:header="432" w:footer="144" w:gutter="0"/>
      <w:cols w:space="708"/>
      <w:titlePg/>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1" w:author="Tal Werner Kling" w:date="2017-04-26T15:20:00Z" w:initials="TWK">
    <w:p w:rsidR="00974DC7" w:rsidRDefault="00974DC7">
      <w:pPr>
        <w:pStyle w:val="af4"/>
        <w:rPr>
          <w:rFonts w:hint="cs"/>
          <w:rtl/>
        </w:rPr>
      </w:pPr>
      <w:r>
        <w:rPr>
          <w:rStyle w:val="af3"/>
        </w:rPr>
        <w:annotationRef/>
      </w:r>
      <w:r>
        <w:rPr>
          <w:rFonts w:hint="cs"/>
          <w:rtl/>
        </w:rPr>
        <w:t>מה הסיבה לכך שאנו מפנים לכל המקורות האלה דווקא כאן?</w:t>
      </w:r>
    </w:p>
    <w:p w:rsidR="00974DC7" w:rsidRDefault="00974DC7">
      <w:pPr>
        <w:pStyle w:val="af4"/>
        <w:rPr>
          <w:rFonts w:hint="cs"/>
          <w:rtl/>
        </w:rPr>
      </w:pPr>
    </w:p>
    <w:p w:rsidR="00974DC7" w:rsidRDefault="00974DC7" w:rsidP="00970CA4">
      <w:pPr>
        <w:pStyle w:val="af4"/>
      </w:pPr>
      <w:r>
        <w:rPr>
          <w:rFonts w:hint="cs"/>
          <w:rtl/>
        </w:rPr>
        <w:t>זה פשוט פסקי דין שמצטטים את ההגדרה של תקנה 43</w:t>
      </w:r>
    </w:p>
  </w:comment>
  <w:comment w:id="2" w:author="Tal Werner Kling" w:date="2017-04-26T15:05:00Z" w:initials="TWK">
    <w:p w:rsidR="00974DC7" w:rsidRDefault="00974DC7">
      <w:pPr>
        <w:pStyle w:val="af4"/>
        <w:rPr>
          <w:rFonts w:hint="cs"/>
          <w:rtl/>
        </w:rPr>
      </w:pPr>
      <w:r>
        <w:rPr>
          <w:rStyle w:val="af3"/>
        </w:rPr>
        <w:annotationRef/>
      </w:r>
      <w:proofErr w:type="spellStart"/>
      <w:r>
        <w:rPr>
          <w:rFonts w:hint="cs"/>
          <w:rtl/>
        </w:rPr>
        <w:t>דינשטיין</w:t>
      </w:r>
      <w:proofErr w:type="spellEnd"/>
      <w:r>
        <w:rPr>
          <w:rFonts w:hint="cs"/>
          <w:rtl/>
        </w:rPr>
        <w:t xml:space="preserve"> או בגץ התייחסו לפרשנות המונח "אוכלוסייה" בהקשר זה? כולל את המתיישבים?</w:t>
      </w:r>
    </w:p>
    <w:p w:rsidR="00974DC7" w:rsidRDefault="00974DC7">
      <w:pPr>
        <w:pStyle w:val="af4"/>
        <w:rPr>
          <w:rFonts w:hint="cs"/>
          <w:rtl/>
        </w:rPr>
      </w:pPr>
    </w:p>
    <w:p w:rsidR="00974DC7" w:rsidRDefault="00974DC7">
      <w:pPr>
        <w:pStyle w:val="af4"/>
      </w:pPr>
      <w:r>
        <w:rPr>
          <w:rFonts w:hint="cs"/>
          <w:rtl/>
        </w:rPr>
        <w:t xml:space="preserve">שרון: </w:t>
      </w:r>
      <w:proofErr w:type="spellStart"/>
      <w:r>
        <w:rPr>
          <w:rFonts w:hint="cs"/>
          <w:rtl/>
        </w:rPr>
        <w:t>דינשטיין</w:t>
      </w:r>
      <w:proofErr w:type="spellEnd"/>
      <w:r>
        <w:rPr>
          <w:rFonts w:hint="cs"/>
          <w:rtl/>
        </w:rPr>
        <w:t xml:space="preserve"> סבור שכן (כולל), גם </w:t>
      </w:r>
      <w:proofErr w:type="spellStart"/>
      <w:r>
        <w:rPr>
          <w:rFonts w:hint="cs"/>
          <w:rtl/>
        </w:rPr>
        <w:t>בבגץ</w:t>
      </w:r>
      <w:proofErr w:type="spellEnd"/>
      <w:r>
        <w:rPr>
          <w:rFonts w:hint="cs"/>
          <w:rtl/>
        </w:rPr>
        <w:t xml:space="preserve">, אך זה כמעט תמיד בהקשר הביטחוני (בגדול זה אותו הניתוח </w:t>
      </w:r>
      <w:r>
        <w:rPr>
          <w:rtl/>
        </w:rPr>
        <w:t>–</w:t>
      </w:r>
      <w:r>
        <w:rPr>
          <w:rFonts w:hint="cs"/>
          <w:rtl/>
        </w:rPr>
        <w:t xml:space="preserve"> תמיד מגיעים לשאלה האם הם חלק מהאוכלוסייה המקומית)</w:t>
      </w:r>
    </w:p>
  </w:comment>
  <w:comment w:id="3" w:author="Sharon Gefen" w:date="2017-04-26T15:40:00Z" w:initials="SG">
    <w:p w:rsidR="008E6F21" w:rsidRDefault="008E6F21" w:rsidP="008E6F21">
      <w:pPr>
        <w:pStyle w:val="af4"/>
        <w:rPr>
          <w:rFonts w:hint="cs"/>
          <w:rtl/>
        </w:rPr>
      </w:pPr>
      <w:r>
        <w:rPr>
          <w:rStyle w:val="af3"/>
        </w:rPr>
        <w:annotationRef/>
      </w:r>
      <w:r>
        <w:rPr>
          <w:rStyle w:val="af3"/>
        </w:rPr>
        <w:annotationRef/>
      </w:r>
      <w:r>
        <w:rPr>
          <w:rFonts w:hint="cs"/>
          <w:rtl/>
        </w:rPr>
        <w:t xml:space="preserve">למיטב הבנתי הוא לא מעניק אף הגנה חוץ מאפשרות לקבל פיצוי, לא?  </w:t>
      </w:r>
      <w:r w:rsidRPr="008E6F21">
        <w:rPr>
          <w:rFonts w:hint="cs"/>
          <w:b/>
          <w:bCs/>
          <w:rtl/>
        </w:rPr>
        <w:t xml:space="preserve">[נכון. אבי אמר בישיבות שאת זה אפשר לתקן, שזה לא העיקר לדעתו] </w:t>
      </w:r>
      <w:r>
        <w:rPr>
          <w:rFonts w:hint="cs"/>
          <w:rtl/>
        </w:rPr>
        <w:t xml:space="preserve">וגם האפשרות הזו </w:t>
      </w:r>
      <w:r>
        <w:rPr>
          <w:rtl/>
        </w:rPr>
        <w:t>–</w:t>
      </w:r>
      <w:r>
        <w:rPr>
          <w:rFonts w:hint="cs"/>
          <w:rtl/>
        </w:rPr>
        <w:t xml:space="preserve"> ועל זה עוד לא כל כך דיברנו </w:t>
      </w:r>
      <w:r>
        <w:rPr>
          <w:rtl/>
        </w:rPr>
        <w:t>–</w:t>
      </w:r>
      <w:r>
        <w:rPr>
          <w:rFonts w:hint="cs"/>
          <w:rtl/>
        </w:rPr>
        <w:t xml:space="preserve"> תהיה מלווה בדרך חתחתים נוכח העובדה ששני שליש של הקרקעות אינן מסודרות.</w:t>
      </w:r>
    </w:p>
    <w:p w:rsidR="008E6F21" w:rsidRDefault="008E6F21" w:rsidP="008E6F21">
      <w:pPr>
        <w:pStyle w:val="af4"/>
        <w:rPr>
          <w:rFonts w:hint="cs"/>
          <w:rtl/>
        </w:rPr>
      </w:pPr>
    </w:p>
    <w:p w:rsidR="008E6F21" w:rsidRPr="008E6F21" w:rsidRDefault="008E6F21" w:rsidP="008E6F21">
      <w:pPr>
        <w:pStyle w:val="af4"/>
        <w:rPr>
          <w:b/>
          <w:bCs/>
        </w:rPr>
      </w:pPr>
      <w:r w:rsidRPr="008E6F21">
        <w:rPr>
          <w:rFonts w:hint="cs"/>
          <w:b/>
          <w:bCs/>
          <w:rtl/>
        </w:rPr>
        <w:t xml:space="preserve">שרון: </w:t>
      </w:r>
      <w:r>
        <w:rPr>
          <w:rFonts w:hint="cs"/>
          <w:b/>
          <w:bCs/>
          <w:rtl/>
        </w:rPr>
        <w:t>מחקתי את המילה כלל ו</w:t>
      </w:r>
      <w:r w:rsidRPr="008E6F21">
        <w:rPr>
          <w:rFonts w:hint="cs"/>
          <w:b/>
          <w:bCs/>
          <w:rtl/>
        </w:rPr>
        <w:t>הוספתי הערת שוליים</w:t>
      </w:r>
      <w:r>
        <w:rPr>
          <w:rFonts w:hint="cs"/>
          <w:b/>
          <w:bCs/>
          <w:rtl/>
        </w:rPr>
        <w:t xml:space="preserve"> 93</w:t>
      </w:r>
      <w:r w:rsidRPr="008E6F21">
        <w:rPr>
          <w:rFonts w:hint="cs"/>
          <w:b/>
          <w:bCs/>
          <w:rtl/>
        </w:rPr>
        <w:t>.</w:t>
      </w:r>
    </w:p>
    <w:p w:rsidR="008E6F21" w:rsidRDefault="008E6F21">
      <w:pPr>
        <w:pStyle w:val="af4"/>
      </w:pP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0562" w:rsidRDefault="00840562" w:rsidP="00B95AC1">
      <w:pPr>
        <w:spacing w:after="0" w:line="240" w:lineRule="auto"/>
      </w:pPr>
      <w:r>
        <w:separator/>
      </w:r>
    </w:p>
  </w:endnote>
  <w:endnote w:type="continuationSeparator" w:id="0">
    <w:p w:rsidR="00840562" w:rsidRDefault="00840562" w:rsidP="00B95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David">
    <w:panose1 w:val="020E0502060401010101"/>
    <w:charset w:val="B1"/>
    <w:family w:val="swiss"/>
    <w:pitch w:val="variable"/>
    <w:sig w:usb0="00000801" w:usb1="00000000" w:usb2="00000000" w:usb3="00000000" w:csb0="00000020"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FrankRuehl">
    <w:panose1 w:val="020E0503060101010101"/>
    <w:charset w:val="B1"/>
    <w:family w:val="swiss"/>
    <w:pitch w:val="variable"/>
    <w:sig w:usb0="00000801" w:usb1="00000000" w:usb2="00000000" w:usb3="00000000" w:csb0="00000020" w:csb1="00000000"/>
  </w:font>
  <w:font w:name="Consolas">
    <w:panose1 w:val="020B0609020204030204"/>
    <w:charset w:val="00"/>
    <w:family w:val="modern"/>
    <w:pitch w:val="fixed"/>
    <w:sig w:usb0="E10002FF" w:usb1="4000FCFF" w:usb2="00000009" w:usb3="00000000" w:csb0="0000019F" w:csb1="00000000"/>
  </w:font>
  <w:font w:name="Arial TUR">
    <w:charset w:val="00"/>
    <w:family w:val="swiss"/>
    <w:pitch w:val="variable"/>
    <w:sig w:usb0="E0002AFF" w:usb1="C0007843" w:usb2="00000009" w:usb3="00000000" w:csb0="000001FF" w:csb1="00000000"/>
  </w:font>
  <w:font w:name="Narkisim">
    <w:panose1 w:val="020E0502050101010101"/>
    <w:charset w:val="B1"/>
    <w:family w:val="swiss"/>
    <w:pitch w:val="variable"/>
    <w:sig w:usb0="00000801" w:usb1="00000000" w:usb2="00000000" w:usb3="00000000" w:csb0="00000020" w:csb1="00000000"/>
  </w:font>
  <w:font w:name="Arial">
    <w:panose1 w:val="020B0604020202020204"/>
    <w:charset w:val="00"/>
    <w:family w:val="swiss"/>
    <w:pitch w:val="variable"/>
    <w:sig w:usb0="20002A87" w:usb1="00000000" w:usb2="00000000" w:usb3="00000000" w:csb0="000001FF" w:csb1="00000000"/>
  </w:font>
  <w:font w:name="Arimo">
    <w:charset w:val="00"/>
    <w:family w:val="auto"/>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4DC7" w:rsidRPr="00EB4315" w:rsidRDefault="00974DC7" w:rsidP="00E93B47">
    <w:pPr>
      <w:jc w:val="center"/>
      <w:rPr>
        <w:rFonts w:cs="Times New Roman"/>
      </w:rPr>
    </w:pPr>
    <w:r>
      <w:rPr>
        <w:noProof/>
      </w:rPr>
      <w:drawing>
        <wp:inline distT="0" distB="0" distL="0" distR="0" wp14:anchorId="0C21C324" wp14:editId="0647E4D8">
          <wp:extent cx="5756910" cy="358140"/>
          <wp:effectExtent l="0" t="0" r="0" b="0"/>
          <wp:docPr id="2" name="תמונה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6910" cy="358140"/>
                  </a:xfrm>
                  <a:prstGeom prst="rect">
                    <a:avLst/>
                  </a:prstGeom>
                  <a:noFill/>
                  <a:ln>
                    <a:noFill/>
                  </a:ln>
                </pic:spPr>
              </pic:pic>
            </a:graphicData>
          </a:graphic>
        </wp:inline>
      </w:drawing>
    </w:r>
    <w:r>
      <w:br/>
    </w:r>
    <w:r>
      <w:rPr>
        <w:rFonts w:cs="Times New Roman"/>
      </w:rPr>
      <w:fldChar w:fldCharType="begin"/>
    </w:r>
    <w:r>
      <w:rPr>
        <w:rFonts w:cs="Times New Roman"/>
      </w:rPr>
      <w:instrText xml:space="preserve"> IF </w:instrText>
    </w:r>
    <w:r>
      <w:rPr>
        <w:rFonts w:cs="Times New Roman"/>
      </w:rPr>
      <w:fldChar w:fldCharType="begin"/>
    </w:r>
    <w:r>
      <w:rPr>
        <w:rFonts w:cs="Times New Roman"/>
      </w:rPr>
      <w:instrText xml:space="preserve"> = </w:instrText>
    </w:r>
    <w:r>
      <w:rPr>
        <w:rFonts w:cs="Times New Roman"/>
      </w:rPr>
      <w:fldChar w:fldCharType="begin"/>
    </w:r>
    <w:r>
      <w:rPr>
        <w:rFonts w:cs="Times New Roman"/>
      </w:rPr>
      <w:instrText>NUMPAGES</w:instrText>
    </w:r>
    <w:r>
      <w:rPr>
        <w:rFonts w:cs="Times New Roman"/>
      </w:rPr>
      <w:fldChar w:fldCharType="separate"/>
    </w:r>
    <w:r w:rsidR="001E7F0C">
      <w:rPr>
        <w:rFonts w:cs="Times New Roman"/>
        <w:noProof/>
      </w:rPr>
      <w:instrText>14</w:instrText>
    </w:r>
    <w:r>
      <w:rPr>
        <w:rFonts w:cs="Times New Roman"/>
      </w:rPr>
      <w:fldChar w:fldCharType="end"/>
    </w:r>
    <w:r>
      <w:rPr>
        <w:rFonts w:cs="Times New Roman"/>
      </w:rPr>
      <w:instrText xml:space="preserve"> </w:instrText>
    </w:r>
    <w:r>
      <w:rPr>
        <w:rFonts w:cs="Times New Roman"/>
      </w:rPr>
      <w:fldChar w:fldCharType="separate"/>
    </w:r>
    <w:r w:rsidR="001E7F0C">
      <w:rPr>
        <w:rFonts w:cs="Times New Roman"/>
        <w:noProof/>
      </w:rPr>
      <w:instrText>14</w:instrText>
    </w:r>
    <w:r>
      <w:rPr>
        <w:rFonts w:cs="Times New Roman"/>
      </w:rPr>
      <w:fldChar w:fldCharType="end"/>
    </w:r>
    <w:r>
      <w:rPr>
        <w:rFonts w:cs="Times New Roman"/>
      </w:rPr>
      <w:instrText xml:space="preserve"> &gt; 1 "</w:instrText>
    </w:r>
    <w:r>
      <w:rPr>
        <w:rFonts w:cs="Times New Roman"/>
      </w:rPr>
      <w:fldChar w:fldCharType="begin"/>
    </w:r>
    <w:r>
      <w:rPr>
        <w:rFonts w:cs="Times New Roman"/>
      </w:rPr>
      <w:instrText>PAGE</w:instrText>
    </w:r>
    <w:r>
      <w:rPr>
        <w:rFonts w:cs="Times New Roman"/>
      </w:rPr>
      <w:fldChar w:fldCharType="separate"/>
    </w:r>
    <w:r w:rsidR="001E7F0C">
      <w:rPr>
        <w:rFonts w:cs="Times New Roman"/>
        <w:noProof/>
      </w:rPr>
      <w:instrText>5</w:instrText>
    </w:r>
    <w:r>
      <w:rPr>
        <w:rFonts w:cs="Times New Roman"/>
      </w:rPr>
      <w:fldChar w:fldCharType="end"/>
    </w:r>
    <w:r>
      <w:rPr>
        <w:rFonts w:cs="Times New Roman"/>
      </w:rPr>
      <w:instrText>" "</w:instrText>
    </w:r>
    <w:r>
      <w:rPr>
        <w:rFonts w:cs="Times New Roman"/>
      </w:rPr>
      <w:br/>
      <w:instrText xml:space="preserve">" </w:instrText>
    </w:r>
    <w:r>
      <w:rPr>
        <w:rFonts w:cs="Times New Roman"/>
      </w:rPr>
      <w:fldChar w:fldCharType="separate"/>
    </w:r>
    <w:r w:rsidR="001E7F0C">
      <w:rPr>
        <w:rFonts w:cs="Times New Roman"/>
        <w:noProof/>
      </w:rPr>
      <w:t>5</w:t>
    </w:r>
    <w:r>
      <w:rPr>
        <w:rFonts w:cs="Times New Roman"/>
      </w:rPr>
      <w:fldChar w:fldCharType="end"/>
    </w:r>
  </w:p>
  <w:p w:rsidR="00974DC7" w:rsidRDefault="00974DC7"/>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4DC7" w:rsidRDefault="00974DC7">
    <w:pPr>
      <w:pStyle w:val="a5"/>
    </w:pPr>
    <w:r>
      <w:rPr>
        <w:noProof/>
      </w:rPr>
      <w:drawing>
        <wp:inline distT="0" distB="0" distL="0" distR="0" wp14:anchorId="1C9CCC51" wp14:editId="465709AE">
          <wp:extent cx="5756910" cy="358140"/>
          <wp:effectExtent l="0" t="0" r="0" b="0"/>
          <wp:docPr id="4" name="תמונה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6910" cy="358140"/>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0562" w:rsidRDefault="00840562" w:rsidP="000434E0">
      <w:pPr>
        <w:bidi/>
        <w:spacing w:after="0" w:line="240" w:lineRule="auto"/>
      </w:pPr>
      <w:r>
        <w:separator/>
      </w:r>
    </w:p>
  </w:footnote>
  <w:footnote w:type="continuationSeparator" w:id="0">
    <w:p w:rsidR="00840562" w:rsidRDefault="00840562" w:rsidP="00B95AC1">
      <w:pPr>
        <w:spacing w:after="0" w:line="240" w:lineRule="auto"/>
      </w:pPr>
      <w:r>
        <w:continuationSeparator/>
      </w:r>
    </w:p>
  </w:footnote>
  <w:footnote w:id="1">
    <w:p w:rsidR="00974DC7" w:rsidRPr="00A671A1" w:rsidRDefault="00974DC7" w:rsidP="003A2846">
      <w:pPr>
        <w:bidi/>
        <w:spacing w:after="0" w:line="240" w:lineRule="auto"/>
        <w:contextualSpacing/>
        <w:rPr>
          <w:sz w:val="20"/>
          <w:szCs w:val="20"/>
        </w:rPr>
      </w:pPr>
      <w:r w:rsidRPr="00A671A1">
        <w:rPr>
          <w:rStyle w:val="af2"/>
          <w:sz w:val="20"/>
          <w:szCs w:val="20"/>
        </w:rPr>
        <w:footnoteRef/>
      </w:r>
      <w:r w:rsidRPr="00A671A1">
        <w:rPr>
          <w:rFonts w:hint="cs"/>
          <w:sz w:val="20"/>
          <w:szCs w:val="20"/>
          <w:shd w:val="clear" w:color="auto" w:fill="FFFFFF"/>
          <w:rtl/>
        </w:rPr>
        <w:t xml:space="preserve"> בג"ץ 390/79</w:t>
      </w:r>
      <w:r w:rsidRPr="00A671A1">
        <w:rPr>
          <w:rFonts w:hint="cs"/>
          <w:sz w:val="20"/>
          <w:szCs w:val="20"/>
        </w:rPr>
        <w:t> </w:t>
      </w:r>
      <w:proofErr w:type="spellStart"/>
      <w:r w:rsidRPr="00A671A1">
        <w:rPr>
          <w:rFonts w:hint="cs"/>
          <w:b/>
          <w:bCs/>
          <w:sz w:val="20"/>
          <w:szCs w:val="20"/>
          <w:shd w:val="clear" w:color="auto" w:fill="FFFFFF"/>
          <w:rtl/>
        </w:rPr>
        <w:t>דויקאת</w:t>
      </w:r>
      <w:proofErr w:type="spellEnd"/>
      <w:r w:rsidRPr="00A671A1">
        <w:rPr>
          <w:rFonts w:hint="cs"/>
          <w:b/>
          <w:bCs/>
          <w:sz w:val="20"/>
          <w:szCs w:val="20"/>
          <w:shd w:val="clear" w:color="auto" w:fill="FFFFFF"/>
          <w:rtl/>
        </w:rPr>
        <w:t xml:space="preserve"> נ' ממשלת ישראל</w:t>
      </w:r>
      <w:r w:rsidRPr="00A671A1">
        <w:rPr>
          <w:rFonts w:hint="cs"/>
          <w:sz w:val="20"/>
          <w:szCs w:val="20"/>
          <w:shd w:val="clear" w:color="auto" w:fill="FFFFFF"/>
        </w:rPr>
        <w:t>,</w:t>
      </w:r>
      <w:r w:rsidRPr="00A671A1">
        <w:rPr>
          <w:rFonts w:hint="cs"/>
          <w:sz w:val="20"/>
          <w:szCs w:val="20"/>
        </w:rPr>
        <w:t> </w:t>
      </w:r>
      <w:r w:rsidRPr="00A671A1">
        <w:rPr>
          <w:rFonts w:hint="cs"/>
          <w:sz w:val="20"/>
          <w:szCs w:val="20"/>
          <w:shd w:val="clear" w:color="auto" w:fill="FFFFFF"/>
          <w:rtl/>
        </w:rPr>
        <w:t>פ"ד לד(1) 1, 12</w:t>
      </w:r>
      <w:r w:rsidRPr="00A671A1">
        <w:rPr>
          <w:rFonts w:hint="cs"/>
          <w:sz w:val="20"/>
          <w:szCs w:val="20"/>
          <w:shd w:val="clear" w:color="auto" w:fill="FFFFFF"/>
          <w:rtl/>
          <w:lang w:eastAsia="he-IL"/>
        </w:rPr>
        <w:t xml:space="preserve"> (להלן: </w:t>
      </w:r>
      <w:r w:rsidRPr="00A671A1">
        <w:rPr>
          <w:rFonts w:hint="cs"/>
          <w:b/>
          <w:bCs/>
          <w:sz w:val="20"/>
          <w:szCs w:val="20"/>
          <w:shd w:val="clear" w:color="auto" w:fill="FFFFFF"/>
          <w:rtl/>
          <w:lang w:eastAsia="he-IL"/>
        </w:rPr>
        <w:t xml:space="preserve">עניין </w:t>
      </w:r>
      <w:proofErr w:type="spellStart"/>
      <w:r w:rsidRPr="00A671A1">
        <w:rPr>
          <w:rFonts w:hint="cs"/>
          <w:b/>
          <w:bCs/>
          <w:sz w:val="20"/>
          <w:szCs w:val="20"/>
          <w:shd w:val="clear" w:color="auto" w:fill="FFFFFF"/>
          <w:rtl/>
          <w:lang w:eastAsia="he-IL"/>
        </w:rPr>
        <w:t>דויקאת</w:t>
      </w:r>
      <w:proofErr w:type="spellEnd"/>
      <w:r w:rsidRPr="00A671A1">
        <w:rPr>
          <w:rFonts w:hint="cs"/>
          <w:sz w:val="20"/>
          <w:szCs w:val="20"/>
          <w:shd w:val="clear" w:color="auto" w:fill="FFFFFF"/>
          <w:rtl/>
          <w:lang w:eastAsia="he-IL"/>
        </w:rPr>
        <w:t>); בג"ץ 61/80</w:t>
      </w:r>
      <w:r w:rsidRPr="00A671A1">
        <w:rPr>
          <w:rFonts w:hint="cs"/>
          <w:sz w:val="20"/>
          <w:szCs w:val="20"/>
          <w:lang w:eastAsia="he-IL"/>
        </w:rPr>
        <w:t> </w:t>
      </w:r>
      <w:proofErr w:type="spellStart"/>
      <w:r w:rsidRPr="00A671A1">
        <w:rPr>
          <w:rFonts w:hint="cs"/>
          <w:b/>
          <w:bCs/>
          <w:sz w:val="20"/>
          <w:szCs w:val="20"/>
          <w:shd w:val="clear" w:color="auto" w:fill="FFFFFF"/>
          <w:rtl/>
          <w:lang w:eastAsia="he-IL"/>
        </w:rPr>
        <w:t>העצני</w:t>
      </w:r>
      <w:proofErr w:type="spellEnd"/>
      <w:r w:rsidRPr="00A671A1">
        <w:rPr>
          <w:rFonts w:hint="cs"/>
          <w:b/>
          <w:bCs/>
          <w:sz w:val="20"/>
          <w:szCs w:val="20"/>
          <w:shd w:val="clear" w:color="auto" w:fill="FFFFFF"/>
          <w:rtl/>
          <w:lang w:eastAsia="he-IL"/>
        </w:rPr>
        <w:t xml:space="preserve"> נ' מדינת ישראל</w:t>
      </w:r>
      <w:r w:rsidRPr="00A671A1">
        <w:rPr>
          <w:rFonts w:hint="cs"/>
          <w:sz w:val="20"/>
          <w:szCs w:val="20"/>
          <w:shd w:val="clear" w:color="auto" w:fill="FFFFFF"/>
          <w:lang w:eastAsia="he-IL"/>
        </w:rPr>
        <w:t>,</w:t>
      </w:r>
      <w:r w:rsidRPr="00A671A1">
        <w:rPr>
          <w:rFonts w:hint="cs"/>
          <w:sz w:val="20"/>
          <w:szCs w:val="20"/>
          <w:lang w:eastAsia="he-IL"/>
        </w:rPr>
        <w:t> </w:t>
      </w:r>
      <w:r w:rsidRPr="00A671A1">
        <w:rPr>
          <w:rFonts w:hint="cs"/>
          <w:sz w:val="20"/>
          <w:szCs w:val="20"/>
          <w:shd w:val="clear" w:color="auto" w:fill="FFFFFF"/>
          <w:rtl/>
          <w:lang w:eastAsia="he-IL"/>
        </w:rPr>
        <w:t>פ"ד לד(3) 595; בג"ץ 69/81</w:t>
      </w:r>
      <w:r w:rsidRPr="00A671A1">
        <w:rPr>
          <w:rFonts w:hint="cs"/>
          <w:sz w:val="20"/>
          <w:szCs w:val="20"/>
          <w:lang w:eastAsia="he-IL"/>
        </w:rPr>
        <w:t> </w:t>
      </w:r>
      <w:r w:rsidRPr="00A671A1">
        <w:rPr>
          <w:rFonts w:hint="cs"/>
          <w:b/>
          <w:bCs/>
          <w:sz w:val="20"/>
          <w:szCs w:val="20"/>
          <w:shd w:val="clear" w:color="auto" w:fill="FFFFFF"/>
          <w:rtl/>
          <w:lang w:eastAsia="he-IL"/>
        </w:rPr>
        <w:t>אבו עיטה נ' מפקד אזור יהודה ושומרון</w:t>
      </w:r>
      <w:r w:rsidRPr="00A671A1">
        <w:rPr>
          <w:rFonts w:hint="cs"/>
          <w:sz w:val="20"/>
          <w:szCs w:val="20"/>
          <w:shd w:val="clear" w:color="auto" w:fill="FFFFFF"/>
          <w:lang w:eastAsia="he-IL"/>
        </w:rPr>
        <w:t>,</w:t>
      </w:r>
      <w:r w:rsidRPr="00A671A1">
        <w:rPr>
          <w:rFonts w:hint="cs"/>
          <w:sz w:val="20"/>
          <w:szCs w:val="20"/>
          <w:lang w:eastAsia="he-IL"/>
        </w:rPr>
        <w:t> </w:t>
      </w:r>
      <w:r w:rsidRPr="00A671A1">
        <w:rPr>
          <w:rFonts w:hint="cs"/>
          <w:sz w:val="20"/>
          <w:szCs w:val="20"/>
          <w:shd w:val="clear" w:color="auto" w:fill="FFFFFF"/>
          <w:rtl/>
          <w:lang w:eastAsia="he-IL"/>
        </w:rPr>
        <w:t xml:space="preserve">פ"ד </w:t>
      </w:r>
      <w:proofErr w:type="spellStart"/>
      <w:r w:rsidRPr="00A671A1">
        <w:rPr>
          <w:rFonts w:hint="cs"/>
          <w:sz w:val="20"/>
          <w:szCs w:val="20"/>
          <w:shd w:val="clear" w:color="auto" w:fill="FFFFFF"/>
          <w:rtl/>
          <w:lang w:eastAsia="he-IL"/>
        </w:rPr>
        <w:t>לז</w:t>
      </w:r>
      <w:proofErr w:type="spellEnd"/>
      <w:r w:rsidRPr="00A671A1">
        <w:rPr>
          <w:rFonts w:hint="cs"/>
          <w:sz w:val="20"/>
          <w:szCs w:val="20"/>
          <w:shd w:val="clear" w:color="auto" w:fill="FFFFFF"/>
          <w:rtl/>
          <w:lang w:eastAsia="he-IL"/>
        </w:rPr>
        <w:t xml:space="preserve">(2) 197, 228 (להלן: </w:t>
      </w:r>
      <w:r w:rsidRPr="00A671A1">
        <w:rPr>
          <w:rFonts w:hint="cs"/>
          <w:b/>
          <w:bCs/>
          <w:sz w:val="20"/>
          <w:szCs w:val="20"/>
          <w:shd w:val="clear" w:color="auto" w:fill="FFFFFF"/>
          <w:rtl/>
          <w:lang w:eastAsia="he-IL"/>
        </w:rPr>
        <w:t>עניין אבו עיטה</w:t>
      </w:r>
      <w:r w:rsidRPr="00A671A1">
        <w:rPr>
          <w:rFonts w:hint="cs"/>
          <w:sz w:val="20"/>
          <w:szCs w:val="20"/>
          <w:shd w:val="clear" w:color="auto" w:fill="FFFFFF"/>
          <w:rtl/>
          <w:lang w:eastAsia="he-IL"/>
        </w:rPr>
        <w:t>); בג"ץ 393/82</w:t>
      </w:r>
      <w:r w:rsidRPr="00A671A1">
        <w:rPr>
          <w:rFonts w:hint="cs"/>
          <w:sz w:val="20"/>
          <w:szCs w:val="20"/>
          <w:lang w:eastAsia="he-IL"/>
        </w:rPr>
        <w:t> </w:t>
      </w:r>
      <w:proofErr w:type="spellStart"/>
      <w:r w:rsidRPr="00A671A1">
        <w:rPr>
          <w:rFonts w:hint="cs"/>
          <w:b/>
          <w:bCs/>
          <w:sz w:val="20"/>
          <w:szCs w:val="20"/>
          <w:shd w:val="clear" w:color="auto" w:fill="FFFFFF"/>
          <w:rtl/>
          <w:lang w:eastAsia="he-IL"/>
        </w:rPr>
        <w:t>ג'מעית</w:t>
      </w:r>
      <w:proofErr w:type="spellEnd"/>
      <w:r w:rsidRPr="00A671A1">
        <w:rPr>
          <w:rFonts w:hint="cs"/>
          <w:b/>
          <w:bCs/>
          <w:sz w:val="20"/>
          <w:szCs w:val="20"/>
          <w:shd w:val="clear" w:color="auto" w:fill="FFFFFF"/>
          <w:rtl/>
          <w:lang w:eastAsia="he-IL"/>
        </w:rPr>
        <w:t xml:space="preserve"> </w:t>
      </w:r>
      <w:proofErr w:type="spellStart"/>
      <w:r w:rsidRPr="00A671A1">
        <w:rPr>
          <w:rFonts w:hint="cs"/>
          <w:b/>
          <w:bCs/>
          <w:sz w:val="20"/>
          <w:szCs w:val="20"/>
          <w:shd w:val="clear" w:color="auto" w:fill="FFFFFF"/>
          <w:rtl/>
          <w:lang w:eastAsia="he-IL"/>
        </w:rPr>
        <w:t>אסכאן</w:t>
      </w:r>
      <w:proofErr w:type="spellEnd"/>
      <w:r w:rsidRPr="00A671A1">
        <w:rPr>
          <w:rFonts w:hint="cs"/>
          <w:b/>
          <w:bCs/>
          <w:sz w:val="20"/>
          <w:szCs w:val="20"/>
          <w:shd w:val="clear" w:color="auto" w:fill="FFFFFF"/>
          <w:rtl/>
          <w:lang w:eastAsia="he-IL"/>
        </w:rPr>
        <w:t xml:space="preserve"> </w:t>
      </w:r>
      <w:proofErr w:type="spellStart"/>
      <w:r w:rsidRPr="00A671A1">
        <w:rPr>
          <w:rFonts w:hint="cs"/>
          <w:b/>
          <w:bCs/>
          <w:sz w:val="20"/>
          <w:szCs w:val="20"/>
          <w:shd w:val="clear" w:color="auto" w:fill="FFFFFF"/>
          <w:rtl/>
          <w:lang w:eastAsia="he-IL"/>
        </w:rPr>
        <w:t>אלמעלמון</w:t>
      </w:r>
      <w:proofErr w:type="spellEnd"/>
      <w:r w:rsidRPr="00A671A1">
        <w:rPr>
          <w:rFonts w:hint="cs"/>
          <w:b/>
          <w:bCs/>
          <w:sz w:val="20"/>
          <w:szCs w:val="20"/>
          <w:shd w:val="clear" w:color="auto" w:fill="FFFFFF"/>
          <w:rtl/>
          <w:lang w:eastAsia="he-IL"/>
        </w:rPr>
        <w:t xml:space="preserve"> </w:t>
      </w:r>
      <w:proofErr w:type="spellStart"/>
      <w:r w:rsidRPr="00A671A1">
        <w:rPr>
          <w:rFonts w:hint="cs"/>
          <w:b/>
          <w:bCs/>
          <w:sz w:val="20"/>
          <w:szCs w:val="20"/>
          <w:shd w:val="clear" w:color="auto" w:fill="FFFFFF"/>
          <w:rtl/>
          <w:lang w:eastAsia="he-IL"/>
        </w:rPr>
        <w:t>אלתעאוניה</w:t>
      </w:r>
      <w:proofErr w:type="spellEnd"/>
      <w:r w:rsidRPr="00A671A1">
        <w:rPr>
          <w:rFonts w:hint="cs"/>
          <w:b/>
          <w:bCs/>
          <w:sz w:val="20"/>
          <w:szCs w:val="20"/>
          <w:shd w:val="clear" w:color="auto" w:fill="FFFFFF"/>
          <w:rtl/>
          <w:lang w:eastAsia="he-IL"/>
        </w:rPr>
        <w:t xml:space="preserve"> </w:t>
      </w:r>
      <w:proofErr w:type="spellStart"/>
      <w:r w:rsidRPr="00A671A1">
        <w:rPr>
          <w:rFonts w:hint="cs"/>
          <w:b/>
          <w:bCs/>
          <w:sz w:val="20"/>
          <w:szCs w:val="20"/>
          <w:shd w:val="clear" w:color="auto" w:fill="FFFFFF"/>
          <w:rtl/>
          <w:lang w:eastAsia="he-IL"/>
        </w:rPr>
        <w:t>אלמהודה</w:t>
      </w:r>
      <w:proofErr w:type="spellEnd"/>
      <w:r w:rsidRPr="00A671A1">
        <w:rPr>
          <w:rFonts w:hint="cs"/>
          <w:b/>
          <w:bCs/>
          <w:sz w:val="20"/>
          <w:szCs w:val="20"/>
          <w:shd w:val="clear" w:color="auto" w:fill="FFFFFF"/>
          <w:rtl/>
          <w:lang w:eastAsia="he-IL"/>
        </w:rPr>
        <w:t xml:space="preserve"> </w:t>
      </w:r>
      <w:proofErr w:type="spellStart"/>
      <w:r w:rsidRPr="00A671A1">
        <w:rPr>
          <w:rFonts w:hint="cs"/>
          <w:b/>
          <w:bCs/>
          <w:sz w:val="20"/>
          <w:szCs w:val="20"/>
          <w:shd w:val="clear" w:color="auto" w:fill="FFFFFF"/>
          <w:rtl/>
          <w:lang w:eastAsia="he-IL"/>
        </w:rPr>
        <w:t>אלמסאוליה</w:t>
      </w:r>
      <w:proofErr w:type="spellEnd"/>
      <w:r w:rsidRPr="00A671A1">
        <w:rPr>
          <w:rFonts w:hint="cs"/>
          <w:b/>
          <w:bCs/>
          <w:sz w:val="20"/>
          <w:szCs w:val="20"/>
          <w:shd w:val="clear" w:color="auto" w:fill="FFFFFF"/>
          <w:rtl/>
          <w:lang w:eastAsia="he-IL"/>
        </w:rPr>
        <w:t>, אגודה שיתופית רשומה כדין במפקד אזור יהודה והשומרון נ' מפקד כוחות צה"ל באזור יהודה והשומרון</w:t>
      </w:r>
      <w:r w:rsidRPr="00A671A1">
        <w:rPr>
          <w:rFonts w:hint="cs"/>
          <w:sz w:val="20"/>
          <w:szCs w:val="20"/>
          <w:shd w:val="clear" w:color="auto" w:fill="FFFFFF"/>
          <w:lang w:eastAsia="he-IL"/>
        </w:rPr>
        <w:t>,</w:t>
      </w:r>
      <w:r w:rsidRPr="00A671A1">
        <w:rPr>
          <w:rFonts w:hint="cs"/>
          <w:sz w:val="20"/>
          <w:szCs w:val="20"/>
          <w:lang w:eastAsia="he-IL"/>
        </w:rPr>
        <w:t> </w:t>
      </w:r>
      <w:r w:rsidRPr="00A671A1">
        <w:rPr>
          <w:rFonts w:hint="cs"/>
          <w:sz w:val="20"/>
          <w:szCs w:val="20"/>
          <w:shd w:val="clear" w:color="auto" w:fill="FFFFFF"/>
          <w:rtl/>
          <w:lang w:eastAsia="he-IL"/>
        </w:rPr>
        <w:t xml:space="preserve">פ"ד </w:t>
      </w:r>
      <w:proofErr w:type="spellStart"/>
      <w:r w:rsidRPr="00A671A1">
        <w:rPr>
          <w:rFonts w:hint="cs"/>
          <w:sz w:val="20"/>
          <w:szCs w:val="20"/>
          <w:shd w:val="clear" w:color="auto" w:fill="FFFFFF"/>
          <w:rtl/>
          <w:lang w:eastAsia="he-IL"/>
        </w:rPr>
        <w:t>לז</w:t>
      </w:r>
      <w:proofErr w:type="spellEnd"/>
      <w:r w:rsidRPr="00A671A1">
        <w:rPr>
          <w:rFonts w:hint="cs"/>
          <w:sz w:val="20"/>
          <w:szCs w:val="20"/>
          <w:shd w:val="clear" w:color="auto" w:fill="FFFFFF"/>
          <w:rtl/>
          <w:lang w:eastAsia="he-IL"/>
        </w:rPr>
        <w:t>(4) 785, 792; בג"ץ 185/87</w:t>
      </w:r>
      <w:r w:rsidRPr="00A671A1">
        <w:rPr>
          <w:rFonts w:hint="cs"/>
          <w:sz w:val="20"/>
          <w:szCs w:val="20"/>
          <w:lang w:eastAsia="he-IL"/>
        </w:rPr>
        <w:t> </w:t>
      </w:r>
      <w:r w:rsidRPr="00A671A1">
        <w:rPr>
          <w:rFonts w:hint="cs"/>
          <w:b/>
          <w:bCs/>
          <w:sz w:val="20"/>
          <w:szCs w:val="20"/>
          <w:shd w:val="clear" w:color="auto" w:fill="FFFFFF"/>
          <w:rtl/>
          <w:lang w:eastAsia="he-IL"/>
        </w:rPr>
        <w:t>עפו נ' מפקד כוחות צה"ל בגדה המערבית</w:t>
      </w:r>
      <w:r w:rsidRPr="00A671A1">
        <w:rPr>
          <w:rFonts w:hint="cs"/>
          <w:sz w:val="20"/>
          <w:szCs w:val="20"/>
          <w:shd w:val="clear" w:color="auto" w:fill="FFFFFF"/>
          <w:lang w:eastAsia="he-IL"/>
        </w:rPr>
        <w:t>,</w:t>
      </w:r>
      <w:r w:rsidRPr="00A671A1">
        <w:rPr>
          <w:rFonts w:hint="cs"/>
          <w:sz w:val="20"/>
          <w:szCs w:val="20"/>
          <w:lang w:eastAsia="he-IL"/>
        </w:rPr>
        <w:t> </w:t>
      </w:r>
      <w:r w:rsidRPr="00A671A1">
        <w:rPr>
          <w:rFonts w:hint="cs"/>
          <w:sz w:val="20"/>
          <w:szCs w:val="20"/>
          <w:shd w:val="clear" w:color="auto" w:fill="FFFFFF"/>
          <w:rtl/>
          <w:lang w:eastAsia="he-IL"/>
        </w:rPr>
        <w:t xml:space="preserve">פ"ד </w:t>
      </w:r>
      <w:proofErr w:type="spellStart"/>
      <w:r w:rsidRPr="00A671A1">
        <w:rPr>
          <w:rFonts w:hint="cs"/>
          <w:sz w:val="20"/>
          <w:szCs w:val="20"/>
          <w:shd w:val="clear" w:color="auto" w:fill="FFFFFF"/>
          <w:rtl/>
          <w:lang w:eastAsia="he-IL"/>
        </w:rPr>
        <w:t>מב</w:t>
      </w:r>
      <w:proofErr w:type="spellEnd"/>
      <w:r w:rsidRPr="00A671A1">
        <w:rPr>
          <w:rFonts w:hint="cs"/>
          <w:sz w:val="20"/>
          <w:szCs w:val="20"/>
          <w:shd w:val="clear" w:color="auto" w:fill="FFFFFF"/>
          <w:rtl/>
          <w:lang w:eastAsia="he-IL"/>
        </w:rPr>
        <w:t xml:space="preserve">(2) 1, 50; בג"ץ 2056/04 </w:t>
      </w:r>
      <w:r w:rsidRPr="00A671A1">
        <w:rPr>
          <w:rFonts w:hint="cs"/>
          <w:b/>
          <w:bCs/>
          <w:sz w:val="20"/>
          <w:szCs w:val="20"/>
          <w:shd w:val="clear" w:color="auto" w:fill="FFFFFF"/>
          <w:rtl/>
          <w:lang w:eastAsia="he-IL"/>
        </w:rPr>
        <w:t xml:space="preserve">מועצת הכפר בית </w:t>
      </w:r>
      <w:proofErr w:type="spellStart"/>
      <w:r w:rsidRPr="00A671A1">
        <w:rPr>
          <w:rFonts w:hint="cs"/>
          <w:b/>
          <w:bCs/>
          <w:sz w:val="20"/>
          <w:szCs w:val="20"/>
          <w:shd w:val="clear" w:color="auto" w:fill="FFFFFF"/>
          <w:rtl/>
          <w:lang w:eastAsia="he-IL"/>
        </w:rPr>
        <w:t>סוריק</w:t>
      </w:r>
      <w:proofErr w:type="spellEnd"/>
      <w:r w:rsidRPr="00A671A1">
        <w:rPr>
          <w:rFonts w:hint="cs"/>
          <w:b/>
          <w:bCs/>
          <w:sz w:val="20"/>
          <w:szCs w:val="20"/>
          <w:shd w:val="clear" w:color="auto" w:fill="FFFFFF"/>
          <w:rtl/>
          <w:lang w:eastAsia="he-IL"/>
        </w:rPr>
        <w:t xml:space="preserve"> נ' ממשלת ישראל (</w:t>
      </w:r>
      <w:r w:rsidRPr="00A671A1">
        <w:rPr>
          <w:rFonts w:hint="cs"/>
          <w:sz w:val="20"/>
          <w:szCs w:val="20"/>
          <w:shd w:val="clear" w:color="auto" w:fill="FFFFFF"/>
          <w:rtl/>
          <w:lang w:eastAsia="he-IL"/>
        </w:rPr>
        <w:t xml:space="preserve">טרם פורסם), פסקה 23 (להלן: </w:t>
      </w:r>
      <w:r w:rsidRPr="00A671A1">
        <w:rPr>
          <w:rFonts w:hint="cs"/>
          <w:b/>
          <w:bCs/>
          <w:sz w:val="20"/>
          <w:szCs w:val="20"/>
          <w:shd w:val="clear" w:color="auto" w:fill="FFFFFF"/>
          <w:rtl/>
          <w:lang w:eastAsia="he-IL"/>
        </w:rPr>
        <w:t xml:space="preserve">עניין בית </w:t>
      </w:r>
      <w:proofErr w:type="spellStart"/>
      <w:r w:rsidRPr="00A671A1">
        <w:rPr>
          <w:rFonts w:hint="cs"/>
          <w:b/>
          <w:bCs/>
          <w:sz w:val="20"/>
          <w:szCs w:val="20"/>
          <w:shd w:val="clear" w:color="auto" w:fill="FFFFFF"/>
          <w:rtl/>
          <w:lang w:eastAsia="he-IL"/>
        </w:rPr>
        <w:t>סוריק</w:t>
      </w:r>
      <w:proofErr w:type="spellEnd"/>
      <w:r w:rsidRPr="00A671A1">
        <w:rPr>
          <w:rFonts w:hint="cs"/>
          <w:sz w:val="20"/>
          <w:szCs w:val="20"/>
          <w:shd w:val="clear" w:color="auto" w:fill="FFFFFF"/>
          <w:rtl/>
          <w:lang w:eastAsia="he-IL"/>
        </w:rPr>
        <w:t>); ראו גם בג"ץ 4764/04</w:t>
      </w:r>
      <w:r w:rsidRPr="00A671A1">
        <w:rPr>
          <w:rFonts w:hint="cs"/>
          <w:sz w:val="20"/>
          <w:szCs w:val="20"/>
          <w:lang w:eastAsia="he-IL"/>
        </w:rPr>
        <w:t> </w:t>
      </w:r>
      <w:r w:rsidRPr="00A671A1">
        <w:rPr>
          <w:rFonts w:hint="cs"/>
          <w:b/>
          <w:bCs/>
          <w:sz w:val="20"/>
          <w:szCs w:val="20"/>
          <w:shd w:val="clear" w:color="auto" w:fill="FFFFFF"/>
          <w:rtl/>
          <w:lang w:eastAsia="he-IL"/>
        </w:rPr>
        <w:t>רופאים לזכויות אדם נ' מפקד כוחות צה"ל בעזה</w:t>
      </w:r>
      <w:r>
        <w:rPr>
          <w:rFonts w:hint="cs"/>
          <w:b/>
          <w:bCs/>
          <w:sz w:val="20"/>
          <w:szCs w:val="20"/>
          <w:shd w:val="clear" w:color="auto" w:fill="FFFFFF"/>
          <w:rtl/>
          <w:lang w:eastAsia="he-IL"/>
        </w:rPr>
        <w:t>,</w:t>
      </w:r>
      <w:r>
        <w:rPr>
          <w:rFonts w:hint="cs"/>
          <w:sz w:val="20"/>
          <w:szCs w:val="20"/>
          <w:shd w:val="clear" w:color="auto" w:fill="FFFFFF"/>
          <w:rtl/>
          <w:lang w:eastAsia="he-IL"/>
        </w:rPr>
        <w:t xml:space="preserve"> </w:t>
      </w:r>
      <w:r w:rsidRPr="00A671A1">
        <w:rPr>
          <w:rFonts w:hint="cs"/>
          <w:sz w:val="20"/>
          <w:szCs w:val="20"/>
          <w:shd w:val="clear" w:color="auto" w:fill="FFFFFF"/>
          <w:rtl/>
          <w:lang w:eastAsia="he-IL"/>
        </w:rPr>
        <w:t>פ"ד נח(5) 385</w:t>
      </w:r>
      <w:r>
        <w:rPr>
          <w:rFonts w:hint="cs"/>
          <w:sz w:val="20"/>
          <w:szCs w:val="20"/>
          <w:rtl/>
        </w:rPr>
        <w:t>.</w:t>
      </w:r>
    </w:p>
  </w:footnote>
  <w:footnote w:id="2">
    <w:p w:rsidR="00974DC7" w:rsidRPr="00A671A1" w:rsidRDefault="00974DC7" w:rsidP="003A2846">
      <w:pPr>
        <w:bidi/>
        <w:spacing w:after="0" w:line="240" w:lineRule="auto"/>
        <w:contextualSpacing/>
        <w:rPr>
          <w:sz w:val="20"/>
          <w:szCs w:val="20"/>
          <w:rtl/>
        </w:rPr>
      </w:pPr>
      <w:r w:rsidRPr="00A671A1">
        <w:rPr>
          <w:rStyle w:val="af2"/>
          <w:sz w:val="20"/>
          <w:szCs w:val="20"/>
        </w:rPr>
        <w:footnoteRef/>
      </w:r>
      <w:r w:rsidRPr="00A671A1">
        <w:rPr>
          <w:sz w:val="20"/>
          <w:szCs w:val="20"/>
          <w:rtl/>
        </w:rPr>
        <w:t xml:space="preserve"> </w:t>
      </w:r>
      <w:r w:rsidRPr="00A671A1">
        <w:rPr>
          <w:sz w:val="20"/>
          <w:szCs w:val="20"/>
          <w:shd w:val="clear" w:color="auto" w:fill="FFFFFF"/>
          <w:rtl/>
        </w:rPr>
        <w:t xml:space="preserve">בג"ץ 1661205 </w:t>
      </w:r>
      <w:r w:rsidRPr="00A671A1">
        <w:rPr>
          <w:b/>
          <w:bCs/>
          <w:sz w:val="20"/>
          <w:szCs w:val="20"/>
          <w:shd w:val="clear" w:color="auto" w:fill="FFFFFF"/>
          <w:rtl/>
        </w:rPr>
        <w:t>המועצה האזורית חוף עזה נ' כנסת ישראל</w:t>
      </w:r>
      <w:r>
        <w:rPr>
          <w:sz w:val="20"/>
          <w:szCs w:val="20"/>
          <w:shd w:val="clear" w:color="auto" w:fill="FFFFFF"/>
          <w:rtl/>
        </w:rPr>
        <w:t>, פ"ד נט</w:t>
      </w:r>
      <w:r>
        <w:rPr>
          <w:rFonts w:hint="cs"/>
          <w:sz w:val="20"/>
          <w:szCs w:val="20"/>
          <w:shd w:val="clear" w:color="auto" w:fill="FFFFFF"/>
          <w:rtl/>
        </w:rPr>
        <w:t xml:space="preserve">, 491, בעמ' </w:t>
      </w:r>
      <w:r>
        <w:rPr>
          <w:sz w:val="20"/>
          <w:szCs w:val="20"/>
          <w:shd w:val="clear" w:color="auto" w:fill="FFFFFF"/>
          <w:rtl/>
        </w:rPr>
        <w:t>514</w:t>
      </w:r>
      <w:r>
        <w:rPr>
          <w:rFonts w:hint="cs"/>
          <w:sz w:val="20"/>
          <w:szCs w:val="20"/>
          <w:rtl/>
        </w:rPr>
        <w:t xml:space="preserve"> (2005)</w:t>
      </w:r>
      <w:r w:rsidRPr="00A671A1">
        <w:rPr>
          <w:rFonts w:hint="cs"/>
          <w:sz w:val="20"/>
          <w:szCs w:val="20"/>
          <w:rtl/>
        </w:rPr>
        <w:t xml:space="preserve">. (להלן: </w:t>
      </w:r>
      <w:r w:rsidRPr="00A671A1">
        <w:rPr>
          <w:rFonts w:hint="cs"/>
          <w:b/>
          <w:bCs/>
          <w:sz w:val="20"/>
          <w:szCs w:val="20"/>
          <w:rtl/>
        </w:rPr>
        <w:t>עניין חוף עזה</w:t>
      </w:r>
      <w:r w:rsidRPr="00A671A1">
        <w:rPr>
          <w:rFonts w:hint="cs"/>
          <w:sz w:val="20"/>
          <w:szCs w:val="20"/>
          <w:rtl/>
        </w:rPr>
        <w:t>)</w:t>
      </w:r>
    </w:p>
  </w:footnote>
  <w:footnote w:id="3">
    <w:p w:rsidR="00974DC7" w:rsidRPr="00A671A1" w:rsidRDefault="00974DC7" w:rsidP="00903E38">
      <w:pPr>
        <w:pStyle w:val="af7"/>
        <w:spacing w:after="0" w:line="240" w:lineRule="auto"/>
        <w:ind w:hanging="58"/>
        <w:contextualSpacing/>
        <w:rPr>
          <w:rFonts w:cs="David"/>
          <w:rtl/>
        </w:rPr>
      </w:pPr>
      <w:r w:rsidRPr="00A671A1">
        <w:rPr>
          <w:rStyle w:val="af2"/>
          <w:rFonts w:cs="David"/>
        </w:rPr>
        <w:footnoteRef/>
      </w:r>
      <w:r>
        <w:rPr>
          <w:rFonts w:cs="David" w:hint="cs"/>
          <w:b/>
          <w:bCs/>
          <w:shd w:val="clear" w:color="auto" w:fill="FFFFFF"/>
          <w:rtl/>
        </w:rPr>
        <w:t xml:space="preserve"> </w:t>
      </w:r>
      <w:r w:rsidRPr="00903E38">
        <w:rPr>
          <w:rFonts w:cs="David" w:hint="cs"/>
          <w:shd w:val="clear" w:color="auto" w:fill="FFFFFF"/>
          <w:rtl/>
        </w:rPr>
        <w:t>שם</w:t>
      </w:r>
      <w:r w:rsidRPr="00A671A1">
        <w:rPr>
          <w:rFonts w:cs="David" w:hint="cs"/>
          <w:shd w:val="clear" w:color="auto" w:fill="FFFFFF"/>
          <w:rtl/>
        </w:rPr>
        <w:t xml:space="preserve">, בעמ' 518-519; </w:t>
      </w:r>
      <w:r w:rsidRPr="00A671A1">
        <w:rPr>
          <w:rFonts w:cs="David" w:hint="cs"/>
          <w:b/>
          <w:bCs/>
          <w:shd w:val="clear" w:color="auto" w:fill="FFFFFF"/>
          <w:rtl/>
        </w:rPr>
        <w:t>עני</w:t>
      </w:r>
      <w:r>
        <w:rPr>
          <w:rFonts w:cs="David" w:hint="cs"/>
          <w:b/>
          <w:bCs/>
          <w:shd w:val="clear" w:color="auto" w:fill="FFFFFF"/>
          <w:rtl/>
        </w:rPr>
        <w:t>י</w:t>
      </w:r>
      <w:r w:rsidRPr="00A671A1">
        <w:rPr>
          <w:rFonts w:cs="David" w:hint="cs"/>
          <w:b/>
          <w:bCs/>
          <w:shd w:val="clear" w:color="auto" w:fill="FFFFFF"/>
          <w:rtl/>
        </w:rPr>
        <w:t xml:space="preserve">ן בית </w:t>
      </w:r>
      <w:proofErr w:type="spellStart"/>
      <w:r w:rsidRPr="00A671A1">
        <w:rPr>
          <w:rFonts w:cs="David" w:hint="cs"/>
          <w:b/>
          <w:bCs/>
          <w:shd w:val="clear" w:color="auto" w:fill="FFFFFF"/>
          <w:rtl/>
        </w:rPr>
        <w:t>סוריק</w:t>
      </w:r>
      <w:proofErr w:type="spellEnd"/>
      <w:r w:rsidRPr="00A671A1">
        <w:rPr>
          <w:rFonts w:cs="David" w:hint="cs"/>
          <w:shd w:val="clear" w:color="auto" w:fill="FFFFFF"/>
          <w:rtl/>
        </w:rPr>
        <w:t xml:space="preserve">, </w:t>
      </w:r>
      <w:proofErr w:type="spellStart"/>
      <w:r w:rsidRPr="00A671A1">
        <w:rPr>
          <w:rFonts w:cs="David" w:hint="cs"/>
          <w:shd w:val="clear" w:color="auto" w:fill="FFFFFF"/>
          <w:rtl/>
        </w:rPr>
        <w:t>ה"ש</w:t>
      </w:r>
      <w:proofErr w:type="spellEnd"/>
      <w:r w:rsidRPr="00A671A1">
        <w:rPr>
          <w:rFonts w:cs="David" w:hint="cs"/>
          <w:shd w:val="clear" w:color="auto" w:fill="FFFFFF"/>
          <w:rtl/>
        </w:rPr>
        <w:t xml:space="preserve"> </w:t>
      </w:r>
      <w:r>
        <w:rPr>
          <w:rFonts w:cs="David" w:hint="cs"/>
          <w:shd w:val="clear" w:color="auto" w:fill="FFFFFF"/>
          <w:rtl/>
        </w:rPr>
        <w:t>14</w:t>
      </w:r>
      <w:r w:rsidRPr="00A671A1">
        <w:rPr>
          <w:rFonts w:cs="David" w:hint="cs"/>
          <w:shd w:val="clear" w:color="auto" w:fill="FFFFFF"/>
          <w:rtl/>
        </w:rPr>
        <w:t xml:space="preserve"> לעיל, בעמ' 827-828</w:t>
      </w:r>
      <w:r w:rsidRPr="00A671A1">
        <w:rPr>
          <w:rFonts w:cs="David" w:hint="cs"/>
          <w:rtl/>
        </w:rPr>
        <w:t xml:space="preserve">; בג"ץ 10356/02  </w:t>
      </w:r>
      <w:r w:rsidRPr="00A671A1">
        <w:rPr>
          <w:rFonts w:cs="David" w:hint="cs"/>
          <w:b/>
          <w:bCs/>
          <w:rtl/>
        </w:rPr>
        <w:t>הס נ' מפקד כוחות צה"ל בגדה המערבית</w:t>
      </w:r>
      <w:r w:rsidRPr="00A671A1">
        <w:rPr>
          <w:rFonts w:cs="David" w:hint="cs"/>
          <w:rtl/>
        </w:rPr>
        <w:t>, פ"ד נח(3) 443</w:t>
      </w:r>
      <w:r>
        <w:rPr>
          <w:rFonts w:cs="David" w:hint="cs"/>
          <w:rtl/>
        </w:rPr>
        <w:t xml:space="preserve"> </w:t>
      </w:r>
      <w:r w:rsidRPr="00A671A1">
        <w:rPr>
          <w:rFonts w:cs="David" w:hint="cs"/>
          <w:rtl/>
        </w:rPr>
        <w:t>(2004)</w:t>
      </w:r>
      <w:r>
        <w:rPr>
          <w:rFonts w:cs="David" w:hint="cs"/>
          <w:rtl/>
        </w:rPr>
        <w:t xml:space="preserve"> (להלן: </w:t>
      </w:r>
      <w:r w:rsidRPr="00903E38">
        <w:rPr>
          <w:rFonts w:cs="David" w:hint="cs"/>
          <w:b/>
          <w:bCs/>
          <w:rtl/>
        </w:rPr>
        <w:t>עניין הס</w:t>
      </w:r>
      <w:r>
        <w:rPr>
          <w:rFonts w:cs="David" w:hint="cs"/>
          <w:rtl/>
        </w:rPr>
        <w:t>)</w:t>
      </w:r>
      <w:r w:rsidRPr="00A671A1">
        <w:rPr>
          <w:rFonts w:cs="David" w:hint="cs"/>
          <w:rtl/>
        </w:rPr>
        <w:t xml:space="preserve">. </w:t>
      </w:r>
    </w:p>
  </w:footnote>
  <w:footnote w:id="4">
    <w:p w:rsidR="00974DC7" w:rsidRPr="00A671A1" w:rsidRDefault="00974DC7" w:rsidP="00977923">
      <w:pPr>
        <w:bidi/>
        <w:spacing w:after="0" w:line="240" w:lineRule="auto"/>
        <w:contextualSpacing/>
        <w:rPr>
          <w:sz w:val="20"/>
          <w:szCs w:val="20"/>
          <w:rtl/>
        </w:rPr>
      </w:pPr>
      <w:r w:rsidRPr="00A671A1">
        <w:rPr>
          <w:rStyle w:val="af2"/>
          <w:sz w:val="20"/>
          <w:szCs w:val="20"/>
        </w:rPr>
        <w:footnoteRef/>
      </w:r>
      <w:r w:rsidRPr="00A671A1">
        <w:rPr>
          <w:sz w:val="20"/>
          <w:szCs w:val="20"/>
          <w:rtl/>
        </w:rPr>
        <w:t xml:space="preserve"> </w:t>
      </w:r>
      <w:r w:rsidRPr="00A671A1">
        <w:rPr>
          <w:rFonts w:hint="cs"/>
          <w:b/>
          <w:bCs/>
          <w:sz w:val="20"/>
          <w:szCs w:val="20"/>
          <w:shd w:val="clear" w:color="auto" w:fill="FFFFFF"/>
          <w:rtl/>
          <w:lang w:eastAsia="he-IL"/>
        </w:rPr>
        <w:t xml:space="preserve">עניין </w:t>
      </w:r>
      <w:proofErr w:type="spellStart"/>
      <w:r w:rsidRPr="00A671A1">
        <w:rPr>
          <w:rFonts w:hint="cs"/>
          <w:b/>
          <w:bCs/>
          <w:sz w:val="20"/>
          <w:szCs w:val="20"/>
          <w:shd w:val="clear" w:color="auto" w:fill="FFFFFF"/>
          <w:rtl/>
          <w:lang w:eastAsia="he-IL"/>
        </w:rPr>
        <w:t>דויקאת</w:t>
      </w:r>
      <w:proofErr w:type="spellEnd"/>
      <w:r w:rsidRPr="00A671A1">
        <w:rPr>
          <w:rFonts w:hint="cs"/>
          <w:sz w:val="20"/>
          <w:szCs w:val="20"/>
          <w:shd w:val="clear" w:color="auto" w:fill="FFFFFF"/>
          <w:rtl/>
          <w:lang w:eastAsia="he-IL"/>
        </w:rPr>
        <w:t xml:space="preserve">, </w:t>
      </w:r>
      <w:proofErr w:type="spellStart"/>
      <w:r w:rsidRPr="00A671A1">
        <w:rPr>
          <w:rFonts w:hint="cs"/>
          <w:sz w:val="20"/>
          <w:szCs w:val="20"/>
          <w:shd w:val="clear" w:color="auto" w:fill="FFFFFF"/>
          <w:rtl/>
          <w:lang w:eastAsia="he-IL"/>
        </w:rPr>
        <w:t>ה"ש</w:t>
      </w:r>
      <w:proofErr w:type="spellEnd"/>
      <w:r w:rsidRPr="00A671A1">
        <w:rPr>
          <w:rFonts w:hint="cs"/>
          <w:sz w:val="20"/>
          <w:szCs w:val="20"/>
          <w:shd w:val="clear" w:color="auto" w:fill="FFFFFF"/>
          <w:rtl/>
          <w:lang w:eastAsia="he-IL"/>
        </w:rPr>
        <w:t xml:space="preserve"> </w:t>
      </w:r>
      <w:r>
        <w:rPr>
          <w:rFonts w:hint="cs"/>
          <w:sz w:val="20"/>
          <w:szCs w:val="20"/>
          <w:shd w:val="clear" w:color="auto" w:fill="FFFFFF"/>
          <w:rtl/>
          <w:lang w:eastAsia="he-IL"/>
        </w:rPr>
        <w:t>14</w:t>
      </w:r>
      <w:r w:rsidRPr="00A671A1">
        <w:rPr>
          <w:rFonts w:hint="cs"/>
          <w:sz w:val="20"/>
          <w:szCs w:val="20"/>
          <w:shd w:val="clear" w:color="auto" w:fill="FFFFFF"/>
          <w:rtl/>
          <w:lang w:eastAsia="he-IL"/>
        </w:rPr>
        <w:t xml:space="preserve"> לעיל, בעמ' 1</w:t>
      </w:r>
      <w:r w:rsidRPr="00A671A1">
        <w:rPr>
          <w:rFonts w:hint="cs"/>
          <w:b/>
          <w:bCs/>
          <w:sz w:val="20"/>
          <w:szCs w:val="20"/>
          <w:shd w:val="clear" w:color="auto" w:fill="FFFFFF"/>
          <w:rtl/>
          <w:lang w:eastAsia="he-IL"/>
        </w:rPr>
        <w:t>; עניין חוף עזה</w:t>
      </w:r>
      <w:r w:rsidRPr="00A671A1">
        <w:rPr>
          <w:rFonts w:hint="cs"/>
          <w:sz w:val="20"/>
          <w:szCs w:val="20"/>
          <w:shd w:val="clear" w:color="auto" w:fill="FFFFFF"/>
          <w:rtl/>
          <w:lang w:eastAsia="he-IL"/>
        </w:rPr>
        <w:t>,</w:t>
      </w:r>
      <w:r w:rsidRPr="00977923">
        <w:rPr>
          <w:rFonts w:hint="cs"/>
          <w:sz w:val="20"/>
          <w:szCs w:val="20"/>
          <w:shd w:val="clear" w:color="auto" w:fill="FFFFFF"/>
          <w:rtl/>
          <w:lang w:eastAsia="he-IL"/>
        </w:rPr>
        <w:t xml:space="preserve"> </w:t>
      </w:r>
      <w:proofErr w:type="spellStart"/>
      <w:r w:rsidRPr="00977923">
        <w:rPr>
          <w:rFonts w:hint="cs"/>
          <w:sz w:val="20"/>
          <w:szCs w:val="20"/>
          <w:shd w:val="clear" w:color="auto" w:fill="FFFFFF"/>
          <w:rtl/>
          <w:lang w:eastAsia="he-IL"/>
        </w:rPr>
        <w:t>ה"ש</w:t>
      </w:r>
      <w:proofErr w:type="spellEnd"/>
      <w:r w:rsidRPr="00977923">
        <w:rPr>
          <w:rFonts w:hint="cs"/>
          <w:sz w:val="20"/>
          <w:szCs w:val="20"/>
          <w:shd w:val="clear" w:color="auto" w:fill="FFFFFF"/>
          <w:rtl/>
          <w:lang w:eastAsia="he-IL"/>
        </w:rPr>
        <w:t xml:space="preserve"> 15 לעיל</w:t>
      </w:r>
      <w:r>
        <w:rPr>
          <w:rFonts w:hint="cs"/>
          <w:sz w:val="20"/>
          <w:szCs w:val="20"/>
          <w:shd w:val="clear" w:color="auto" w:fill="FFFFFF"/>
          <w:rtl/>
          <w:lang w:eastAsia="he-IL"/>
        </w:rPr>
        <w:t xml:space="preserve">, </w:t>
      </w:r>
      <w:r w:rsidRPr="00A671A1">
        <w:rPr>
          <w:rFonts w:hint="cs"/>
          <w:sz w:val="20"/>
          <w:szCs w:val="20"/>
          <w:shd w:val="clear" w:color="auto" w:fill="FFFFFF"/>
          <w:rtl/>
          <w:lang w:eastAsia="he-IL"/>
        </w:rPr>
        <w:t xml:space="preserve">פס' </w:t>
      </w:r>
      <w:r>
        <w:rPr>
          <w:rFonts w:hint="cs"/>
          <w:sz w:val="20"/>
          <w:szCs w:val="20"/>
          <w:shd w:val="clear" w:color="auto" w:fill="FFFFFF"/>
          <w:rtl/>
          <w:lang w:eastAsia="he-IL"/>
        </w:rPr>
        <w:t>3</w:t>
      </w:r>
      <w:r w:rsidRPr="00A671A1">
        <w:rPr>
          <w:rFonts w:hint="cs"/>
          <w:sz w:val="20"/>
          <w:szCs w:val="20"/>
          <w:shd w:val="clear" w:color="auto" w:fill="FFFFFF"/>
          <w:rtl/>
          <w:lang w:eastAsia="he-IL"/>
        </w:rPr>
        <w:t>.</w:t>
      </w:r>
      <w:r w:rsidRPr="00A671A1">
        <w:rPr>
          <w:rFonts w:hint="cs"/>
          <w:b/>
          <w:bCs/>
          <w:sz w:val="20"/>
          <w:szCs w:val="20"/>
          <w:shd w:val="clear" w:color="auto" w:fill="FFFFFF"/>
          <w:rtl/>
          <w:lang w:eastAsia="he-IL"/>
        </w:rPr>
        <w:t xml:space="preserve"> </w:t>
      </w:r>
      <w:r w:rsidRPr="00A671A1">
        <w:rPr>
          <w:rFonts w:hint="cs"/>
          <w:sz w:val="20"/>
          <w:szCs w:val="20"/>
          <w:shd w:val="clear" w:color="auto" w:fill="FFFFFF"/>
        </w:rPr>
        <w:t xml:space="preserve"> </w:t>
      </w:r>
    </w:p>
  </w:footnote>
  <w:footnote w:id="5">
    <w:p w:rsidR="00974DC7" w:rsidRPr="00A671A1" w:rsidRDefault="00974DC7" w:rsidP="00A671A1">
      <w:pPr>
        <w:bidi/>
        <w:spacing w:after="0" w:line="240" w:lineRule="auto"/>
        <w:contextualSpacing/>
        <w:rPr>
          <w:sz w:val="20"/>
          <w:szCs w:val="20"/>
          <w:rtl/>
        </w:rPr>
      </w:pPr>
      <w:r w:rsidRPr="00A671A1">
        <w:rPr>
          <w:rStyle w:val="af2"/>
          <w:sz w:val="20"/>
          <w:szCs w:val="20"/>
        </w:rPr>
        <w:footnoteRef/>
      </w:r>
      <w:r w:rsidRPr="00A671A1">
        <w:rPr>
          <w:sz w:val="20"/>
          <w:szCs w:val="20"/>
          <w:rtl/>
        </w:rPr>
        <w:t xml:space="preserve"> </w:t>
      </w:r>
      <w:r w:rsidRPr="00A671A1">
        <w:rPr>
          <w:rFonts w:hint="cs"/>
          <w:sz w:val="20"/>
          <w:szCs w:val="20"/>
          <w:rtl/>
        </w:rPr>
        <w:t xml:space="preserve">בג"ץ 7957/04 </w:t>
      </w:r>
      <w:proofErr w:type="spellStart"/>
      <w:r w:rsidRPr="00A671A1">
        <w:rPr>
          <w:rFonts w:hint="cs"/>
          <w:b/>
          <w:bCs/>
          <w:sz w:val="20"/>
          <w:szCs w:val="20"/>
          <w:rtl/>
        </w:rPr>
        <w:t>מראעבה</w:t>
      </w:r>
      <w:proofErr w:type="spellEnd"/>
      <w:r w:rsidRPr="00A671A1">
        <w:rPr>
          <w:rFonts w:hint="cs"/>
          <w:b/>
          <w:bCs/>
          <w:sz w:val="20"/>
          <w:szCs w:val="20"/>
          <w:rtl/>
        </w:rPr>
        <w:t xml:space="preserve"> נ' ראש ממשלת ישראל,</w:t>
      </w:r>
      <w:r w:rsidRPr="00A671A1">
        <w:rPr>
          <w:rFonts w:hint="cs"/>
          <w:sz w:val="20"/>
          <w:szCs w:val="20"/>
          <w:rtl/>
        </w:rPr>
        <w:t xml:space="preserve"> פ"ד ס(2) 477, 501 (2005) (להלן: </w:t>
      </w:r>
      <w:r w:rsidRPr="00A671A1">
        <w:rPr>
          <w:rFonts w:hint="cs"/>
          <w:b/>
          <w:bCs/>
          <w:sz w:val="20"/>
          <w:szCs w:val="20"/>
          <w:rtl/>
        </w:rPr>
        <w:t xml:space="preserve">ענין </w:t>
      </w:r>
      <w:proofErr w:type="spellStart"/>
      <w:r w:rsidRPr="00A671A1">
        <w:rPr>
          <w:rFonts w:hint="cs"/>
          <w:b/>
          <w:bCs/>
          <w:sz w:val="20"/>
          <w:szCs w:val="20"/>
          <w:rtl/>
        </w:rPr>
        <w:t>מראעבה</w:t>
      </w:r>
      <w:proofErr w:type="spellEnd"/>
      <w:r w:rsidRPr="00A671A1">
        <w:rPr>
          <w:rFonts w:hint="cs"/>
          <w:sz w:val="20"/>
          <w:szCs w:val="20"/>
          <w:rtl/>
        </w:rPr>
        <w:t>)</w:t>
      </w:r>
    </w:p>
  </w:footnote>
  <w:footnote w:id="6">
    <w:p w:rsidR="00974DC7" w:rsidRPr="00A671A1" w:rsidRDefault="00974DC7" w:rsidP="00977923">
      <w:pPr>
        <w:bidi/>
        <w:spacing w:after="0" w:line="240" w:lineRule="auto"/>
        <w:contextualSpacing/>
        <w:rPr>
          <w:sz w:val="20"/>
          <w:szCs w:val="20"/>
        </w:rPr>
      </w:pPr>
      <w:r w:rsidRPr="00A671A1">
        <w:rPr>
          <w:rStyle w:val="af2"/>
          <w:sz w:val="20"/>
          <w:szCs w:val="20"/>
        </w:rPr>
        <w:footnoteRef/>
      </w:r>
      <w:r w:rsidRPr="00A671A1">
        <w:rPr>
          <w:sz w:val="20"/>
          <w:szCs w:val="20"/>
          <w:rtl/>
        </w:rPr>
        <w:t xml:space="preserve"> </w:t>
      </w:r>
      <w:r w:rsidRPr="00A671A1">
        <w:rPr>
          <w:rFonts w:hint="cs"/>
          <w:b/>
          <w:bCs/>
          <w:sz w:val="20"/>
          <w:szCs w:val="20"/>
          <w:rtl/>
        </w:rPr>
        <w:t>עניין חוף עזה</w:t>
      </w:r>
      <w:r w:rsidRPr="00A671A1">
        <w:rPr>
          <w:rFonts w:hint="cs"/>
          <w:sz w:val="20"/>
          <w:szCs w:val="20"/>
          <w:rtl/>
        </w:rPr>
        <w:t xml:space="preserve">, </w:t>
      </w:r>
      <w:proofErr w:type="spellStart"/>
      <w:r w:rsidRPr="00A671A1">
        <w:rPr>
          <w:rFonts w:hint="cs"/>
          <w:sz w:val="20"/>
          <w:szCs w:val="20"/>
          <w:rtl/>
        </w:rPr>
        <w:t>ה"ש</w:t>
      </w:r>
      <w:proofErr w:type="spellEnd"/>
      <w:r w:rsidRPr="00A671A1">
        <w:rPr>
          <w:rFonts w:hint="cs"/>
          <w:sz w:val="20"/>
          <w:szCs w:val="20"/>
          <w:rtl/>
        </w:rPr>
        <w:t xml:space="preserve"> </w:t>
      </w:r>
      <w:r>
        <w:rPr>
          <w:rFonts w:hint="cs"/>
          <w:sz w:val="20"/>
          <w:szCs w:val="20"/>
          <w:rtl/>
        </w:rPr>
        <w:t>15</w:t>
      </w:r>
      <w:r w:rsidRPr="00A671A1">
        <w:rPr>
          <w:rFonts w:hint="cs"/>
          <w:sz w:val="20"/>
          <w:szCs w:val="20"/>
          <w:rtl/>
        </w:rPr>
        <w:t xml:space="preserve"> לעיל, פס' 6-9 </w:t>
      </w:r>
    </w:p>
  </w:footnote>
  <w:footnote w:id="7">
    <w:p w:rsidR="00974DC7" w:rsidRPr="00A671A1" w:rsidRDefault="00974DC7" w:rsidP="008515AE">
      <w:pPr>
        <w:pStyle w:val="af0"/>
        <w:bidi/>
        <w:contextualSpacing/>
        <w:rPr>
          <w:rtl/>
        </w:rPr>
      </w:pPr>
      <w:r w:rsidRPr="00A671A1">
        <w:rPr>
          <w:rStyle w:val="af2"/>
        </w:rPr>
        <w:footnoteRef/>
      </w:r>
      <w:r w:rsidRPr="00A671A1">
        <w:rPr>
          <w:rtl/>
        </w:rPr>
        <w:t xml:space="preserve"> </w:t>
      </w:r>
      <w:r>
        <w:rPr>
          <w:rFonts w:hint="cs"/>
          <w:rtl/>
        </w:rPr>
        <w:t xml:space="preserve">ראה </w:t>
      </w:r>
      <w:r w:rsidRPr="00F45018">
        <w:rPr>
          <w:rFonts w:hint="cs"/>
          <w:rtl/>
        </w:rPr>
        <w:t xml:space="preserve">ע"א 6860/01 </w:t>
      </w:r>
      <w:proofErr w:type="spellStart"/>
      <w:r w:rsidRPr="00F45018">
        <w:rPr>
          <w:rFonts w:hint="cs"/>
          <w:b/>
          <w:bCs/>
          <w:rtl/>
        </w:rPr>
        <w:t>חמאדה</w:t>
      </w:r>
      <w:proofErr w:type="spellEnd"/>
      <w:r w:rsidRPr="00F45018">
        <w:rPr>
          <w:rFonts w:hint="cs"/>
          <w:b/>
          <w:bCs/>
          <w:rtl/>
        </w:rPr>
        <w:t xml:space="preserve"> נ' המאגר הישראלי לביטוח רכב</w:t>
      </w:r>
      <w:r w:rsidRPr="00F45018">
        <w:rPr>
          <w:rFonts w:hint="cs"/>
          <w:rtl/>
        </w:rPr>
        <w:t xml:space="preserve">, פ"ד </w:t>
      </w:r>
      <w:proofErr w:type="spellStart"/>
      <w:r w:rsidRPr="00F45018">
        <w:rPr>
          <w:rFonts w:hint="cs"/>
          <w:rtl/>
        </w:rPr>
        <w:t>נז</w:t>
      </w:r>
      <w:proofErr w:type="spellEnd"/>
      <w:r w:rsidRPr="00F45018">
        <w:rPr>
          <w:rFonts w:hint="cs"/>
          <w:rtl/>
        </w:rPr>
        <w:t>(3) 8</w:t>
      </w:r>
      <w:r>
        <w:rPr>
          <w:rFonts w:hint="cs"/>
          <w:rtl/>
        </w:rPr>
        <w:t>, סעיף 6 לפסק הדין</w:t>
      </w:r>
      <w:r w:rsidRPr="00F45018">
        <w:rPr>
          <w:rFonts w:hint="cs"/>
          <w:rtl/>
        </w:rPr>
        <w:t xml:space="preserve"> (2003</w:t>
      </w:r>
      <w:r w:rsidRPr="00CE4C5A">
        <w:rPr>
          <w:rFonts w:hint="cs"/>
          <w:rtl/>
        </w:rPr>
        <w:t>); סעיף</w:t>
      </w:r>
      <w:r w:rsidRPr="00CE4C5A">
        <w:rPr>
          <w:rtl/>
        </w:rPr>
        <w:t xml:space="preserve"> 3</w:t>
      </w:r>
      <w:r w:rsidRPr="00CE4C5A">
        <w:rPr>
          <w:rFonts w:hint="cs"/>
          <w:rtl/>
        </w:rPr>
        <w:t xml:space="preserve">(א) למנשר </w:t>
      </w:r>
      <w:r w:rsidRPr="004A4462">
        <w:rPr>
          <w:rFonts w:hint="cs"/>
          <w:rtl/>
        </w:rPr>
        <w:t>בדבר</w:t>
      </w:r>
      <w:r w:rsidRPr="004A4462">
        <w:rPr>
          <w:rtl/>
        </w:rPr>
        <w:t xml:space="preserve"> </w:t>
      </w:r>
      <w:r w:rsidRPr="004A4462">
        <w:rPr>
          <w:rFonts w:hint="cs"/>
          <w:rtl/>
        </w:rPr>
        <w:t>סדרי</w:t>
      </w:r>
      <w:r w:rsidRPr="004A4462">
        <w:rPr>
          <w:rtl/>
        </w:rPr>
        <w:t xml:space="preserve"> </w:t>
      </w:r>
      <w:r w:rsidRPr="004A4462">
        <w:rPr>
          <w:rFonts w:hint="cs"/>
          <w:rtl/>
        </w:rPr>
        <w:t>שלטון</w:t>
      </w:r>
      <w:r w:rsidRPr="004A4462">
        <w:rPr>
          <w:rtl/>
        </w:rPr>
        <w:t xml:space="preserve"> </w:t>
      </w:r>
      <w:r w:rsidRPr="004A4462">
        <w:rPr>
          <w:rFonts w:hint="cs"/>
          <w:rtl/>
        </w:rPr>
        <w:t>ומשפט</w:t>
      </w:r>
      <w:r w:rsidRPr="004A4462">
        <w:rPr>
          <w:rtl/>
        </w:rPr>
        <w:t xml:space="preserve"> (יהודה </w:t>
      </w:r>
      <w:r w:rsidRPr="004A4462">
        <w:rPr>
          <w:rFonts w:hint="cs"/>
          <w:rtl/>
        </w:rPr>
        <w:t>והשומרון</w:t>
      </w:r>
      <w:r w:rsidRPr="004A4462">
        <w:rPr>
          <w:rtl/>
        </w:rPr>
        <w:t xml:space="preserve">) (מס' 2), </w:t>
      </w:r>
      <w:r w:rsidRPr="004A4462">
        <w:rPr>
          <w:rFonts w:hint="cs"/>
          <w:rtl/>
        </w:rPr>
        <w:t>שתחילתו</w:t>
      </w:r>
      <w:r w:rsidRPr="004A4462">
        <w:rPr>
          <w:rtl/>
        </w:rPr>
        <w:t xml:space="preserve"> </w:t>
      </w:r>
      <w:r w:rsidRPr="004A4462">
        <w:rPr>
          <w:rFonts w:hint="cs"/>
          <w:rtl/>
        </w:rPr>
        <w:t>מיום</w:t>
      </w:r>
      <w:r w:rsidRPr="004A4462">
        <w:rPr>
          <w:rtl/>
        </w:rPr>
        <w:t xml:space="preserve"> 7.6.67</w:t>
      </w:r>
      <w:r w:rsidRPr="003554E4">
        <w:rPr>
          <w:rFonts w:hint="cs"/>
          <w:rtl/>
        </w:rPr>
        <w:t>.</w:t>
      </w:r>
    </w:p>
  </w:footnote>
  <w:footnote w:id="8">
    <w:p w:rsidR="00974DC7" w:rsidRPr="00A671A1" w:rsidRDefault="00974DC7" w:rsidP="00A671A1">
      <w:pPr>
        <w:pStyle w:val="af0"/>
        <w:bidi/>
        <w:contextualSpacing/>
      </w:pPr>
      <w:r w:rsidRPr="00A671A1">
        <w:rPr>
          <w:rStyle w:val="af2"/>
        </w:rPr>
        <w:footnoteRef/>
      </w:r>
      <w:r w:rsidRPr="00A671A1">
        <w:rPr>
          <w:rtl/>
        </w:rPr>
        <w:t xml:space="preserve"> </w:t>
      </w:r>
      <w:r w:rsidRPr="00A671A1">
        <w:t>Convention (IV) respecting the Laws and Customs of War on Land and its annex: Regulations concerning the Laws and Customs of War on Land. The Hague, 18 October 1907.</w:t>
      </w:r>
      <w:r w:rsidRPr="00A671A1">
        <w:rPr>
          <w:rFonts w:hint="cs"/>
          <w:rtl/>
        </w:rPr>
        <w:t>(להלן: תקנות האג)</w:t>
      </w:r>
    </w:p>
  </w:footnote>
  <w:footnote w:id="9">
    <w:p w:rsidR="00974DC7" w:rsidRPr="00A671A1" w:rsidRDefault="00974DC7" w:rsidP="00A671A1">
      <w:pPr>
        <w:pStyle w:val="af0"/>
        <w:bidi/>
        <w:contextualSpacing/>
      </w:pPr>
      <w:r w:rsidRPr="00A671A1">
        <w:rPr>
          <w:rStyle w:val="af2"/>
        </w:rPr>
        <w:footnoteRef/>
      </w:r>
      <w:r w:rsidRPr="00A671A1">
        <w:rPr>
          <w:rtl/>
        </w:rPr>
        <w:t xml:space="preserve"> </w:t>
      </w:r>
      <w:proofErr w:type="gramStart"/>
      <w:r w:rsidRPr="00A671A1">
        <w:t>Convention (IV) relative to the Protection of Civilian Persons in Time of War.</w:t>
      </w:r>
      <w:proofErr w:type="gramEnd"/>
      <w:r w:rsidRPr="00A671A1">
        <w:t xml:space="preserve"> Geneva, 12 August 1949.</w:t>
      </w:r>
    </w:p>
  </w:footnote>
  <w:footnote w:id="10">
    <w:p w:rsidR="00974DC7" w:rsidRPr="00A671A1" w:rsidRDefault="00974DC7" w:rsidP="00A671A1">
      <w:pPr>
        <w:bidi/>
        <w:spacing w:after="0" w:line="240" w:lineRule="auto"/>
        <w:contextualSpacing/>
        <w:rPr>
          <w:sz w:val="20"/>
          <w:szCs w:val="20"/>
          <w:rtl/>
        </w:rPr>
      </w:pPr>
      <w:r w:rsidRPr="00A671A1">
        <w:rPr>
          <w:rStyle w:val="af2"/>
          <w:sz w:val="20"/>
          <w:szCs w:val="20"/>
        </w:rPr>
        <w:footnoteRef/>
      </w:r>
      <w:r w:rsidRPr="00A671A1">
        <w:rPr>
          <w:sz w:val="20"/>
          <w:szCs w:val="20"/>
          <w:rtl/>
        </w:rPr>
        <w:t xml:space="preserve"> </w:t>
      </w:r>
      <w:r w:rsidRPr="00A671A1">
        <w:rPr>
          <w:rFonts w:hint="cs"/>
          <w:sz w:val="20"/>
          <w:szCs w:val="20"/>
          <w:rtl/>
        </w:rPr>
        <w:t xml:space="preserve">ראו לעניין זה: </w:t>
      </w:r>
      <w:r w:rsidRPr="00A671A1">
        <w:rPr>
          <w:sz w:val="20"/>
          <w:szCs w:val="20"/>
        </w:rPr>
        <w:t xml:space="preserve">M. </w:t>
      </w:r>
      <w:proofErr w:type="spellStart"/>
      <w:proofErr w:type="gramStart"/>
      <w:r w:rsidRPr="00A671A1">
        <w:rPr>
          <w:sz w:val="20"/>
          <w:szCs w:val="20"/>
        </w:rPr>
        <w:t>Shamgar</w:t>
      </w:r>
      <w:proofErr w:type="spellEnd"/>
      <w:r w:rsidRPr="00A671A1">
        <w:rPr>
          <w:sz w:val="20"/>
          <w:szCs w:val="20"/>
        </w:rPr>
        <w:t xml:space="preserve">, "International Law and the Administered Territories", 1 </w:t>
      </w:r>
      <w:r w:rsidRPr="00A671A1">
        <w:rPr>
          <w:b/>
          <w:bCs/>
          <w:sz w:val="20"/>
          <w:szCs w:val="20"/>
        </w:rPr>
        <w:t>Isr. Y. B. on Hum.</w:t>
      </w:r>
      <w:proofErr w:type="gramEnd"/>
      <w:r w:rsidRPr="00A671A1">
        <w:rPr>
          <w:b/>
          <w:bCs/>
          <w:sz w:val="20"/>
          <w:szCs w:val="20"/>
        </w:rPr>
        <w:t xml:space="preserve"> Rights</w:t>
      </w:r>
      <w:r w:rsidRPr="00A671A1">
        <w:rPr>
          <w:sz w:val="20"/>
          <w:szCs w:val="20"/>
        </w:rPr>
        <w:t xml:space="preserve"> (1971), 266</w:t>
      </w:r>
      <w:r w:rsidRPr="00A671A1">
        <w:rPr>
          <w:sz w:val="20"/>
          <w:szCs w:val="20"/>
          <w:rtl/>
        </w:rPr>
        <w:t xml:space="preserve">; </w:t>
      </w:r>
      <w:r w:rsidRPr="00A671A1">
        <w:rPr>
          <w:sz w:val="20"/>
          <w:szCs w:val="20"/>
        </w:rPr>
        <w:t xml:space="preserve">E. </w:t>
      </w:r>
      <w:proofErr w:type="spellStart"/>
      <w:r w:rsidRPr="00A671A1">
        <w:rPr>
          <w:sz w:val="20"/>
          <w:szCs w:val="20"/>
        </w:rPr>
        <w:t>Benvenisti</w:t>
      </w:r>
      <w:proofErr w:type="spellEnd"/>
      <w:r w:rsidRPr="00A671A1">
        <w:rPr>
          <w:sz w:val="20"/>
          <w:szCs w:val="20"/>
        </w:rPr>
        <w:t xml:space="preserve">, </w:t>
      </w:r>
      <w:r w:rsidRPr="00A671A1">
        <w:rPr>
          <w:b/>
          <w:bCs/>
          <w:sz w:val="20"/>
          <w:szCs w:val="20"/>
        </w:rPr>
        <w:t>The International Law of Occupation</w:t>
      </w:r>
      <w:r w:rsidRPr="00A671A1">
        <w:rPr>
          <w:sz w:val="20"/>
          <w:szCs w:val="20"/>
        </w:rPr>
        <w:t xml:space="preserve"> (Princeton, 1992), 109-111</w:t>
      </w:r>
      <w:r w:rsidRPr="00A671A1">
        <w:rPr>
          <w:sz w:val="20"/>
          <w:szCs w:val="20"/>
          <w:rtl/>
        </w:rPr>
        <w:t xml:space="preserve"> ; ראו גם מספר רב של פסקי דין של בית המשפט העליון: בג"ץ 331/71 </w:t>
      </w:r>
      <w:proofErr w:type="spellStart"/>
      <w:r w:rsidRPr="00A671A1">
        <w:rPr>
          <w:b/>
          <w:bCs/>
          <w:sz w:val="20"/>
          <w:szCs w:val="20"/>
          <w:rtl/>
        </w:rPr>
        <w:t>אלג'מעיה</w:t>
      </w:r>
      <w:proofErr w:type="spellEnd"/>
      <w:r w:rsidRPr="00A671A1">
        <w:rPr>
          <w:b/>
          <w:bCs/>
          <w:sz w:val="20"/>
          <w:szCs w:val="20"/>
          <w:rtl/>
        </w:rPr>
        <w:t xml:space="preserve"> </w:t>
      </w:r>
      <w:proofErr w:type="spellStart"/>
      <w:r w:rsidRPr="00A671A1">
        <w:rPr>
          <w:b/>
          <w:bCs/>
          <w:sz w:val="20"/>
          <w:szCs w:val="20"/>
          <w:rtl/>
        </w:rPr>
        <w:t>אלמסיחיה</w:t>
      </w:r>
      <w:proofErr w:type="spellEnd"/>
      <w:r w:rsidRPr="00A671A1">
        <w:rPr>
          <w:b/>
          <w:bCs/>
          <w:sz w:val="20"/>
          <w:szCs w:val="20"/>
          <w:rtl/>
        </w:rPr>
        <w:t xml:space="preserve"> נ' שר הביטחון ואח'</w:t>
      </w:r>
      <w:r w:rsidRPr="00A671A1">
        <w:rPr>
          <w:sz w:val="20"/>
          <w:szCs w:val="20"/>
          <w:rtl/>
        </w:rPr>
        <w:t xml:space="preserve"> פ"</w:t>
      </w:r>
      <w:r w:rsidRPr="00A671A1">
        <w:rPr>
          <w:rFonts w:hint="cs"/>
          <w:sz w:val="20"/>
          <w:szCs w:val="20"/>
          <w:rtl/>
        </w:rPr>
        <w:t xml:space="preserve">ד </w:t>
      </w:r>
      <w:proofErr w:type="spellStart"/>
      <w:r w:rsidRPr="00A671A1">
        <w:rPr>
          <w:rFonts w:hint="cs"/>
          <w:sz w:val="20"/>
          <w:szCs w:val="20"/>
          <w:rtl/>
        </w:rPr>
        <w:t>כו</w:t>
      </w:r>
      <w:proofErr w:type="spellEnd"/>
      <w:r w:rsidRPr="00A671A1">
        <w:rPr>
          <w:rFonts w:hint="cs"/>
          <w:sz w:val="20"/>
          <w:szCs w:val="20"/>
          <w:rtl/>
        </w:rPr>
        <w:t xml:space="preserve">(1) 580; בג"ץ 302/72 </w:t>
      </w:r>
      <w:r w:rsidRPr="00A671A1">
        <w:rPr>
          <w:rFonts w:hint="cs"/>
          <w:b/>
          <w:bCs/>
          <w:sz w:val="20"/>
          <w:szCs w:val="20"/>
          <w:rtl/>
        </w:rPr>
        <w:t>אבו חילו נ' ממשלת ישראל ואח'</w:t>
      </w:r>
      <w:r w:rsidRPr="00A671A1">
        <w:rPr>
          <w:rFonts w:hint="cs"/>
          <w:sz w:val="20"/>
          <w:szCs w:val="20"/>
          <w:rtl/>
        </w:rPr>
        <w:t>, פ"ד כ"ז(2) 169; בג"ץ</w:t>
      </w:r>
      <w:r w:rsidRPr="00A671A1">
        <w:rPr>
          <w:sz w:val="20"/>
          <w:szCs w:val="20"/>
          <w:rtl/>
        </w:rPr>
        <w:t xml:space="preserve"> 97/79 </w:t>
      </w:r>
      <w:r w:rsidRPr="00A671A1">
        <w:rPr>
          <w:b/>
          <w:bCs/>
          <w:sz w:val="20"/>
          <w:szCs w:val="20"/>
          <w:rtl/>
        </w:rPr>
        <w:t xml:space="preserve">ריאד עבד ראשיד אבו </w:t>
      </w:r>
      <w:proofErr w:type="spellStart"/>
      <w:r w:rsidRPr="00A671A1">
        <w:rPr>
          <w:b/>
          <w:bCs/>
          <w:sz w:val="20"/>
          <w:szCs w:val="20"/>
          <w:rtl/>
        </w:rPr>
        <w:t>עוואד</w:t>
      </w:r>
      <w:proofErr w:type="spellEnd"/>
      <w:r w:rsidRPr="00A671A1">
        <w:rPr>
          <w:b/>
          <w:bCs/>
          <w:sz w:val="20"/>
          <w:szCs w:val="20"/>
          <w:rtl/>
        </w:rPr>
        <w:t xml:space="preserve"> נ' מפקד אזור יהודה</w:t>
      </w:r>
      <w:r w:rsidRPr="00A671A1">
        <w:rPr>
          <w:rFonts w:hint="cs"/>
          <w:b/>
          <w:bCs/>
          <w:sz w:val="20"/>
          <w:szCs w:val="20"/>
          <w:rtl/>
        </w:rPr>
        <w:t>,</w:t>
      </w:r>
      <w:r w:rsidRPr="00A671A1">
        <w:rPr>
          <w:b/>
          <w:bCs/>
          <w:sz w:val="20"/>
          <w:szCs w:val="20"/>
          <w:rtl/>
        </w:rPr>
        <w:t xml:space="preserve"> </w:t>
      </w:r>
      <w:r w:rsidRPr="00A671A1">
        <w:rPr>
          <w:sz w:val="20"/>
          <w:szCs w:val="20"/>
          <w:rtl/>
        </w:rPr>
        <w:t>פ"ד לג(3)</w:t>
      </w:r>
      <w:r w:rsidRPr="00A671A1">
        <w:rPr>
          <w:rFonts w:hint="cs"/>
          <w:sz w:val="20"/>
          <w:szCs w:val="20"/>
          <w:rtl/>
        </w:rPr>
        <w:t xml:space="preserve"> </w:t>
      </w:r>
      <w:r w:rsidRPr="00A671A1">
        <w:rPr>
          <w:sz w:val="20"/>
          <w:szCs w:val="20"/>
          <w:rtl/>
        </w:rPr>
        <w:t>309</w:t>
      </w:r>
      <w:r w:rsidRPr="00A671A1">
        <w:rPr>
          <w:rFonts w:hint="cs"/>
          <w:sz w:val="20"/>
          <w:szCs w:val="20"/>
          <w:rtl/>
        </w:rPr>
        <w:t>,</w:t>
      </w:r>
      <w:r w:rsidRPr="00A671A1">
        <w:rPr>
          <w:sz w:val="20"/>
          <w:szCs w:val="20"/>
          <w:rtl/>
        </w:rPr>
        <w:t xml:space="preserve"> 317-318</w:t>
      </w:r>
      <w:r w:rsidRPr="00A671A1">
        <w:rPr>
          <w:rFonts w:hint="cs"/>
          <w:sz w:val="20"/>
          <w:szCs w:val="20"/>
          <w:rtl/>
        </w:rPr>
        <w:t xml:space="preserve">; </w:t>
      </w:r>
      <w:r w:rsidRPr="004A4462">
        <w:rPr>
          <w:rFonts w:hint="cs"/>
          <w:b/>
          <w:bCs/>
          <w:sz w:val="20"/>
          <w:szCs w:val="20"/>
          <w:rtl/>
        </w:rPr>
        <w:t>עניין</w:t>
      </w:r>
      <w:r w:rsidRPr="004A4462">
        <w:rPr>
          <w:b/>
          <w:bCs/>
          <w:sz w:val="20"/>
          <w:szCs w:val="20"/>
          <w:rtl/>
        </w:rPr>
        <w:t xml:space="preserve"> </w:t>
      </w:r>
      <w:proofErr w:type="spellStart"/>
      <w:r w:rsidRPr="00A671A1">
        <w:rPr>
          <w:rFonts w:hint="cs"/>
          <w:b/>
          <w:bCs/>
          <w:sz w:val="20"/>
          <w:szCs w:val="20"/>
          <w:rtl/>
        </w:rPr>
        <w:t>העצני</w:t>
      </w:r>
      <w:proofErr w:type="spellEnd"/>
      <w:r w:rsidRPr="00A671A1">
        <w:rPr>
          <w:rFonts w:hint="cs"/>
          <w:b/>
          <w:bCs/>
          <w:sz w:val="20"/>
          <w:szCs w:val="20"/>
          <w:rtl/>
        </w:rPr>
        <w:t xml:space="preserve">, </w:t>
      </w:r>
      <w:proofErr w:type="spellStart"/>
      <w:r w:rsidRPr="00A671A1">
        <w:rPr>
          <w:rFonts w:hint="cs"/>
          <w:sz w:val="20"/>
          <w:szCs w:val="20"/>
          <w:rtl/>
        </w:rPr>
        <w:t>ה"ש</w:t>
      </w:r>
      <w:proofErr w:type="spellEnd"/>
      <w:r w:rsidRPr="00A671A1">
        <w:rPr>
          <w:rFonts w:hint="cs"/>
          <w:sz w:val="20"/>
          <w:szCs w:val="20"/>
          <w:rtl/>
        </w:rPr>
        <w:t xml:space="preserve"> 1 לעיל; </w:t>
      </w:r>
      <w:r w:rsidRPr="00A671A1">
        <w:rPr>
          <w:rFonts w:hint="cs"/>
          <w:b/>
          <w:bCs/>
          <w:sz w:val="20"/>
          <w:szCs w:val="20"/>
          <w:rtl/>
        </w:rPr>
        <w:t>עניי</w:t>
      </w:r>
      <w:r w:rsidRPr="00A671A1">
        <w:rPr>
          <w:rFonts w:hint="cs"/>
          <w:sz w:val="20"/>
          <w:szCs w:val="20"/>
          <w:rtl/>
        </w:rPr>
        <w:t xml:space="preserve">ן </w:t>
      </w:r>
      <w:r w:rsidRPr="00A671A1">
        <w:rPr>
          <w:rFonts w:hint="cs"/>
          <w:b/>
          <w:bCs/>
          <w:sz w:val="20"/>
          <w:szCs w:val="20"/>
          <w:rtl/>
        </w:rPr>
        <w:t xml:space="preserve">בית </w:t>
      </w:r>
      <w:proofErr w:type="spellStart"/>
      <w:r w:rsidRPr="00A671A1">
        <w:rPr>
          <w:rFonts w:hint="cs"/>
          <w:b/>
          <w:bCs/>
          <w:sz w:val="20"/>
          <w:szCs w:val="20"/>
          <w:rtl/>
        </w:rPr>
        <w:t>סוריק</w:t>
      </w:r>
      <w:proofErr w:type="spellEnd"/>
      <w:r w:rsidRPr="00A671A1">
        <w:rPr>
          <w:rFonts w:hint="cs"/>
          <w:sz w:val="20"/>
          <w:szCs w:val="20"/>
          <w:rtl/>
        </w:rPr>
        <w:t xml:space="preserve">, </w:t>
      </w:r>
      <w:proofErr w:type="spellStart"/>
      <w:r w:rsidRPr="004A4462">
        <w:rPr>
          <w:rFonts w:hint="cs"/>
          <w:sz w:val="20"/>
          <w:szCs w:val="20"/>
          <w:rtl/>
        </w:rPr>
        <w:t>ה</w:t>
      </w:r>
      <w:r w:rsidRPr="004A4462">
        <w:rPr>
          <w:sz w:val="20"/>
          <w:szCs w:val="20"/>
          <w:rtl/>
        </w:rPr>
        <w:t>"ש</w:t>
      </w:r>
      <w:proofErr w:type="spellEnd"/>
      <w:r w:rsidRPr="004A4462">
        <w:rPr>
          <w:sz w:val="20"/>
          <w:szCs w:val="20"/>
          <w:rtl/>
        </w:rPr>
        <w:t xml:space="preserve"> 14 לעיל,</w:t>
      </w:r>
      <w:r>
        <w:rPr>
          <w:rFonts w:hint="cs"/>
          <w:rtl/>
        </w:rPr>
        <w:t xml:space="preserve"> </w:t>
      </w:r>
      <w:r w:rsidRPr="00A671A1">
        <w:rPr>
          <w:rFonts w:hint="cs"/>
          <w:sz w:val="20"/>
          <w:szCs w:val="20"/>
          <w:rtl/>
        </w:rPr>
        <w:t>פס' 23 לפסק הדין.</w:t>
      </w:r>
    </w:p>
  </w:footnote>
  <w:footnote w:id="11">
    <w:p w:rsidR="00974DC7" w:rsidRPr="00A671A1" w:rsidRDefault="00974DC7" w:rsidP="000A4394">
      <w:pPr>
        <w:bidi/>
        <w:spacing w:after="0" w:line="240" w:lineRule="auto"/>
        <w:contextualSpacing/>
        <w:rPr>
          <w:sz w:val="20"/>
          <w:szCs w:val="20"/>
          <w:rtl/>
        </w:rPr>
      </w:pPr>
      <w:r w:rsidRPr="00A671A1">
        <w:rPr>
          <w:rStyle w:val="af2"/>
          <w:sz w:val="20"/>
          <w:szCs w:val="20"/>
        </w:rPr>
        <w:footnoteRef/>
      </w:r>
      <w:r w:rsidRPr="00A671A1">
        <w:rPr>
          <w:sz w:val="20"/>
          <w:szCs w:val="20"/>
          <w:rtl/>
        </w:rPr>
        <w:t xml:space="preserve"> </w:t>
      </w:r>
      <w:r w:rsidRPr="00A671A1">
        <w:rPr>
          <w:rStyle w:val="apple-style-span"/>
          <w:rFonts w:hint="cs"/>
          <w:b/>
          <w:bCs/>
          <w:sz w:val="20"/>
          <w:szCs w:val="20"/>
          <w:rtl/>
        </w:rPr>
        <w:t>עניין חוף עזה</w:t>
      </w:r>
      <w:r w:rsidRPr="00B57EAB">
        <w:rPr>
          <w:rStyle w:val="apple-style-span"/>
          <w:rFonts w:hint="cs"/>
          <w:sz w:val="20"/>
          <w:szCs w:val="20"/>
          <w:rtl/>
        </w:rPr>
        <w:t xml:space="preserve">, </w:t>
      </w:r>
      <w:proofErr w:type="spellStart"/>
      <w:r w:rsidRPr="004A4462">
        <w:rPr>
          <w:rFonts w:hint="cs"/>
          <w:sz w:val="20"/>
          <w:szCs w:val="20"/>
          <w:rtl/>
        </w:rPr>
        <w:t>ה</w:t>
      </w:r>
      <w:r w:rsidRPr="004A4462">
        <w:rPr>
          <w:sz w:val="20"/>
          <w:szCs w:val="20"/>
          <w:rtl/>
        </w:rPr>
        <w:t>"ש</w:t>
      </w:r>
      <w:proofErr w:type="spellEnd"/>
      <w:r w:rsidRPr="004A4462">
        <w:rPr>
          <w:sz w:val="20"/>
          <w:szCs w:val="20"/>
          <w:rtl/>
        </w:rPr>
        <w:t xml:space="preserve"> </w:t>
      </w:r>
      <w:r>
        <w:rPr>
          <w:rFonts w:hint="cs"/>
          <w:sz w:val="20"/>
          <w:szCs w:val="20"/>
          <w:rtl/>
        </w:rPr>
        <w:t>15</w:t>
      </w:r>
      <w:r w:rsidRPr="004A4462">
        <w:rPr>
          <w:sz w:val="20"/>
          <w:szCs w:val="20"/>
          <w:rtl/>
        </w:rPr>
        <w:t xml:space="preserve"> לעיל, </w:t>
      </w:r>
      <w:r w:rsidRPr="00B57EAB">
        <w:rPr>
          <w:rStyle w:val="apple-style-span"/>
          <w:rFonts w:hint="cs"/>
          <w:sz w:val="20"/>
          <w:szCs w:val="20"/>
          <w:rtl/>
        </w:rPr>
        <w:t>בעמ'</w:t>
      </w:r>
      <w:r w:rsidRPr="00A671A1">
        <w:rPr>
          <w:rStyle w:val="apple-style-span"/>
          <w:rFonts w:hint="cs"/>
          <w:sz w:val="20"/>
          <w:szCs w:val="20"/>
          <w:rtl/>
        </w:rPr>
        <w:t xml:space="preserve"> 514, 516-517.</w:t>
      </w:r>
    </w:p>
  </w:footnote>
  <w:footnote w:id="12">
    <w:p w:rsidR="00974DC7" w:rsidRPr="00A671A1" w:rsidRDefault="00974DC7" w:rsidP="00AD1525">
      <w:pPr>
        <w:pStyle w:val="af0"/>
        <w:bidi/>
        <w:contextualSpacing/>
      </w:pPr>
      <w:r w:rsidRPr="00A671A1">
        <w:rPr>
          <w:rStyle w:val="af2"/>
        </w:rPr>
        <w:footnoteRef/>
      </w:r>
      <w:r w:rsidRPr="00A671A1">
        <w:rPr>
          <w:rtl/>
        </w:rPr>
        <w:t xml:space="preserve"> </w:t>
      </w:r>
      <w:proofErr w:type="spellStart"/>
      <w:r w:rsidRPr="00A671A1">
        <w:rPr>
          <w:rFonts w:hint="cs"/>
          <w:rtl/>
        </w:rPr>
        <w:t>דינשטיין</w:t>
      </w:r>
      <w:proofErr w:type="spellEnd"/>
      <w:r w:rsidRPr="00A671A1">
        <w:rPr>
          <w:rFonts w:hint="cs"/>
          <w:rtl/>
        </w:rPr>
        <w:t>, "סמכות החקיקה בשטחים המוחזקים" </w:t>
      </w:r>
      <w:r w:rsidRPr="00A671A1">
        <w:rPr>
          <w:rFonts w:hint="cs"/>
          <w:b/>
          <w:bCs/>
          <w:rtl/>
        </w:rPr>
        <w:t>עיוני משפט ב</w:t>
      </w:r>
      <w:r w:rsidRPr="00A671A1">
        <w:rPr>
          <w:rFonts w:hint="cs"/>
          <w:rtl/>
        </w:rPr>
        <w:t xml:space="preserve"> (תשל"ב-ל"ג), 505, בעמ' 506; </w:t>
      </w:r>
      <w:r w:rsidRPr="00A671A1">
        <w:rPr>
          <w:rFonts w:hint="cs"/>
          <w:b/>
          <w:bCs/>
          <w:rtl/>
        </w:rPr>
        <w:t xml:space="preserve">עניין </w:t>
      </w:r>
      <w:proofErr w:type="spellStart"/>
      <w:r w:rsidRPr="00A671A1">
        <w:rPr>
          <w:rFonts w:hint="cs"/>
          <w:b/>
          <w:bCs/>
          <w:rtl/>
        </w:rPr>
        <w:t>טביב</w:t>
      </w:r>
      <w:proofErr w:type="spellEnd"/>
      <w:r w:rsidRPr="00A671A1">
        <w:rPr>
          <w:rFonts w:hint="cs"/>
          <w:rtl/>
        </w:rPr>
        <w:t xml:space="preserve">, </w:t>
      </w:r>
      <w:proofErr w:type="spellStart"/>
      <w:r>
        <w:rPr>
          <w:rFonts w:hint="cs"/>
          <w:rtl/>
        </w:rPr>
        <w:t>ה"ש</w:t>
      </w:r>
      <w:proofErr w:type="spellEnd"/>
      <w:r>
        <w:rPr>
          <w:rFonts w:hint="cs"/>
          <w:rtl/>
        </w:rPr>
        <w:t xml:space="preserve"> 14 לעיל, </w:t>
      </w:r>
      <w:r w:rsidRPr="00A671A1">
        <w:rPr>
          <w:rFonts w:hint="cs"/>
          <w:rtl/>
        </w:rPr>
        <w:t xml:space="preserve">בעמ' 629-636; </w:t>
      </w:r>
      <w:r w:rsidRPr="00A671A1">
        <w:rPr>
          <w:rFonts w:hint="cs"/>
          <w:b/>
          <w:bCs/>
          <w:rtl/>
        </w:rPr>
        <w:t xml:space="preserve">עניין </w:t>
      </w:r>
      <w:proofErr w:type="spellStart"/>
      <w:r w:rsidRPr="00A671A1">
        <w:rPr>
          <w:rFonts w:hint="cs"/>
          <w:b/>
          <w:bCs/>
          <w:rtl/>
        </w:rPr>
        <w:t>אסכאן</w:t>
      </w:r>
      <w:proofErr w:type="spellEnd"/>
      <w:r w:rsidRPr="00A671A1">
        <w:rPr>
          <w:rFonts w:hint="cs"/>
          <w:rtl/>
        </w:rPr>
        <w:t xml:space="preserve">, </w:t>
      </w:r>
      <w:proofErr w:type="spellStart"/>
      <w:r>
        <w:rPr>
          <w:rFonts w:hint="cs"/>
          <w:rtl/>
        </w:rPr>
        <w:t>ה"ש</w:t>
      </w:r>
      <w:proofErr w:type="spellEnd"/>
      <w:r>
        <w:rPr>
          <w:rFonts w:hint="cs"/>
          <w:rtl/>
        </w:rPr>
        <w:t xml:space="preserve"> 14 לעיל, בעמ' 809</w:t>
      </w:r>
      <w:r w:rsidRPr="00A671A1">
        <w:rPr>
          <w:rFonts w:hint="cs"/>
          <w:rtl/>
        </w:rPr>
        <w:t xml:space="preserve">; </w:t>
      </w:r>
      <w:r w:rsidRPr="00A671A1">
        <w:rPr>
          <w:rFonts w:hint="cs"/>
          <w:b/>
          <w:bCs/>
          <w:rtl/>
        </w:rPr>
        <w:t xml:space="preserve">עניין </w:t>
      </w:r>
      <w:proofErr w:type="spellStart"/>
      <w:r w:rsidRPr="00A671A1">
        <w:rPr>
          <w:rFonts w:hint="cs"/>
          <w:b/>
          <w:bCs/>
          <w:rtl/>
        </w:rPr>
        <w:t>העצני</w:t>
      </w:r>
      <w:proofErr w:type="spellEnd"/>
      <w:r>
        <w:rPr>
          <w:rFonts w:hint="cs"/>
          <w:rtl/>
        </w:rPr>
        <w:t xml:space="preserve">, </w:t>
      </w:r>
      <w:proofErr w:type="spellStart"/>
      <w:r>
        <w:rPr>
          <w:rFonts w:hint="cs"/>
          <w:rtl/>
        </w:rPr>
        <w:t>ה"ש</w:t>
      </w:r>
      <w:proofErr w:type="spellEnd"/>
      <w:r>
        <w:rPr>
          <w:rFonts w:hint="cs"/>
          <w:rtl/>
        </w:rPr>
        <w:t xml:space="preserve"> 1 לעיל</w:t>
      </w:r>
      <w:r w:rsidRPr="00A671A1">
        <w:rPr>
          <w:rFonts w:hint="cs"/>
          <w:rtl/>
        </w:rPr>
        <w:t xml:space="preserve"> ; (1980))</w:t>
      </w:r>
      <w:proofErr w:type="spellStart"/>
      <w:r w:rsidRPr="00A671A1">
        <w:t>Eyal</w:t>
      </w:r>
      <w:proofErr w:type="spellEnd"/>
      <w:r w:rsidRPr="00A671A1">
        <w:t xml:space="preserve"> </w:t>
      </w:r>
      <w:proofErr w:type="spellStart"/>
      <w:r w:rsidRPr="00A671A1">
        <w:t>Benvenisti</w:t>
      </w:r>
      <w:proofErr w:type="spellEnd"/>
      <w:r w:rsidRPr="00A671A1">
        <w:t xml:space="preserve">, Occupation and Territorial Administration, in: Rain </w:t>
      </w:r>
      <w:proofErr w:type="spellStart"/>
      <w:r w:rsidRPr="00A671A1">
        <w:t>Liivoja</w:t>
      </w:r>
      <w:proofErr w:type="spellEnd"/>
      <w:r w:rsidRPr="00A671A1">
        <w:t xml:space="preserve"> and Tim McCormack (ed.), </w:t>
      </w:r>
      <w:proofErr w:type="spellStart"/>
      <w:proofErr w:type="gramStart"/>
      <w:r w:rsidRPr="00A671A1">
        <w:t>Routledge</w:t>
      </w:r>
      <w:proofErr w:type="spellEnd"/>
      <w:r w:rsidRPr="00A671A1">
        <w:t xml:space="preserve"> Handbook of the Law of Armed Conflict, 448 (2016).</w:t>
      </w:r>
      <w:proofErr w:type="gramEnd"/>
    </w:p>
  </w:footnote>
  <w:footnote w:id="13">
    <w:p w:rsidR="00974DC7" w:rsidRPr="00A671A1" w:rsidRDefault="00974DC7" w:rsidP="00A671A1">
      <w:pPr>
        <w:pStyle w:val="af0"/>
        <w:bidi/>
        <w:contextualSpacing/>
        <w:rPr>
          <w:rFonts w:hint="cs"/>
          <w:rtl/>
        </w:rPr>
      </w:pPr>
      <w:r w:rsidRPr="00A671A1">
        <w:rPr>
          <w:rStyle w:val="af2"/>
        </w:rPr>
        <w:footnoteRef/>
      </w:r>
      <w:r w:rsidRPr="00A671A1">
        <w:rPr>
          <w:rtl/>
        </w:rPr>
        <w:t xml:space="preserve"> </w:t>
      </w:r>
      <w:r w:rsidRPr="00A671A1">
        <w:rPr>
          <w:rFonts w:hint="cs"/>
          <w:b/>
          <w:bCs/>
          <w:rtl/>
        </w:rPr>
        <w:t xml:space="preserve">עניין </w:t>
      </w:r>
      <w:proofErr w:type="spellStart"/>
      <w:r w:rsidRPr="00A671A1">
        <w:rPr>
          <w:rFonts w:hint="cs"/>
          <w:b/>
          <w:bCs/>
          <w:rtl/>
        </w:rPr>
        <w:t>אסכאן</w:t>
      </w:r>
      <w:proofErr w:type="spellEnd"/>
      <w:r w:rsidRPr="00A671A1">
        <w:rPr>
          <w:rFonts w:hint="cs"/>
          <w:rtl/>
        </w:rPr>
        <w:t xml:space="preserve">, </w:t>
      </w:r>
      <w:proofErr w:type="spellStart"/>
      <w:r>
        <w:rPr>
          <w:rFonts w:hint="cs"/>
          <w:rtl/>
        </w:rPr>
        <w:t>ה"ש</w:t>
      </w:r>
      <w:proofErr w:type="spellEnd"/>
      <w:r>
        <w:rPr>
          <w:rFonts w:hint="cs"/>
          <w:rtl/>
        </w:rPr>
        <w:t xml:space="preserve"> 14 לעיל, </w:t>
      </w:r>
      <w:r w:rsidRPr="00A671A1">
        <w:rPr>
          <w:rFonts w:hint="cs"/>
          <w:rtl/>
        </w:rPr>
        <w:t>בפס' 17 לפסק הדין.</w:t>
      </w:r>
    </w:p>
  </w:footnote>
  <w:footnote w:id="14">
    <w:p w:rsidR="00974DC7" w:rsidRPr="00A671A1" w:rsidRDefault="00974DC7" w:rsidP="008859ED">
      <w:pPr>
        <w:pStyle w:val="af0"/>
        <w:bidi/>
        <w:contextualSpacing/>
        <w:rPr>
          <w:rtl/>
        </w:rPr>
      </w:pPr>
      <w:r w:rsidRPr="00A671A1">
        <w:rPr>
          <w:rStyle w:val="af2"/>
        </w:rPr>
        <w:footnoteRef/>
      </w:r>
      <w:r w:rsidRPr="00A671A1">
        <w:rPr>
          <w:rtl/>
        </w:rPr>
        <w:t xml:space="preserve"> </w:t>
      </w:r>
      <w:r w:rsidRPr="00A671A1">
        <w:rPr>
          <w:rFonts w:hint="cs"/>
          <w:b/>
          <w:bCs/>
          <w:rtl/>
        </w:rPr>
        <w:t xml:space="preserve">עניין </w:t>
      </w:r>
      <w:proofErr w:type="spellStart"/>
      <w:r w:rsidRPr="00A671A1">
        <w:rPr>
          <w:rFonts w:hint="cs"/>
          <w:b/>
          <w:bCs/>
          <w:rtl/>
        </w:rPr>
        <w:t>אסכאן</w:t>
      </w:r>
      <w:proofErr w:type="spellEnd"/>
      <w:r w:rsidRPr="00A671A1">
        <w:rPr>
          <w:rFonts w:hint="cs"/>
          <w:rtl/>
        </w:rPr>
        <w:t xml:space="preserve">, </w:t>
      </w:r>
      <w:proofErr w:type="spellStart"/>
      <w:r>
        <w:rPr>
          <w:rFonts w:hint="cs"/>
          <w:rtl/>
        </w:rPr>
        <w:t>ה"ש</w:t>
      </w:r>
      <w:proofErr w:type="spellEnd"/>
      <w:r>
        <w:rPr>
          <w:rFonts w:hint="cs"/>
          <w:rtl/>
        </w:rPr>
        <w:t xml:space="preserve"> 14 לעיל, </w:t>
      </w:r>
      <w:r w:rsidRPr="00A671A1">
        <w:rPr>
          <w:rFonts w:hint="cs"/>
          <w:rtl/>
        </w:rPr>
        <w:t>בעמ' 798</w:t>
      </w:r>
      <w:r w:rsidRPr="00641271">
        <w:rPr>
          <w:rFonts w:hint="cs"/>
          <w:rtl/>
        </w:rPr>
        <w:t>; בג"ץ 619</w:t>
      </w:r>
      <w:r w:rsidRPr="00A01B93">
        <w:rPr>
          <w:rtl/>
        </w:rPr>
        <w:t>5</w:t>
      </w:r>
      <w:r w:rsidRPr="00641271">
        <w:rPr>
          <w:rFonts w:hint="cs"/>
          <w:rtl/>
        </w:rPr>
        <w:t xml:space="preserve">/98 </w:t>
      </w:r>
      <w:r w:rsidRPr="00641271">
        <w:rPr>
          <w:rFonts w:hint="cs"/>
          <w:b/>
          <w:bCs/>
          <w:rtl/>
        </w:rPr>
        <w:t>גולדשטיין</w:t>
      </w:r>
      <w:r w:rsidRPr="00F651BD">
        <w:rPr>
          <w:b/>
          <w:bCs/>
          <w:rtl/>
        </w:rPr>
        <w:t xml:space="preserve"> </w:t>
      </w:r>
      <w:r w:rsidRPr="00F651BD">
        <w:rPr>
          <w:rFonts w:hint="cs"/>
          <w:b/>
          <w:bCs/>
          <w:rtl/>
        </w:rPr>
        <w:t>נ'</w:t>
      </w:r>
      <w:r w:rsidRPr="00CB1AD6">
        <w:rPr>
          <w:rFonts w:hint="cs"/>
          <w:b/>
          <w:bCs/>
          <w:rtl/>
        </w:rPr>
        <w:t xml:space="preserve"> אלוף פיקוד המרכז</w:t>
      </w:r>
      <w:r>
        <w:rPr>
          <w:rFonts w:hint="cs"/>
          <w:rtl/>
        </w:rPr>
        <w:t xml:space="preserve">, פ"ד </w:t>
      </w:r>
      <w:proofErr w:type="spellStart"/>
      <w:r>
        <w:rPr>
          <w:rFonts w:hint="cs"/>
          <w:rtl/>
        </w:rPr>
        <w:t>נג</w:t>
      </w:r>
      <w:proofErr w:type="spellEnd"/>
      <w:r>
        <w:rPr>
          <w:rFonts w:hint="cs"/>
          <w:rtl/>
        </w:rPr>
        <w:t>(5) 317, 335 (1999).</w:t>
      </w:r>
    </w:p>
  </w:footnote>
  <w:footnote w:id="15">
    <w:p w:rsidR="00974DC7" w:rsidRPr="00A671A1" w:rsidRDefault="00974DC7" w:rsidP="008B3242">
      <w:pPr>
        <w:bidi/>
        <w:spacing w:after="0" w:line="240" w:lineRule="auto"/>
        <w:contextualSpacing/>
        <w:rPr>
          <w:sz w:val="20"/>
          <w:szCs w:val="20"/>
          <w:rtl/>
        </w:rPr>
      </w:pPr>
      <w:r w:rsidRPr="00A671A1">
        <w:rPr>
          <w:rStyle w:val="af2"/>
          <w:sz w:val="20"/>
          <w:szCs w:val="20"/>
        </w:rPr>
        <w:footnoteRef/>
      </w:r>
      <w:r w:rsidRPr="00A671A1">
        <w:rPr>
          <w:sz w:val="20"/>
          <w:szCs w:val="20"/>
          <w:rtl/>
        </w:rPr>
        <w:t xml:space="preserve"> </w:t>
      </w:r>
      <w:r w:rsidRPr="00B57EAB">
        <w:rPr>
          <w:rFonts w:hint="cs"/>
          <w:b/>
          <w:bCs/>
          <w:sz w:val="20"/>
          <w:szCs w:val="20"/>
          <w:rtl/>
        </w:rPr>
        <w:t xml:space="preserve">עניין </w:t>
      </w:r>
      <w:proofErr w:type="spellStart"/>
      <w:r w:rsidRPr="00B57EAB">
        <w:rPr>
          <w:rFonts w:hint="cs"/>
          <w:b/>
          <w:bCs/>
          <w:sz w:val="20"/>
          <w:szCs w:val="20"/>
          <w:rtl/>
        </w:rPr>
        <w:t>אסכאן</w:t>
      </w:r>
      <w:proofErr w:type="spellEnd"/>
      <w:r w:rsidRPr="00B57EAB">
        <w:rPr>
          <w:rFonts w:hint="cs"/>
          <w:sz w:val="20"/>
          <w:szCs w:val="20"/>
          <w:rtl/>
        </w:rPr>
        <w:t xml:space="preserve">, </w:t>
      </w:r>
      <w:proofErr w:type="spellStart"/>
      <w:r w:rsidRPr="00B57EAB">
        <w:rPr>
          <w:rFonts w:hint="cs"/>
          <w:sz w:val="20"/>
          <w:szCs w:val="20"/>
          <w:rtl/>
        </w:rPr>
        <w:t>ה"ש</w:t>
      </w:r>
      <w:proofErr w:type="spellEnd"/>
      <w:r w:rsidRPr="00B57EAB">
        <w:rPr>
          <w:rFonts w:hint="cs"/>
          <w:sz w:val="20"/>
          <w:szCs w:val="20"/>
          <w:rtl/>
        </w:rPr>
        <w:t xml:space="preserve"> 14 לעיל,</w:t>
      </w:r>
      <w:r w:rsidRPr="004A4462">
        <w:rPr>
          <w:sz w:val="20"/>
          <w:szCs w:val="20"/>
          <w:rtl/>
        </w:rPr>
        <w:t xml:space="preserve"> </w:t>
      </w:r>
      <w:r w:rsidRPr="00B57EAB">
        <w:rPr>
          <w:rFonts w:hint="cs"/>
          <w:sz w:val="20"/>
          <w:szCs w:val="20"/>
          <w:rtl/>
        </w:rPr>
        <w:t xml:space="preserve">בעמ' 794; </w:t>
      </w:r>
      <w:r w:rsidRPr="008B3242">
        <w:rPr>
          <w:rFonts w:hint="cs"/>
          <w:b/>
          <w:bCs/>
          <w:sz w:val="20"/>
          <w:szCs w:val="20"/>
          <w:rtl/>
        </w:rPr>
        <w:t>עניין</w:t>
      </w:r>
      <w:r w:rsidRPr="00B57EAB">
        <w:rPr>
          <w:rFonts w:hint="cs"/>
          <w:sz w:val="20"/>
          <w:szCs w:val="20"/>
          <w:rtl/>
        </w:rPr>
        <w:t xml:space="preserve"> </w:t>
      </w:r>
      <w:r w:rsidRPr="00B57EAB">
        <w:rPr>
          <w:rFonts w:hint="cs"/>
          <w:b/>
          <w:bCs/>
          <w:sz w:val="20"/>
          <w:szCs w:val="20"/>
          <w:rtl/>
        </w:rPr>
        <w:t>הס</w:t>
      </w:r>
      <w:r w:rsidRPr="00B57EAB">
        <w:rPr>
          <w:rFonts w:hint="cs"/>
          <w:sz w:val="20"/>
          <w:szCs w:val="20"/>
          <w:rtl/>
        </w:rPr>
        <w:t xml:space="preserve">, </w:t>
      </w:r>
      <w:proofErr w:type="spellStart"/>
      <w:r w:rsidRPr="00A01B93">
        <w:rPr>
          <w:rFonts w:hint="cs"/>
          <w:sz w:val="20"/>
          <w:szCs w:val="20"/>
          <w:rtl/>
        </w:rPr>
        <w:t>ה</w:t>
      </w:r>
      <w:r w:rsidRPr="00A01B93">
        <w:rPr>
          <w:sz w:val="20"/>
          <w:szCs w:val="20"/>
          <w:rtl/>
        </w:rPr>
        <w:t>"ש</w:t>
      </w:r>
      <w:proofErr w:type="spellEnd"/>
      <w:r w:rsidRPr="00A01B93">
        <w:rPr>
          <w:sz w:val="20"/>
          <w:szCs w:val="20"/>
          <w:rtl/>
        </w:rPr>
        <w:t xml:space="preserve"> </w:t>
      </w:r>
      <w:r>
        <w:rPr>
          <w:rFonts w:hint="cs"/>
          <w:sz w:val="20"/>
          <w:szCs w:val="20"/>
          <w:rtl/>
        </w:rPr>
        <w:t>16</w:t>
      </w:r>
      <w:r w:rsidRPr="00A01B93">
        <w:rPr>
          <w:sz w:val="20"/>
          <w:szCs w:val="20"/>
          <w:rtl/>
        </w:rPr>
        <w:t xml:space="preserve"> לעיל, </w:t>
      </w:r>
      <w:r>
        <w:rPr>
          <w:rFonts w:hint="cs"/>
          <w:sz w:val="20"/>
          <w:szCs w:val="20"/>
          <w:rtl/>
        </w:rPr>
        <w:t xml:space="preserve">עמ' 455; </w:t>
      </w:r>
      <w:r w:rsidRPr="0075335D">
        <w:rPr>
          <w:rFonts w:hint="cs"/>
          <w:sz w:val="20"/>
          <w:szCs w:val="20"/>
          <w:rtl/>
        </w:rPr>
        <w:t xml:space="preserve">בג"ץ 2164/09 </w:t>
      </w:r>
      <w:r w:rsidRPr="0075335D">
        <w:rPr>
          <w:rFonts w:hint="cs"/>
          <w:b/>
          <w:bCs/>
          <w:sz w:val="20"/>
          <w:szCs w:val="20"/>
          <w:rtl/>
        </w:rPr>
        <w:t>יש</w:t>
      </w:r>
      <w:r w:rsidRPr="0075335D">
        <w:rPr>
          <w:b/>
          <w:bCs/>
          <w:sz w:val="20"/>
          <w:szCs w:val="20"/>
          <w:rtl/>
        </w:rPr>
        <w:t xml:space="preserve"> </w:t>
      </w:r>
      <w:r w:rsidRPr="0075335D">
        <w:rPr>
          <w:rFonts w:hint="cs"/>
          <w:b/>
          <w:bCs/>
          <w:sz w:val="20"/>
          <w:szCs w:val="20"/>
          <w:rtl/>
        </w:rPr>
        <w:t>דין</w:t>
      </w:r>
      <w:r w:rsidRPr="0075335D">
        <w:rPr>
          <w:b/>
          <w:bCs/>
          <w:sz w:val="20"/>
          <w:szCs w:val="20"/>
          <w:rtl/>
        </w:rPr>
        <w:t xml:space="preserve">- </w:t>
      </w:r>
      <w:r w:rsidRPr="0075335D">
        <w:rPr>
          <w:rFonts w:hint="cs"/>
          <w:b/>
          <w:bCs/>
          <w:sz w:val="20"/>
          <w:szCs w:val="20"/>
          <w:rtl/>
        </w:rPr>
        <w:t>ארגון</w:t>
      </w:r>
      <w:r w:rsidRPr="0075335D">
        <w:rPr>
          <w:b/>
          <w:bCs/>
          <w:sz w:val="20"/>
          <w:szCs w:val="20"/>
          <w:rtl/>
        </w:rPr>
        <w:t xml:space="preserve"> </w:t>
      </w:r>
      <w:r w:rsidRPr="0075335D">
        <w:rPr>
          <w:rFonts w:hint="cs"/>
          <w:b/>
          <w:bCs/>
          <w:sz w:val="20"/>
          <w:szCs w:val="20"/>
          <w:rtl/>
        </w:rPr>
        <w:t>מתנדבים</w:t>
      </w:r>
      <w:r w:rsidRPr="0075335D">
        <w:rPr>
          <w:b/>
          <w:bCs/>
          <w:sz w:val="20"/>
          <w:szCs w:val="20"/>
          <w:rtl/>
        </w:rPr>
        <w:t xml:space="preserve"> </w:t>
      </w:r>
      <w:r w:rsidRPr="0075335D">
        <w:rPr>
          <w:rFonts w:hint="cs"/>
          <w:b/>
          <w:bCs/>
          <w:sz w:val="20"/>
          <w:szCs w:val="20"/>
          <w:rtl/>
        </w:rPr>
        <w:t>למען</w:t>
      </w:r>
      <w:r w:rsidRPr="0075335D">
        <w:rPr>
          <w:b/>
          <w:bCs/>
          <w:sz w:val="20"/>
          <w:szCs w:val="20"/>
          <w:rtl/>
        </w:rPr>
        <w:t xml:space="preserve"> </w:t>
      </w:r>
      <w:r w:rsidRPr="0075335D">
        <w:rPr>
          <w:rFonts w:hint="cs"/>
          <w:b/>
          <w:bCs/>
          <w:sz w:val="20"/>
          <w:szCs w:val="20"/>
          <w:rtl/>
        </w:rPr>
        <w:t>זכויות</w:t>
      </w:r>
      <w:r w:rsidRPr="0075335D">
        <w:rPr>
          <w:b/>
          <w:bCs/>
          <w:sz w:val="20"/>
          <w:szCs w:val="20"/>
          <w:rtl/>
        </w:rPr>
        <w:t xml:space="preserve"> </w:t>
      </w:r>
      <w:r w:rsidRPr="0075335D">
        <w:rPr>
          <w:rFonts w:hint="cs"/>
          <w:b/>
          <w:bCs/>
          <w:sz w:val="20"/>
          <w:szCs w:val="20"/>
          <w:rtl/>
        </w:rPr>
        <w:t>אדם</w:t>
      </w:r>
      <w:r w:rsidRPr="0075335D">
        <w:rPr>
          <w:b/>
          <w:bCs/>
          <w:sz w:val="20"/>
          <w:szCs w:val="20"/>
          <w:rtl/>
        </w:rPr>
        <w:t xml:space="preserve"> </w:t>
      </w:r>
      <w:r w:rsidRPr="0075335D">
        <w:rPr>
          <w:rFonts w:hint="cs"/>
          <w:sz w:val="20"/>
          <w:szCs w:val="20"/>
          <w:rtl/>
        </w:rPr>
        <w:t>נ</w:t>
      </w:r>
      <w:r w:rsidRPr="0075335D">
        <w:rPr>
          <w:sz w:val="20"/>
          <w:szCs w:val="20"/>
          <w:rtl/>
        </w:rPr>
        <w:t>'</w:t>
      </w:r>
      <w:r w:rsidRPr="0075335D">
        <w:rPr>
          <w:b/>
          <w:bCs/>
          <w:sz w:val="20"/>
          <w:szCs w:val="20"/>
          <w:rtl/>
        </w:rPr>
        <w:t xml:space="preserve"> </w:t>
      </w:r>
      <w:r w:rsidRPr="0075335D">
        <w:rPr>
          <w:rFonts w:hint="cs"/>
          <w:b/>
          <w:bCs/>
          <w:sz w:val="20"/>
          <w:szCs w:val="20"/>
          <w:rtl/>
        </w:rPr>
        <w:t>מפקד</w:t>
      </w:r>
      <w:r w:rsidRPr="0075335D">
        <w:rPr>
          <w:b/>
          <w:bCs/>
          <w:sz w:val="20"/>
          <w:szCs w:val="20"/>
          <w:rtl/>
        </w:rPr>
        <w:t xml:space="preserve"> </w:t>
      </w:r>
      <w:r w:rsidRPr="0075335D">
        <w:rPr>
          <w:rFonts w:hint="cs"/>
          <w:b/>
          <w:bCs/>
          <w:sz w:val="20"/>
          <w:szCs w:val="20"/>
          <w:rtl/>
        </w:rPr>
        <w:t>כוחות</w:t>
      </w:r>
      <w:r w:rsidRPr="0075335D">
        <w:rPr>
          <w:b/>
          <w:bCs/>
          <w:sz w:val="20"/>
          <w:szCs w:val="20"/>
          <w:rtl/>
        </w:rPr>
        <w:t xml:space="preserve"> </w:t>
      </w:r>
      <w:r w:rsidRPr="0075335D">
        <w:rPr>
          <w:rFonts w:hint="cs"/>
          <w:b/>
          <w:bCs/>
          <w:sz w:val="20"/>
          <w:szCs w:val="20"/>
          <w:rtl/>
        </w:rPr>
        <w:t>צה</w:t>
      </w:r>
      <w:r w:rsidRPr="0075335D">
        <w:rPr>
          <w:b/>
          <w:bCs/>
          <w:sz w:val="20"/>
          <w:szCs w:val="20"/>
          <w:rtl/>
        </w:rPr>
        <w:t>"</w:t>
      </w:r>
      <w:r w:rsidRPr="0075335D">
        <w:rPr>
          <w:rFonts w:hint="cs"/>
          <w:b/>
          <w:bCs/>
          <w:sz w:val="20"/>
          <w:szCs w:val="20"/>
          <w:rtl/>
        </w:rPr>
        <w:t>ל</w:t>
      </w:r>
      <w:r w:rsidRPr="0075335D">
        <w:rPr>
          <w:b/>
          <w:bCs/>
          <w:sz w:val="20"/>
          <w:szCs w:val="20"/>
          <w:rtl/>
        </w:rPr>
        <w:t xml:space="preserve"> </w:t>
      </w:r>
      <w:r w:rsidRPr="0075335D">
        <w:rPr>
          <w:rFonts w:hint="cs"/>
          <w:b/>
          <w:bCs/>
          <w:sz w:val="20"/>
          <w:szCs w:val="20"/>
          <w:rtl/>
        </w:rPr>
        <w:t>בגדה</w:t>
      </w:r>
      <w:r w:rsidRPr="0075335D">
        <w:rPr>
          <w:b/>
          <w:bCs/>
          <w:sz w:val="20"/>
          <w:szCs w:val="20"/>
          <w:rtl/>
        </w:rPr>
        <w:t xml:space="preserve"> </w:t>
      </w:r>
      <w:r w:rsidRPr="0075335D">
        <w:rPr>
          <w:rFonts w:hint="cs"/>
          <w:b/>
          <w:bCs/>
          <w:sz w:val="20"/>
          <w:szCs w:val="20"/>
          <w:rtl/>
        </w:rPr>
        <w:t>המערבית</w:t>
      </w:r>
      <w:r w:rsidRPr="0075335D">
        <w:rPr>
          <w:sz w:val="20"/>
          <w:szCs w:val="20"/>
          <w:rtl/>
        </w:rPr>
        <w:t xml:space="preserve">, </w:t>
      </w:r>
      <w:r w:rsidRPr="0075335D">
        <w:rPr>
          <w:rFonts w:hint="cs"/>
          <w:sz w:val="20"/>
          <w:szCs w:val="20"/>
          <w:rtl/>
        </w:rPr>
        <w:t>בעמ</w:t>
      </w:r>
      <w:r w:rsidRPr="0075335D">
        <w:rPr>
          <w:sz w:val="20"/>
          <w:szCs w:val="20"/>
          <w:rtl/>
        </w:rPr>
        <w:t>' 18 (</w:t>
      </w:r>
      <w:r w:rsidRPr="0075335D">
        <w:rPr>
          <w:rFonts w:hint="cs"/>
          <w:sz w:val="20"/>
          <w:szCs w:val="20"/>
          <w:rtl/>
        </w:rPr>
        <w:t xml:space="preserve">טרם פורסם, </w:t>
      </w:r>
      <w:r w:rsidRPr="0075335D">
        <w:rPr>
          <w:sz w:val="20"/>
          <w:szCs w:val="20"/>
          <w:rtl/>
        </w:rPr>
        <w:t>26.12.2011)</w:t>
      </w:r>
      <w:r w:rsidRPr="0075335D">
        <w:rPr>
          <w:rFonts w:hint="cs"/>
          <w:sz w:val="20"/>
          <w:szCs w:val="20"/>
          <w:rtl/>
        </w:rPr>
        <w:t>.</w:t>
      </w:r>
    </w:p>
  </w:footnote>
  <w:footnote w:id="16">
    <w:p w:rsidR="00974DC7" w:rsidRPr="00A671A1" w:rsidRDefault="00974DC7" w:rsidP="00C12836">
      <w:pPr>
        <w:pStyle w:val="af0"/>
        <w:bidi/>
        <w:contextualSpacing/>
        <w:rPr>
          <w:rtl/>
        </w:rPr>
      </w:pPr>
      <w:r w:rsidRPr="00A671A1">
        <w:rPr>
          <w:rStyle w:val="af2"/>
        </w:rPr>
        <w:footnoteRef/>
      </w:r>
      <w:r w:rsidRPr="00A671A1">
        <w:rPr>
          <w:rtl/>
        </w:rPr>
        <w:t xml:space="preserve"> </w:t>
      </w:r>
      <w:proofErr w:type="spellStart"/>
      <w:r w:rsidRPr="00A671A1">
        <w:rPr>
          <w:rFonts w:hint="cs"/>
          <w:b/>
          <w:bCs/>
          <w:rtl/>
        </w:rPr>
        <w:t>מראעבה</w:t>
      </w:r>
      <w:proofErr w:type="spellEnd"/>
      <w:r w:rsidRPr="00A671A1">
        <w:rPr>
          <w:rFonts w:hint="cs"/>
          <w:rtl/>
        </w:rPr>
        <w:t xml:space="preserve">, </w:t>
      </w:r>
      <w:proofErr w:type="spellStart"/>
      <w:r>
        <w:rPr>
          <w:rFonts w:hint="cs"/>
          <w:rtl/>
        </w:rPr>
        <w:t>ה"ש</w:t>
      </w:r>
      <w:proofErr w:type="spellEnd"/>
      <w:r>
        <w:rPr>
          <w:rFonts w:hint="cs"/>
          <w:rtl/>
        </w:rPr>
        <w:t xml:space="preserve"> 14 לעיל, פס' 19 לפסק הדין</w:t>
      </w:r>
      <w:r w:rsidRPr="00A671A1">
        <w:rPr>
          <w:rFonts w:hint="cs"/>
          <w:rtl/>
        </w:rPr>
        <w:t xml:space="preserve">; 2577/04 </w:t>
      </w:r>
      <w:r w:rsidRPr="00D40F4A">
        <w:rPr>
          <w:rFonts w:hint="cs"/>
          <w:b/>
          <w:bCs/>
          <w:rtl/>
        </w:rPr>
        <w:t>אל</w:t>
      </w:r>
      <w:r w:rsidRPr="00D40F4A">
        <w:rPr>
          <w:b/>
          <w:bCs/>
          <w:rtl/>
        </w:rPr>
        <w:t xml:space="preserve"> </w:t>
      </w:r>
      <w:r w:rsidRPr="00D40F4A">
        <w:rPr>
          <w:rFonts w:hint="cs"/>
          <w:b/>
          <w:bCs/>
          <w:rtl/>
        </w:rPr>
        <w:t>חוואג</w:t>
      </w:r>
      <w:r w:rsidRPr="00D40F4A">
        <w:rPr>
          <w:b/>
          <w:bCs/>
          <w:rtl/>
        </w:rPr>
        <w:t>'ה</w:t>
      </w:r>
      <w:r w:rsidRPr="00A671A1">
        <w:rPr>
          <w:rFonts w:hint="cs"/>
          <w:rtl/>
        </w:rPr>
        <w:t xml:space="preserve">, </w:t>
      </w:r>
      <w:proofErr w:type="spellStart"/>
      <w:r>
        <w:rPr>
          <w:rFonts w:hint="cs"/>
          <w:rtl/>
        </w:rPr>
        <w:t>ה"ש</w:t>
      </w:r>
      <w:proofErr w:type="spellEnd"/>
      <w:r>
        <w:rPr>
          <w:rFonts w:hint="cs"/>
          <w:rtl/>
        </w:rPr>
        <w:t xml:space="preserve"> 14 לעיל, </w:t>
      </w:r>
      <w:r w:rsidRPr="00A671A1">
        <w:rPr>
          <w:rFonts w:hint="cs"/>
          <w:rtl/>
        </w:rPr>
        <w:t xml:space="preserve">עמ' 21-22.  </w:t>
      </w:r>
    </w:p>
  </w:footnote>
  <w:footnote w:id="17">
    <w:p w:rsidR="00974DC7" w:rsidRPr="00A671A1" w:rsidRDefault="00974DC7" w:rsidP="00586047">
      <w:pPr>
        <w:pStyle w:val="af0"/>
        <w:bidi/>
        <w:contextualSpacing/>
        <w:rPr>
          <w:rtl/>
        </w:rPr>
      </w:pPr>
      <w:r w:rsidRPr="00A671A1">
        <w:rPr>
          <w:rStyle w:val="af2"/>
        </w:rPr>
        <w:footnoteRef/>
      </w:r>
      <w:r w:rsidRPr="00A671A1">
        <w:rPr>
          <w:rtl/>
        </w:rPr>
        <w:t xml:space="preserve"> </w:t>
      </w:r>
      <w:r w:rsidRPr="00A671A1">
        <w:rPr>
          <w:rtl/>
        </w:rPr>
        <w:t>השוו ל</w:t>
      </w:r>
      <w:r w:rsidRPr="00A671A1">
        <w:rPr>
          <w:rFonts w:hint="cs"/>
          <w:b/>
          <w:bCs/>
          <w:rtl/>
        </w:rPr>
        <w:t xml:space="preserve">עניין </w:t>
      </w:r>
      <w:r w:rsidRPr="00A671A1">
        <w:rPr>
          <w:b/>
          <w:bCs/>
          <w:rtl/>
        </w:rPr>
        <w:t>אבו עיטה</w:t>
      </w:r>
      <w:r w:rsidRPr="00A671A1">
        <w:rPr>
          <w:rtl/>
        </w:rPr>
        <w:t xml:space="preserve">, </w:t>
      </w:r>
      <w:proofErr w:type="spellStart"/>
      <w:r>
        <w:rPr>
          <w:rFonts w:hint="cs"/>
          <w:rtl/>
        </w:rPr>
        <w:t>ה"ש</w:t>
      </w:r>
      <w:proofErr w:type="spellEnd"/>
      <w:r>
        <w:rPr>
          <w:rFonts w:hint="cs"/>
          <w:rtl/>
        </w:rPr>
        <w:t xml:space="preserve"> 14 לעיל, </w:t>
      </w:r>
      <w:r w:rsidRPr="00A671A1">
        <w:rPr>
          <w:rtl/>
        </w:rPr>
        <w:t>פסקה 12</w:t>
      </w:r>
      <w:r w:rsidRPr="00A671A1">
        <w:rPr>
          <w:rFonts w:hint="cs"/>
          <w:rtl/>
        </w:rPr>
        <w:t xml:space="preserve">; </w:t>
      </w:r>
      <w:r w:rsidRPr="00A671A1">
        <w:rPr>
          <w:rtl/>
        </w:rPr>
        <w:t xml:space="preserve">ולבג"ץ 591/88 </w:t>
      </w:r>
      <w:proofErr w:type="spellStart"/>
      <w:r w:rsidRPr="00A671A1">
        <w:rPr>
          <w:b/>
          <w:bCs/>
          <w:rtl/>
        </w:rPr>
        <w:t>טאהה</w:t>
      </w:r>
      <w:proofErr w:type="spellEnd"/>
      <w:r w:rsidRPr="00A671A1">
        <w:rPr>
          <w:rtl/>
        </w:rPr>
        <w:t>, בעמ' 63.</w:t>
      </w:r>
    </w:p>
  </w:footnote>
  <w:footnote w:id="18">
    <w:p w:rsidR="00974DC7" w:rsidRPr="00A671A1" w:rsidRDefault="00974DC7" w:rsidP="00586047">
      <w:pPr>
        <w:pStyle w:val="af0"/>
        <w:bidi/>
        <w:contextualSpacing/>
      </w:pPr>
      <w:r w:rsidRPr="00A671A1">
        <w:rPr>
          <w:rStyle w:val="af2"/>
        </w:rPr>
        <w:footnoteRef/>
      </w:r>
      <w:r w:rsidRPr="00A671A1">
        <w:rPr>
          <w:rtl/>
        </w:rPr>
        <w:t xml:space="preserve"> </w:t>
      </w:r>
      <w:r w:rsidRPr="00A671A1">
        <w:rPr>
          <w:rFonts w:hint="cs"/>
          <w:rtl/>
        </w:rPr>
        <w:t xml:space="preserve">עניין </w:t>
      </w:r>
      <w:proofErr w:type="spellStart"/>
      <w:r w:rsidRPr="00A671A1">
        <w:rPr>
          <w:rFonts w:hint="cs"/>
          <w:b/>
          <w:bCs/>
          <w:rtl/>
        </w:rPr>
        <w:t>דויקאת</w:t>
      </w:r>
      <w:proofErr w:type="spellEnd"/>
      <w:r>
        <w:rPr>
          <w:rFonts w:hint="cs"/>
          <w:rtl/>
        </w:rPr>
        <w:t xml:space="preserve">, </w:t>
      </w:r>
      <w:proofErr w:type="spellStart"/>
      <w:r>
        <w:rPr>
          <w:rFonts w:hint="cs"/>
          <w:rtl/>
        </w:rPr>
        <w:t>ה"ש</w:t>
      </w:r>
      <w:proofErr w:type="spellEnd"/>
      <w:r>
        <w:rPr>
          <w:rFonts w:hint="cs"/>
          <w:rtl/>
        </w:rPr>
        <w:t xml:space="preserve"> 14 לעיל. </w:t>
      </w:r>
    </w:p>
  </w:footnote>
  <w:footnote w:id="19">
    <w:p w:rsidR="00974DC7" w:rsidRPr="00686F8D" w:rsidRDefault="00974DC7" w:rsidP="006E4470">
      <w:pPr>
        <w:pStyle w:val="af0"/>
        <w:bidi/>
        <w:rPr>
          <w:rtl/>
        </w:rPr>
      </w:pPr>
      <w:r>
        <w:rPr>
          <w:rStyle w:val="af2"/>
        </w:rPr>
        <w:footnoteRef/>
      </w:r>
      <w:r>
        <w:rPr>
          <w:rFonts w:hint="cs"/>
          <w:rtl/>
        </w:rPr>
        <w:t xml:space="preserve"> </w:t>
      </w:r>
      <w:r>
        <w:rPr>
          <w:rFonts w:hint="cs"/>
          <w:rtl/>
        </w:rPr>
        <w:t xml:space="preserve">נוכח זאת, טיעון נוסף יכול להיות שהוראות החוק </w:t>
      </w:r>
      <w:r>
        <w:rPr>
          <w:rStyle w:val="apple-style-span"/>
          <w:rFonts w:hint="cs"/>
          <w:rtl/>
        </w:rPr>
        <w:t>שוללות את שיקול הדעת של המפקד הצבאי בניגוד לדיני התפיסה הלוחמתית.</w:t>
      </w:r>
    </w:p>
  </w:footnote>
  <w:footnote w:id="20">
    <w:p w:rsidR="00974DC7" w:rsidRDefault="00974DC7" w:rsidP="006E4470">
      <w:pPr>
        <w:pStyle w:val="af0"/>
        <w:bidi/>
        <w:rPr>
          <w:rtl/>
        </w:rPr>
      </w:pPr>
      <w:r>
        <w:rPr>
          <w:rStyle w:val="af2"/>
        </w:rPr>
        <w:footnoteRef/>
      </w:r>
      <w:r>
        <w:t xml:space="preserve"> </w:t>
      </w:r>
      <w:r>
        <w:rPr>
          <w:rFonts w:hint="cs"/>
          <w:rtl/>
        </w:rPr>
        <w:t xml:space="preserve"> </w:t>
      </w:r>
      <w:r>
        <w:rPr>
          <w:rFonts w:hint="cs"/>
          <w:rtl/>
        </w:rPr>
        <w:t xml:space="preserve">השווה לעניין </w:t>
      </w:r>
      <w:r w:rsidRPr="00A01B93">
        <w:rPr>
          <w:rFonts w:hint="cs"/>
          <w:b/>
          <w:bCs/>
          <w:rtl/>
        </w:rPr>
        <w:t xml:space="preserve">בית </w:t>
      </w:r>
      <w:proofErr w:type="spellStart"/>
      <w:r w:rsidRPr="00A01B93">
        <w:rPr>
          <w:rFonts w:hint="cs"/>
          <w:b/>
          <w:bCs/>
          <w:rtl/>
        </w:rPr>
        <w:t>איכסא</w:t>
      </w:r>
      <w:proofErr w:type="spellEnd"/>
      <w:r>
        <w:rPr>
          <w:rFonts w:hint="cs"/>
          <w:rtl/>
        </w:rPr>
        <w:t xml:space="preserve">, סעיף 31 לפסק הדין. </w:t>
      </w:r>
    </w:p>
  </w:footnote>
  <w:footnote w:id="21">
    <w:p w:rsidR="00974DC7" w:rsidRPr="00A671A1" w:rsidRDefault="00974DC7" w:rsidP="006E4470">
      <w:pPr>
        <w:pStyle w:val="af0"/>
        <w:bidi/>
        <w:contextualSpacing/>
      </w:pPr>
      <w:r w:rsidRPr="00A671A1">
        <w:rPr>
          <w:rStyle w:val="af2"/>
        </w:rPr>
        <w:footnoteRef/>
      </w:r>
      <w:r w:rsidRPr="00A671A1">
        <w:rPr>
          <w:rtl/>
        </w:rPr>
        <w:t xml:space="preserve"> </w:t>
      </w:r>
      <w:r w:rsidRPr="00A671A1">
        <w:rPr>
          <w:rFonts w:hint="cs"/>
          <w:rtl/>
        </w:rPr>
        <w:t xml:space="preserve">ראה עניין </w:t>
      </w:r>
      <w:proofErr w:type="spellStart"/>
      <w:r w:rsidRPr="00A671A1">
        <w:rPr>
          <w:rFonts w:hint="cs"/>
          <w:b/>
          <w:bCs/>
          <w:rtl/>
        </w:rPr>
        <w:t>דויקאת</w:t>
      </w:r>
      <w:proofErr w:type="spellEnd"/>
      <w:r w:rsidRPr="00A671A1">
        <w:rPr>
          <w:rFonts w:hint="cs"/>
          <w:rtl/>
        </w:rPr>
        <w:t xml:space="preserve">, </w:t>
      </w:r>
      <w:proofErr w:type="spellStart"/>
      <w:r>
        <w:rPr>
          <w:rFonts w:hint="cs"/>
          <w:rtl/>
        </w:rPr>
        <w:t>ה"ש</w:t>
      </w:r>
      <w:proofErr w:type="spellEnd"/>
      <w:r>
        <w:rPr>
          <w:rFonts w:hint="cs"/>
          <w:rtl/>
        </w:rPr>
        <w:t xml:space="preserve"> 14 לעיל, ב</w:t>
      </w:r>
      <w:r w:rsidRPr="00A671A1">
        <w:rPr>
          <w:rFonts w:hint="cs"/>
          <w:rtl/>
        </w:rPr>
        <w:t>עמ' 19-20.</w:t>
      </w:r>
    </w:p>
  </w:footnote>
  <w:footnote w:id="22">
    <w:p w:rsidR="00974DC7" w:rsidRPr="00A671A1" w:rsidRDefault="00974DC7" w:rsidP="006E4470">
      <w:pPr>
        <w:pStyle w:val="af0"/>
        <w:bidi/>
        <w:contextualSpacing/>
      </w:pPr>
      <w:r w:rsidRPr="00A671A1">
        <w:rPr>
          <w:rStyle w:val="af2"/>
        </w:rPr>
        <w:footnoteRef/>
      </w:r>
      <w:r w:rsidRPr="00A671A1">
        <w:rPr>
          <w:rtl/>
        </w:rPr>
        <w:t xml:space="preserve"> </w:t>
      </w:r>
      <w:r w:rsidRPr="00A671A1">
        <w:rPr>
          <w:rFonts w:hint="cs"/>
          <w:rtl/>
        </w:rPr>
        <w:t xml:space="preserve">ראה עניין בית </w:t>
      </w:r>
      <w:proofErr w:type="spellStart"/>
      <w:r w:rsidRPr="00A671A1">
        <w:rPr>
          <w:rFonts w:hint="cs"/>
          <w:b/>
          <w:bCs/>
          <w:rtl/>
        </w:rPr>
        <w:t>סוריק</w:t>
      </w:r>
      <w:proofErr w:type="spellEnd"/>
      <w:r w:rsidRPr="00A671A1">
        <w:rPr>
          <w:rFonts w:hint="cs"/>
          <w:rtl/>
        </w:rPr>
        <w:t xml:space="preserve">, </w:t>
      </w:r>
      <w:proofErr w:type="spellStart"/>
      <w:r>
        <w:rPr>
          <w:rFonts w:hint="cs"/>
          <w:rtl/>
        </w:rPr>
        <w:t>ה"ש</w:t>
      </w:r>
      <w:proofErr w:type="spellEnd"/>
      <w:r>
        <w:rPr>
          <w:rFonts w:hint="cs"/>
          <w:rtl/>
        </w:rPr>
        <w:t xml:space="preserve"> 14 לעיל, </w:t>
      </w:r>
      <w:r w:rsidRPr="00A671A1">
        <w:rPr>
          <w:rFonts w:hint="cs"/>
          <w:rtl/>
        </w:rPr>
        <w:t xml:space="preserve">בעמ' 828-830; ועניין </w:t>
      </w:r>
      <w:proofErr w:type="spellStart"/>
      <w:r w:rsidRPr="00A671A1">
        <w:rPr>
          <w:rFonts w:hint="cs"/>
          <w:b/>
          <w:bCs/>
          <w:rtl/>
        </w:rPr>
        <w:t>מראעבה</w:t>
      </w:r>
      <w:proofErr w:type="spellEnd"/>
      <w:r w:rsidRPr="00A671A1">
        <w:rPr>
          <w:rFonts w:hint="cs"/>
          <w:rtl/>
        </w:rPr>
        <w:t xml:space="preserve">, </w:t>
      </w:r>
      <w:proofErr w:type="spellStart"/>
      <w:r>
        <w:rPr>
          <w:rFonts w:hint="cs"/>
          <w:rtl/>
        </w:rPr>
        <w:t>ה"ש</w:t>
      </w:r>
      <w:proofErr w:type="spellEnd"/>
      <w:r>
        <w:rPr>
          <w:rFonts w:hint="cs"/>
          <w:rtl/>
        </w:rPr>
        <w:t xml:space="preserve"> 14 לעיל, פס' 19 לפסק הדין.</w:t>
      </w:r>
    </w:p>
  </w:footnote>
  <w:footnote w:id="23">
    <w:p w:rsidR="00974DC7" w:rsidRPr="00C12836" w:rsidRDefault="00974DC7" w:rsidP="006E4470">
      <w:pPr>
        <w:pStyle w:val="af0"/>
        <w:bidi/>
        <w:jc w:val="left"/>
        <w:rPr>
          <w:rFonts w:hint="cs"/>
          <w:rtl/>
        </w:rPr>
      </w:pPr>
      <w:r w:rsidRPr="00C12836">
        <w:rPr>
          <w:rStyle w:val="af2"/>
          <w:highlight w:val="yellow"/>
        </w:rPr>
        <w:footnoteRef/>
      </w:r>
      <w:proofErr w:type="spellStart"/>
      <w:r w:rsidRPr="00C12836">
        <w:rPr>
          <w:rFonts w:hint="cs"/>
          <w:highlight w:val="yellow"/>
          <w:rtl/>
        </w:rPr>
        <w:t>שעאר</w:t>
      </w:r>
      <w:proofErr w:type="spellEnd"/>
      <w:r w:rsidRPr="00C12836">
        <w:rPr>
          <w:rFonts w:hint="cs"/>
          <w:highlight w:val="yellow"/>
          <w:rtl/>
        </w:rPr>
        <w:t xml:space="preserve"> 679</w:t>
      </w:r>
    </w:p>
  </w:footnote>
  <w:footnote w:id="24">
    <w:p w:rsidR="00974DC7" w:rsidRPr="00A671A1" w:rsidRDefault="00974DC7" w:rsidP="00311364">
      <w:pPr>
        <w:pStyle w:val="af0"/>
        <w:bidi/>
        <w:contextualSpacing/>
      </w:pPr>
      <w:r w:rsidRPr="00A671A1">
        <w:rPr>
          <w:rStyle w:val="af2"/>
        </w:rPr>
        <w:footnoteRef/>
      </w:r>
      <w:r w:rsidRPr="004A4462">
        <w:rPr>
          <w:b/>
          <w:bCs/>
          <w:rtl/>
        </w:rPr>
        <w:t xml:space="preserve"> </w:t>
      </w:r>
      <w:r w:rsidRPr="004A4462">
        <w:rPr>
          <w:rFonts w:hint="cs"/>
          <w:b/>
          <w:bCs/>
          <w:rtl/>
        </w:rPr>
        <w:t>עניין</w:t>
      </w:r>
      <w:r w:rsidRPr="00A671A1">
        <w:rPr>
          <w:rFonts w:hint="cs"/>
          <w:rtl/>
        </w:rPr>
        <w:t xml:space="preserve"> </w:t>
      </w:r>
      <w:proofErr w:type="spellStart"/>
      <w:r w:rsidRPr="00A671A1">
        <w:rPr>
          <w:rFonts w:hint="cs"/>
          <w:b/>
          <w:bCs/>
          <w:rtl/>
        </w:rPr>
        <w:t>אסכאן</w:t>
      </w:r>
      <w:proofErr w:type="spellEnd"/>
      <w:r w:rsidRPr="00A671A1">
        <w:rPr>
          <w:rFonts w:hint="cs"/>
          <w:rtl/>
        </w:rPr>
        <w:t xml:space="preserve">, </w:t>
      </w:r>
      <w:proofErr w:type="spellStart"/>
      <w:r>
        <w:rPr>
          <w:rFonts w:hint="cs"/>
          <w:rtl/>
        </w:rPr>
        <w:t>ה"ש</w:t>
      </w:r>
      <w:proofErr w:type="spellEnd"/>
      <w:r>
        <w:rPr>
          <w:rFonts w:hint="cs"/>
          <w:rtl/>
        </w:rPr>
        <w:t xml:space="preserve"> 14 לעיל, </w:t>
      </w:r>
      <w:r w:rsidRPr="00A671A1">
        <w:rPr>
          <w:rFonts w:hint="cs"/>
          <w:rtl/>
        </w:rPr>
        <w:t xml:space="preserve">בעמ' 798; עניין </w:t>
      </w:r>
      <w:proofErr w:type="spellStart"/>
      <w:r w:rsidRPr="00A671A1">
        <w:rPr>
          <w:rFonts w:hint="cs"/>
          <w:b/>
          <w:bCs/>
          <w:rtl/>
        </w:rPr>
        <w:t>טביב</w:t>
      </w:r>
      <w:proofErr w:type="spellEnd"/>
      <w:r w:rsidRPr="00A671A1">
        <w:rPr>
          <w:rFonts w:hint="cs"/>
          <w:rtl/>
        </w:rPr>
        <w:t xml:space="preserve">, </w:t>
      </w:r>
      <w:proofErr w:type="spellStart"/>
      <w:r>
        <w:rPr>
          <w:rFonts w:hint="cs"/>
          <w:rtl/>
        </w:rPr>
        <w:t>ה"ש</w:t>
      </w:r>
      <w:proofErr w:type="spellEnd"/>
      <w:r>
        <w:rPr>
          <w:rFonts w:hint="cs"/>
          <w:rtl/>
        </w:rPr>
        <w:t xml:space="preserve"> 14 לעיל, </w:t>
      </w:r>
      <w:r w:rsidRPr="00A671A1">
        <w:rPr>
          <w:rFonts w:hint="cs"/>
          <w:rtl/>
        </w:rPr>
        <w:t>בעמ' 628.</w:t>
      </w:r>
    </w:p>
  </w:footnote>
  <w:footnote w:id="25">
    <w:p w:rsidR="00974DC7" w:rsidRPr="00C12836" w:rsidRDefault="00974DC7" w:rsidP="00311364">
      <w:pPr>
        <w:pStyle w:val="af0"/>
        <w:bidi/>
        <w:rPr>
          <w:rFonts w:hint="cs"/>
          <w:rtl/>
        </w:rPr>
      </w:pPr>
      <w:r w:rsidRPr="00311364">
        <w:rPr>
          <w:rStyle w:val="af2"/>
        </w:rPr>
        <w:footnoteRef/>
      </w:r>
      <w:r w:rsidRPr="00311364">
        <w:rPr>
          <w:rFonts w:hint="cs"/>
          <w:rtl/>
        </w:rPr>
        <w:t xml:space="preserve"> </w:t>
      </w:r>
      <w:hyperlink r:id="rId1" w:history="1">
        <w:r w:rsidRPr="00311364">
          <w:rPr>
            <w:rtl/>
          </w:rPr>
          <w:t>בג"ץ 2150/07</w:t>
        </w:r>
      </w:hyperlink>
      <w:r w:rsidRPr="00311364">
        <w:rPr>
          <w:rFonts w:hint="cs"/>
          <w:rtl/>
        </w:rPr>
        <w:t xml:space="preserve"> </w:t>
      </w:r>
      <w:r w:rsidRPr="00311364">
        <w:rPr>
          <w:rFonts w:ascii="Arial" w:hAnsi="Arial"/>
          <w:b/>
          <w:bCs/>
          <w:color w:val="FFFFFF"/>
          <w:sz w:val="18"/>
          <w:szCs w:val="18"/>
          <w:rtl/>
        </w:rPr>
        <w:t xml:space="preserve"> </w:t>
      </w:r>
      <w:r w:rsidRPr="00311364">
        <w:rPr>
          <w:b/>
          <w:bCs/>
          <w:rtl/>
        </w:rPr>
        <w:t xml:space="preserve">עלי </w:t>
      </w:r>
      <w:proofErr w:type="spellStart"/>
      <w:r w:rsidRPr="00311364">
        <w:rPr>
          <w:b/>
          <w:bCs/>
          <w:rtl/>
        </w:rPr>
        <w:t>חסיין</w:t>
      </w:r>
      <w:proofErr w:type="spellEnd"/>
      <w:r w:rsidRPr="00311364">
        <w:rPr>
          <w:b/>
          <w:bCs/>
          <w:rtl/>
        </w:rPr>
        <w:t xml:space="preserve"> מחמוד אבו צפייה, ראש מועצת הכפר בית </w:t>
      </w:r>
      <w:proofErr w:type="spellStart"/>
      <w:r w:rsidRPr="00311364">
        <w:rPr>
          <w:b/>
          <w:bCs/>
          <w:rtl/>
        </w:rPr>
        <w:t>סירא</w:t>
      </w:r>
      <w:proofErr w:type="spellEnd"/>
      <w:r w:rsidRPr="00311364">
        <w:rPr>
          <w:b/>
          <w:bCs/>
          <w:rtl/>
        </w:rPr>
        <w:t xml:space="preserve"> ו-24 אח' נ' שר הביטחון</w:t>
      </w:r>
      <w:r w:rsidRPr="00311364">
        <w:rPr>
          <w:rtl/>
        </w:rPr>
        <w:t xml:space="preserve"> , </w:t>
      </w:r>
      <w:proofErr w:type="spellStart"/>
      <w:r w:rsidRPr="00311364">
        <w:rPr>
          <w:rtl/>
        </w:rPr>
        <w:t>סג</w:t>
      </w:r>
      <w:proofErr w:type="spellEnd"/>
      <w:r w:rsidRPr="00311364">
        <w:rPr>
          <w:rtl/>
        </w:rPr>
        <w:t xml:space="preserve"> (3) 331</w:t>
      </w:r>
      <w:r w:rsidRPr="00311364">
        <w:rPr>
          <w:rFonts w:hint="cs"/>
          <w:rtl/>
        </w:rPr>
        <w:t>, 350-351</w:t>
      </w:r>
      <w:r>
        <w:rPr>
          <w:rFonts w:hint="cs"/>
          <w:rtl/>
        </w:rPr>
        <w:t xml:space="preserve"> (להלן: </w:t>
      </w:r>
      <w:r w:rsidRPr="00D40F4A">
        <w:rPr>
          <w:rFonts w:hint="cs"/>
          <w:b/>
          <w:bCs/>
          <w:rtl/>
        </w:rPr>
        <w:t>עניין</w:t>
      </w:r>
      <w:r w:rsidRPr="00D40F4A">
        <w:rPr>
          <w:b/>
          <w:bCs/>
          <w:rtl/>
        </w:rPr>
        <w:t xml:space="preserve"> </w:t>
      </w:r>
      <w:r w:rsidRPr="00D40F4A">
        <w:rPr>
          <w:rFonts w:hint="cs"/>
          <w:b/>
          <w:bCs/>
          <w:rtl/>
        </w:rPr>
        <w:t>אבו</w:t>
      </w:r>
      <w:r w:rsidRPr="00D40F4A">
        <w:rPr>
          <w:b/>
          <w:bCs/>
          <w:rtl/>
        </w:rPr>
        <w:t xml:space="preserve"> </w:t>
      </w:r>
      <w:r w:rsidRPr="00D40F4A">
        <w:rPr>
          <w:rFonts w:hint="cs"/>
          <w:b/>
          <w:bCs/>
          <w:rtl/>
        </w:rPr>
        <w:t>צפייה</w:t>
      </w:r>
      <w:r>
        <w:rPr>
          <w:rFonts w:hint="cs"/>
          <w:rtl/>
        </w:rPr>
        <w:t>)</w:t>
      </w:r>
    </w:p>
  </w:footnote>
  <w:footnote w:id="26">
    <w:p w:rsidR="00974DC7" w:rsidRPr="00A671A1" w:rsidRDefault="00974DC7" w:rsidP="00A01B93">
      <w:pPr>
        <w:bidi/>
        <w:spacing w:after="0" w:line="240" w:lineRule="auto"/>
        <w:contextualSpacing/>
        <w:rPr>
          <w:sz w:val="20"/>
          <w:szCs w:val="20"/>
          <w:rtl/>
        </w:rPr>
      </w:pPr>
      <w:r w:rsidRPr="00A671A1">
        <w:rPr>
          <w:rStyle w:val="af2"/>
          <w:sz w:val="20"/>
          <w:szCs w:val="20"/>
        </w:rPr>
        <w:footnoteRef/>
      </w:r>
      <w:r w:rsidRPr="00A671A1">
        <w:rPr>
          <w:sz w:val="20"/>
          <w:szCs w:val="20"/>
          <w:rtl/>
        </w:rPr>
        <w:t xml:space="preserve"> </w:t>
      </w:r>
      <w:r w:rsidRPr="00A671A1">
        <w:rPr>
          <w:rFonts w:hint="cs"/>
          <w:sz w:val="20"/>
          <w:szCs w:val="20"/>
          <w:rtl/>
        </w:rPr>
        <w:t>סעיף 4 לאמנת ג'נבה הרביעית; ראו גם בפס' 12 ל</w:t>
      </w:r>
      <w:r w:rsidRPr="00A671A1">
        <w:rPr>
          <w:rFonts w:hint="cs"/>
          <w:b/>
          <w:bCs/>
          <w:sz w:val="20"/>
          <w:szCs w:val="20"/>
          <w:rtl/>
        </w:rPr>
        <w:t>עניין חוף עזה</w:t>
      </w:r>
      <w:r w:rsidRPr="00A671A1">
        <w:rPr>
          <w:rFonts w:hint="cs"/>
          <w:sz w:val="20"/>
          <w:szCs w:val="20"/>
          <w:rtl/>
        </w:rPr>
        <w:t xml:space="preserve">, </w:t>
      </w:r>
      <w:proofErr w:type="spellStart"/>
      <w:r w:rsidRPr="004A4462">
        <w:rPr>
          <w:rFonts w:hint="cs"/>
          <w:sz w:val="20"/>
          <w:szCs w:val="20"/>
          <w:rtl/>
        </w:rPr>
        <w:t>ה</w:t>
      </w:r>
      <w:r w:rsidRPr="004A4462">
        <w:rPr>
          <w:sz w:val="20"/>
          <w:szCs w:val="20"/>
          <w:rtl/>
        </w:rPr>
        <w:t>"ש</w:t>
      </w:r>
      <w:proofErr w:type="spellEnd"/>
      <w:r w:rsidRPr="004A4462">
        <w:rPr>
          <w:sz w:val="20"/>
          <w:szCs w:val="20"/>
          <w:rtl/>
        </w:rPr>
        <w:t xml:space="preserve"> </w:t>
      </w:r>
      <w:r>
        <w:rPr>
          <w:rFonts w:hint="cs"/>
          <w:sz w:val="20"/>
          <w:szCs w:val="20"/>
          <w:rtl/>
        </w:rPr>
        <w:t>15</w:t>
      </w:r>
      <w:r w:rsidRPr="004A4462">
        <w:rPr>
          <w:sz w:val="20"/>
          <w:szCs w:val="20"/>
          <w:rtl/>
        </w:rPr>
        <w:t xml:space="preserve"> לעיל,</w:t>
      </w:r>
      <w:r>
        <w:rPr>
          <w:rFonts w:hint="cs"/>
          <w:rtl/>
        </w:rPr>
        <w:t xml:space="preserve"> </w:t>
      </w:r>
      <w:r w:rsidRPr="00A671A1">
        <w:rPr>
          <w:rFonts w:hint="cs"/>
          <w:sz w:val="20"/>
          <w:szCs w:val="20"/>
          <w:rtl/>
        </w:rPr>
        <w:t>הקובע כך: "מלחמת ששת הימים הביאה בעקבותיה להתיישבות ישראלית ביהודה, שומרון וחבל עזה.... המתיישבים הם רובם ככולם אזרחים ישראליים. בשל כך אין הם נופלים לגדר "אנשים מוגנים"</w:t>
      </w:r>
      <w:r w:rsidRPr="00A671A1">
        <w:rPr>
          <w:rFonts w:hint="cs"/>
          <w:sz w:val="20"/>
          <w:szCs w:val="20"/>
        </w:rPr>
        <w:t xml:space="preserve"> (</w:t>
      </w:r>
      <w:r w:rsidRPr="00A671A1">
        <w:rPr>
          <w:sz w:val="20"/>
          <w:szCs w:val="20"/>
        </w:rPr>
        <w:t>protected persons</w:t>
      </w:r>
      <w:r w:rsidRPr="00A671A1">
        <w:rPr>
          <w:rFonts w:hint="cs"/>
          <w:sz w:val="20"/>
          <w:szCs w:val="20"/>
        </w:rPr>
        <w:t xml:space="preserve">) </w:t>
      </w:r>
      <w:r w:rsidRPr="00A671A1">
        <w:rPr>
          <w:rFonts w:hint="cs"/>
          <w:sz w:val="20"/>
          <w:szCs w:val="20"/>
          <w:rtl/>
        </w:rPr>
        <w:t>כמשמעות דיבור זה באמנת ג'נבה הרביעית (ראו סעיף 4 לאמנה)"; בנוסף ראו שם, בפסקה 4 לפסק הדין: "בצדק ציינה המדינה כי "העותרים ותושבי האזורים המפונים כלל אינם נכללים בגדר המושג 'מוגנים' לעניין אמנת ג'נבה הרביעית מיום 12.8.1949 בדבר הגנת אזרחים בימי מלחמה... זאת בהתאם לסעיף 4 לאמנה, הקובע כי 'מוגנים על-ידי האמנה הזאת הם אלה המוצאים את עצמם – באיזה זמן שהוא ובאיזו דרך שהיא – בידי אחד מבעלי הסכסוך או בידי אחת המעצמות הכובשות, והם אינם אזרחים של אותו בעל סכסוך או אזרחיה של אותה מעצמה כובשת'" (פסקה 36 בהודעת המשיבים בבג"ץ 1661/05 מיום 21.</w:t>
      </w:r>
      <w:r w:rsidRPr="004A4462">
        <w:rPr>
          <w:rFonts w:hint="cs"/>
          <w:sz w:val="20"/>
          <w:szCs w:val="20"/>
          <w:rtl/>
        </w:rPr>
        <w:t xml:space="preserve">3.2005)); ראו גם בג"ץ 9593/04 </w:t>
      </w:r>
      <w:proofErr w:type="spellStart"/>
      <w:r w:rsidRPr="00A01B93">
        <w:rPr>
          <w:rFonts w:asciiTheme="majorBidi" w:hAnsiTheme="majorBidi" w:hint="cs"/>
          <w:b/>
          <w:bCs/>
          <w:sz w:val="20"/>
          <w:szCs w:val="20"/>
          <w:rtl/>
        </w:rPr>
        <w:t>ראשד</w:t>
      </w:r>
      <w:proofErr w:type="spellEnd"/>
      <w:r w:rsidRPr="00A01B93">
        <w:rPr>
          <w:rFonts w:asciiTheme="majorBidi" w:hAnsiTheme="majorBidi" w:hint="cs"/>
          <w:b/>
          <w:bCs/>
          <w:sz w:val="20"/>
          <w:szCs w:val="20"/>
          <w:rtl/>
        </w:rPr>
        <w:t xml:space="preserve"> </w:t>
      </w:r>
      <w:proofErr w:type="spellStart"/>
      <w:r w:rsidRPr="00A01B93">
        <w:rPr>
          <w:rFonts w:asciiTheme="majorBidi" w:hAnsiTheme="majorBidi" w:hint="cs"/>
          <w:b/>
          <w:bCs/>
          <w:sz w:val="20"/>
          <w:szCs w:val="20"/>
          <w:rtl/>
        </w:rPr>
        <w:t>מוראר</w:t>
      </w:r>
      <w:proofErr w:type="spellEnd"/>
      <w:r w:rsidRPr="00A01B93">
        <w:rPr>
          <w:rFonts w:asciiTheme="majorBidi" w:hAnsiTheme="majorBidi" w:hint="cs"/>
          <w:b/>
          <w:bCs/>
          <w:sz w:val="20"/>
          <w:szCs w:val="20"/>
          <w:rtl/>
        </w:rPr>
        <w:t xml:space="preserve"> </w:t>
      </w:r>
      <w:r w:rsidRPr="00A01B93">
        <w:rPr>
          <w:rFonts w:asciiTheme="majorBidi" w:hAnsiTheme="majorBidi" w:hint="cs"/>
          <w:sz w:val="20"/>
          <w:szCs w:val="20"/>
          <w:rtl/>
        </w:rPr>
        <w:t>נ'</w:t>
      </w:r>
      <w:r w:rsidRPr="00A01B93">
        <w:rPr>
          <w:rFonts w:asciiTheme="majorBidi" w:hAnsiTheme="majorBidi" w:hint="cs"/>
          <w:b/>
          <w:bCs/>
          <w:sz w:val="20"/>
          <w:szCs w:val="20"/>
          <w:rtl/>
        </w:rPr>
        <w:t xml:space="preserve"> מפקד כוחות צה"ל ביהודה ושומרון</w:t>
      </w:r>
      <w:r w:rsidRPr="004A4462">
        <w:rPr>
          <w:rFonts w:hint="cs"/>
          <w:sz w:val="20"/>
          <w:szCs w:val="20"/>
          <w:rtl/>
        </w:rPr>
        <w:t>,</w:t>
      </w:r>
      <w:r w:rsidRPr="00A671A1">
        <w:rPr>
          <w:rFonts w:hint="cs"/>
          <w:sz w:val="20"/>
          <w:szCs w:val="20"/>
          <w:rtl/>
        </w:rPr>
        <w:t xml:space="preserve"> בעמ' 867</w:t>
      </w:r>
      <w:r>
        <w:rPr>
          <w:rFonts w:hint="cs"/>
          <w:sz w:val="20"/>
          <w:szCs w:val="20"/>
          <w:rtl/>
        </w:rPr>
        <w:t xml:space="preserve"> </w:t>
      </w:r>
      <w:r w:rsidRPr="00A01B93">
        <w:rPr>
          <w:rFonts w:asciiTheme="majorBidi" w:hAnsiTheme="majorBidi" w:hint="cs"/>
          <w:sz w:val="20"/>
          <w:szCs w:val="20"/>
          <w:rtl/>
        </w:rPr>
        <w:t>(פורסם בנבו: 26.06.2006)</w:t>
      </w:r>
      <w:r w:rsidRPr="00A671A1">
        <w:rPr>
          <w:rFonts w:hint="cs"/>
          <w:sz w:val="20"/>
          <w:szCs w:val="20"/>
          <w:rtl/>
        </w:rPr>
        <w:t xml:space="preserve">. </w:t>
      </w:r>
    </w:p>
  </w:footnote>
  <w:footnote w:id="27">
    <w:p w:rsidR="00974DC7" w:rsidRPr="00A671A1" w:rsidRDefault="00974DC7" w:rsidP="006E4470">
      <w:pPr>
        <w:bidi/>
        <w:spacing w:after="0" w:line="240" w:lineRule="auto"/>
        <w:contextualSpacing/>
        <w:rPr>
          <w:sz w:val="20"/>
          <w:szCs w:val="20"/>
          <w:rtl/>
        </w:rPr>
      </w:pPr>
      <w:r w:rsidRPr="00A671A1">
        <w:rPr>
          <w:rStyle w:val="af2"/>
          <w:sz w:val="20"/>
          <w:szCs w:val="20"/>
        </w:rPr>
        <w:footnoteRef/>
      </w:r>
      <w:r w:rsidRPr="00A671A1">
        <w:rPr>
          <w:sz w:val="20"/>
          <w:szCs w:val="20"/>
          <w:rtl/>
        </w:rPr>
        <w:t xml:space="preserve"> </w:t>
      </w:r>
      <w:r w:rsidRPr="00A671A1">
        <w:rPr>
          <w:rFonts w:hint="cs"/>
          <w:sz w:val="20"/>
          <w:szCs w:val="20"/>
          <w:rtl/>
        </w:rPr>
        <w:t xml:space="preserve">ראה </w:t>
      </w:r>
      <w:r w:rsidRPr="00A671A1">
        <w:rPr>
          <w:sz w:val="20"/>
          <w:szCs w:val="20"/>
          <w:rtl/>
        </w:rPr>
        <w:t xml:space="preserve">בג"ץ 4219/02 </w:t>
      </w:r>
      <w:r w:rsidRPr="00A671A1">
        <w:rPr>
          <w:b/>
          <w:bCs/>
          <w:sz w:val="20"/>
          <w:szCs w:val="20"/>
          <w:rtl/>
        </w:rPr>
        <w:t xml:space="preserve">יוסף מוחמד </w:t>
      </w:r>
      <w:proofErr w:type="spellStart"/>
      <w:r w:rsidRPr="00A671A1">
        <w:rPr>
          <w:b/>
          <w:bCs/>
          <w:sz w:val="20"/>
          <w:szCs w:val="20"/>
          <w:rtl/>
        </w:rPr>
        <w:t>גוסין</w:t>
      </w:r>
      <w:proofErr w:type="spellEnd"/>
      <w:r w:rsidRPr="00A671A1">
        <w:rPr>
          <w:b/>
          <w:bCs/>
          <w:sz w:val="20"/>
          <w:szCs w:val="20"/>
          <w:rtl/>
        </w:rPr>
        <w:t xml:space="preserve"> נ' מפקד כוחות צה"ל</w:t>
      </w:r>
      <w:r w:rsidRPr="00A671A1">
        <w:rPr>
          <w:rFonts w:hint="cs"/>
          <w:sz w:val="20"/>
          <w:szCs w:val="20"/>
          <w:rtl/>
        </w:rPr>
        <w:t xml:space="preserve"> </w:t>
      </w:r>
      <w:r w:rsidRPr="00A671A1">
        <w:rPr>
          <w:sz w:val="20"/>
          <w:szCs w:val="20"/>
          <w:rtl/>
        </w:rPr>
        <w:t>פ"ד נו(4), 608</w:t>
      </w:r>
      <w:r w:rsidRPr="00A671A1">
        <w:rPr>
          <w:rFonts w:hint="cs"/>
          <w:sz w:val="20"/>
          <w:szCs w:val="20"/>
          <w:rtl/>
        </w:rPr>
        <w:t>, סעיף 6 לפסק הדין של כב' הנשיא (בדימוס) א' ברק, לפיו "</w:t>
      </w:r>
      <w:r w:rsidRPr="00A671A1">
        <w:rPr>
          <w:sz w:val="20"/>
          <w:szCs w:val="20"/>
          <w:rtl/>
        </w:rPr>
        <w:t xml:space="preserve">מוטלת החובה על המשיב להגן על </w:t>
      </w:r>
      <w:proofErr w:type="spellStart"/>
      <w:r w:rsidRPr="00A671A1">
        <w:rPr>
          <w:sz w:val="20"/>
          <w:szCs w:val="20"/>
          <w:rtl/>
        </w:rPr>
        <w:t>האוכלוסיה</w:t>
      </w:r>
      <w:proofErr w:type="spellEnd"/>
      <w:r w:rsidRPr="00A671A1">
        <w:rPr>
          <w:sz w:val="20"/>
          <w:szCs w:val="20"/>
          <w:rtl/>
        </w:rPr>
        <w:t xml:space="preserve"> (הערבית והיהודית) שבשטח המצוי בשליטתו הצבאית (ראו בג"ץ 4363/02 </w:t>
      </w:r>
      <w:proofErr w:type="spellStart"/>
      <w:r w:rsidRPr="00A671A1">
        <w:rPr>
          <w:b/>
          <w:bCs/>
          <w:sz w:val="20"/>
          <w:szCs w:val="20"/>
          <w:rtl/>
        </w:rPr>
        <w:t>חידר</w:t>
      </w:r>
      <w:proofErr w:type="spellEnd"/>
      <w:r w:rsidRPr="00A671A1">
        <w:rPr>
          <w:b/>
          <w:bCs/>
          <w:sz w:val="20"/>
          <w:szCs w:val="20"/>
          <w:rtl/>
        </w:rPr>
        <w:t xml:space="preserve"> עבד אחמד </w:t>
      </w:r>
      <w:proofErr w:type="spellStart"/>
      <w:r w:rsidRPr="00A671A1">
        <w:rPr>
          <w:b/>
          <w:bCs/>
          <w:sz w:val="20"/>
          <w:szCs w:val="20"/>
          <w:rtl/>
        </w:rPr>
        <w:t>זינדאח</w:t>
      </w:r>
      <w:proofErr w:type="spellEnd"/>
      <w:r w:rsidRPr="00A671A1">
        <w:rPr>
          <w:b/>
          <w:bCs/>
          <w:sz w:val="20"/>
          <w:szCs w:val="20"/>
          <w:rtl/>
        </w:rPr>
        <w:t xml:space="preserve"> ואח' נ' מפקד כוחות צה"ל ברצועות עזה</w:t>
      </w:r>
      <w:r w:rsidRPr="00A671A1">
        <w:rPr>
          <w:sz w:val="20"/>
          <w:szCs w:val="20"/>
          <w:rtl/>
        </w:rPr>
        <w:t xml:space="preserve"> (טרם פורסם</w:t>
      </w:r>
      <w:r w:rsidRPr="00334319">
        <w:rPr>
          <w:sz w:val="20"/>
          <w:szCs w:val="20"/>
          <w:rtl/>
        </w:rPr>
        <w:t>))</w:t>
      </w:r>
      <w:r w:rsidRPr="00A671A1">
        <w:rPr>
          <w:rFonts w:hint="cs"/>
          <w:sz w:val="20"/>
          <w:szCs w:val="20"/>
          <w:rtl/>
        </w:rPr>
        <w:t xml:space="preserve">; החובה של המדינה להגן על אזרחיה נובעת מעקרונות כללים של המשפט הבין לאומי להגן על כל אדם שנמצא בשטח; כחלק מהחובה של מדינת ישראל, המעוגנת במשפט הישראלי הפנימי, להגן על חיי וביטחון האזרחים הישראלים המתגוררים באזור; והן מכוח סעיף 10(4) הסכם הביניים הקובע כי "ישראל תמשיך לשאת באחריות </w:t>
      </w:r>
      <w:proofErr w:type="spellStart"/>
      <w:r w:rsidRPr="00A671A1">
        <w:rPr>
          <w:rFonts w:hint="cs"/>
          <w:sz w:val="20"/>
          <w:szCs w:val="20"/>
          <w:rtl/>
        </w:rPr>
        <w:t>לבטחון</w:t>
      </w:r>
      <w:proofErr w:type="spellEnd"/>
      <w:r w:rsidRPr="00A671A1">
        <w:rPr>
          <w:rFonts w:hint="cs"/>
          <w:sz w:val="20"/>
          <w:szCs w:val="20"/>
          <w:rtl/>
        </w:rPr>
        <w:t xml:space="preserve"> חוץ, וכן באחריות </w:t>
      </w:r>
      <w:proofErr w:type="spellStart"/>
      <w:r w:rsidRPr="00A671A1">
        <w:rPr>
          <w:rFonts w:hint="cs"/>
          <w:sz w:val="20"/>
          <w:szCs w:val="20"/>
          <w:rtl/>
        </w:rPr>
        <w:t>לבטחון</w:t>
      </w:r>
      <w:proofErr w:type="spellEnd"/>
      <w:r w:rsidRPr="00A671A1">
        <w:rPr>
          <w:rFonts w:hint="cs"/>
          <w:sz w:val="20"/>
          <w:szCs w:val="20"/>
          <w:rtl/>
        </w:rPr>
        <w:t xml:space="preserve"> הכולל של ישראלים לשם הבטחת בטחון הפנים והסדר הציבורי שלהם".; ראו גם </w:t>
      </w:r>
      <w:r w:rsidRPr="00A671A1">
        <w:rPr>
          <w:sz w:val="20"/>
          <w:szCs w:val="20"/>
          <w:rtl/>
        </w:rPr>
        <w:t xml:space="preserve">בג"ץ 6982/02 </w:t>
      </w:r>
      <w:proofErr w:type="spellStart"/>
      <w:r w:rsidRPr="00A671A1">
        <w:rPr>
          <w:b/>
          <w:bCs/>
          <w:sz w:val="20"/>
          <w:szCs w:val="20"/>
          <w:rtl/>
        </w:rPr>
        <w:t>פאעוד</w:t>
      </w:r>
      <w:proofErr w:type="spellEnd"/>
      <w:r w:rsidRPr="00A671A1">
        <w:rPr>
          <w:b/>
          <w:bCs/>
          <w:sz w:val="20"/>
          <w:szCs w:val="20"/>
          <w:rtl/>
        </w:rPr>
        <w:t xml:space="preserve"> </w:t>
      </w:r>
      <w:proofErr w:type="spellStart"/>
      <w:r w:rsidRPr="00A671A1">
        <w:rPr>
          <w:b/>
          <w:bCs/>
          <w:sz w:val="20"/>
          <w:szCs w:val="20"/>
          <w:rtl/>
        </w:rPr>
        <w:t>וחידי</w:t>
      </w:r>
      <w:proofErr w:type="spellEnd"/>
      <w:r w:rsidRPr="00A671A1">
        <w:rPr>
          <w:b/>
          <w:bCs/>
          <w:sz w:val="20"/>
          <w:szCs w:val="20"/>
          <w:rtl/>
        </w:rPr>
        <w:t xml:space="preserve"> נ' מפקד כוחות צה"ל ברצועת עזה</w:t>
      </w:r>
      <w:r w:rsidRPr="00A671A1">
        <w:rPr>
          <w:sz w:val="20"/>
          <w:szCs w:val="20"/>
          <w:rtl/>
        </w:rPr>
        <w:t xml:space="preserve">  תק-על 2002(3), 205</w:t>
      </w:r>
      <w:r w:rsidRPr="00A671A1">
        <w:rPr>
          <w:rFonts w:hint="cs"/>
          <w:sz w:val="20"/>
          <w:szCs w:val="20"/>
          <w:rtl/>
        </w:rPr>
        <w:t xml:space="preserve">; בג"ץ </w:t>
      </w:r>
      <w:r w:rsidRPr="00A671A1">
        <w:rPr>
          <w:sz w:val="20"/>
          <w:szCs w:val="20"/>
          <w:rtl/>
        </w:rPr>
        <w:t xml:space="preserve">10356/02 </w:t>
      </w:r>
      <w:r w:rsidRPr="00A671A1">
        <w:rPr>
          <w:b/>
          <w:bCs/>
          <w:sz w:val="20"/>
          <w:szCs w:val="20"/>
          <w:rtl/>
        </w:rPr>
        <w:t>יואב הס נ' מפקד כוחות צה"ל בגדה המערבית</w:t>
      </w:r>
      <w:r w:rsidRPr="00A671A1">
        <w:rPr>
          <w:rFonts w:hint="cs"/>
          <w:sz w:val="20"/>
          <w:szCs w:val="20"/>
          <w:rtl/>
        </w:rPr>
        <w:t xml:space="preserve"> פ"ד נח(3) 443, 455 או 460; בג"ץ 7957/04 </w:t>
      </w:r>
      <w:proofErr w:type="spellStart"/>
      <w:r w:rsidRPr="00A671A1">
        <w:rPr>
          <w:rFonts w:hint="cs"/>
          <w:b/>
          <w:bCs/>
          <w:sz w:val="20"/>
          <w:szCs w:val="20"/>
          <w:rtl/>
        </w:rPr>
        <w:t>מראעבה</w:t>
      </w:r>
      <w:proofErr w:type="spellEnd"/>
      <w:r w:rsidRPr="00A671A1">
        <w:rPr>
          <w:rFonts w:hint="cs"/>
          <w:sz w:val="20"/>
          <w:szCs w:val="20"/>
          <w:rtl/>
        </w:rPr>
        <w:t xml:space="preserve">, </w:t>
      </w:r>
      <w:r>
        <w:rPr>
          <w:rFonts w:hint="cs"/>
          <w:sz w:val="20"/>
          <w:szCs w:val="20"/>
          <w:rtl/>
        </w:rPr>
        <w:t>פס' 19 לפסק הדין</w:t>
      </w:r>
      <w:r w:rsidRPr="00A671A1">
        <w:rPr>
          <w:rFonts w:hint="cs"/>
          <w:sz w:val="20"/>
          <w:szCs w:val="20"/>
          <w:rtl/>
        </w:rPr>
        <w:t xml:space="preserve">; בג"ץ 2577/04 </w:t>
      </w:r>
      <w:r w:rsidRPr="00A671A1">
        <w:rPr>
          <w:rFonts w:hint="cs"/>
          <w:b/>
          <w:bCs/>
          <w:sz w:val="20"/>
          <w:szCs w:val="20"/>
          <w:rtl/>
        </w:rPr>
        <w:t>אל חוואג'ה</w:t>
      </w:r>
      <w:r w:rsidRPr="00A671A1">
        <w:rPr>
          <w:rFonts w:hint="cs"/>
          <w:sz w:val="20"/>
          <w:szCs w:val="20"/>
          <w:rtl/>
        </w:rPr>
        <w:t xml:space="preserve">, עמ' 21-22; </w:t>
      </w:r>
    </w:p>
  </w:footnote>
  <w:footnote w:id="28">
    <w:p w:rsidR="00974DC7" w:rsidRPr="00A671A1" w:rsidRDefault="00974DC7" w:rsidP="006E4470">
      <w:pPr>
        <w:pStyle w:val="af0"/>
        <w:bidi/>
        <w:contextualSpacing/>
      </w:pPr>
      <w:r w:rsidRPr="00A671A1">
        <w:rPr>
          <w:rStyle w:val="af2"/>
        </w:rPr>
        <w:footnoteRef/>
      </w:r>
      <w:r w:rsidRPr="00A671A1">
        <w:rPr>
          <w:rtl/>
        </w:rPr>
        <w:t xml:space="preserve"> </w:t>
      </w:r>
      <w:r w:rsidRPr="00A671A1">
        <w:rPr>
          <w:rFonts w:hint="cs"/>
          <w:rtl/>
        </w:rPr>
        <w:t>ראו לדוגמא בבג"ץ 6339/05</w:t>
      </w:r>
      <w:r w:rsidRPr="00A671A1">
        <w:rPr>
          <w:rtl/>
        </w:rPr>
        <w:t xml:space="preserve"> </w:t>
      </w:r>
      <w:r w:rsidRPr="00A671A1">
        <w:rPr>
          <w:b/>
          <w:bCs/>
          <w:rtl/>
        </w:rPr>
        <w:t>נדיה מטר</w:t>
      </w:r>
      <w:r w:rsidRPr="00A671A1">
        <w:rPr>
          <w:rtl/>
        </w:rPr>
        <w:t xml:space="preserve"> </w:t>
      </w:r>
      <w:r w:rsidRPr="00D40F4A">
        <w:rPr>
          <w:b/>
          <w:bCs/>
          <w:rtl/>
        </w:rPr>
        <w:t>נ'</w:t>
      </w:r>
      <w:r w:rsidRPr="00A671A1">
        <w:rPr>
          <w:rtl/>
        </w:rPr>
        <w:t xml:space="preserve"> </w:t>
      </w:r>
      <w:r w:rsidRPr="00A671A1">
        <w:rPr>
          <w:b/>
          <w:bCs/>
          <w:rtl/>
        </w:rPr>
        <w:t>מפקד כוחות צה"ל בחבל עזה</w:t>
      </w:r>
      <w:r w:rsidRPr="00A671A1">
        <w:rPr>
          <w:rtl/>
        </w:rPr>
        <w:t xml:space="preserve"> , נט (2) 846 </w:t>
      </w:r>
      <w:r w:rsidRPr="00A671A1">
        <w:rPr>
          <w:rFonts w:hint="cs"/>
          <w:rtl/>
        </w:rPr>
        <w:t xml:space="preserve">שם נקבע כך: "סמכותו של המפקד הצבאי "להבטיח את הסדר </w:t>
      </w:r>
      <w:proofErr w:type="spellStart"/>
      <w:r w:rsidRPr="00A671A1">
        <w:rPr>
          <w:rFonts w:hint="cs"/>
          <w:rtl/>
        </w:rPr>
        <w:t>והבטחון</w:t>
      </w:r>
      <w:proofErr w:type="spellEnd"/>
      <w:r w:rsidRPr="00A671A1">
        <w:rPr>
          <w:rFonts w:hint="cs"/>
          <w:rtl/>
        </w:rPr>
        <w:t xml:space="preserve"> הציבוריים" מכוונת כלפי כל מי שמצוי באזור הנתון לתפיסה לוחמתית. אין היא מוגבלת ל"אנשים מוגנים" (</w:t>
      </w:r>
      <w:r w:rsidRPr="00A671A1">
        <w:t>protected persons</w:t>
      </w:r>
      <w:r w:rsidRPr="00A671A1">
        <w:rPr>
          <w:rFonts w:hint="cs"/>
          <w:rtl/>
        </w:rPr>
        <w:t>) בלבד. עמד על כך השופט מצא, בציינו: "...</w:t>
      </w:r>
      <w:r w:rsidRPr="00A671A1">
        <w:rPr>
          <w:rFonts w:hint="cs"/>
          <w:b/>
          <w:bCs/>
          <w:rtl/>
        </w:rPr>
        <w:t>בכל הנוגע לצורכי השמירה על ביטחון האזור וביטחון הציבור שבאזור</w:t>
      </w:r>
      <w:r w:rsidRPr="00A671A1">
        <w:rPr>
          <w:rFonts w:hint="cs"/>
          <w:rtl/>
        </w:rPr>
        <w:t xml:space="preserve">, חלה סמכותו של מפקד האזור על כלל בני האדם המצויים בתחומי האזור בכל זמן נתון. קביעה זו מתחייבת מחובתו, הידועה והברורה, של מפקד האזור לקיים את ביטחון האזור </w:t>
      </w:r>
      <w:proofErr w:type="spellStart"/>
      <w:r w:rsidRPr="00A671A1">
        <w:rPr>
          <w:rFonts w:hint="cs"/>
          <w:rtl/>
        </w:rPr>
        <w:t>ומהיותו</w:t>
      </w:r>
      <w:proofErr w:type="spellEnd"/>
      <w:r w:rsidRPr="00A671A1">
        <w:rPr>
          <w:rFonts w:hint="cs"/>
          <w:rtl/>
        </w:rPr>
        <w:t xml:space="preserve"> מופקד על שמירת שלום הציבור באזורו. חובה זו, המוטלת על 'מפקד צבאי' מכוח כללי המשפט הבינלאומי </w:t>
      </w:r>
      <w:proofErr w:type="spellStart"/>
      <w:r w:rsidRPr="00A671A1">
        <w:rPr>
          <w:rFonts w:hint="cs"/>
          <w:rtl/>
        </w:rPr>
        <w:t>המנהגי</w:t>
      </w:r>
      <w:proofErr w:type="spellEnd"/>
      <w:r w:rsidRPr="00A671A1">
        <w:rPr>
          <w:rFonts w:hint="cs"/>
          <w:rtl/>
        </w:rPr>
        <w:t>, מעמידה לנושא בה גם את סמכות החקיקה הנדרשת לקיומה" (</w:t>
      </w:r>
      <w:hyperlink r:id="rId2" w:history="1">
        <w:r w:rsidRPr="00A671A1">
          <w:rPr>
            <w:rFonts w:hint="cs"/>
            <w:rtl/>
          </w:rPr>
          <w:t>בג"ץ 2612/94</w:t>
        </w:r>
      </w:hyperlink>
      <w:r w:rsidRPr="00A671A1">
        <w:rPr>
          <w:rFonts w:hint="cs"/>
          <w:rtl/>
        </w:rPr>
        <w:t xml:space="preserve"> </w:t>
      </w:r>
      <w:proofErr w:type="spellStart"/>
      <w:r w:rsidRPr="0090748C">
        <w:rPr>
          <w:rFonts w:hint="cs"/>
          <w:b/>
          <w:bCs/>
          <w:rtl/>
        </w:rPr>
        <w:t>שעאר</w:t>
      </w:r>
      <w:proofErr w:type="spellEnd"/>
      <w:r w:rsidRPr="0090748C">
        <w:rPr>
          <w:rFonts w:hint="cs"/>
          <w:b/>
          <w:bCs/>
          <w:rtl/>
        </w:rPr>
        <w:t xml:space="preserve"> נ' מפקד כוחות צה"ל באזור יהודה ושומרון</w:t>
      </w:r>
      <w:r w:rsidRPr="00A671A1">
        <w:rPr>
          <w:rFonts w:hint="cs"/>
          <w:rtl/>
        </w:rPr>
        <w:t xml:space="preserve"> [2], בעמ' 679. ראו גם </w:t>
      </w:r>
      <w:hyperlink r:id="rId3" w:history="1">
        <w:r w:rsidRPr="00A671A1">
          <w:rPr>
            <w:rFonts w:hint="cs"/>
            <w:rtl/>
          </w:rPr>
          <w:t>בג"ץ 1052/05</w:t>
        </w:r>
      </w:hyperlink>
      <w:r w:rsidRPr="00A671A1">
        <w:rPr>
          <w:rFonts w:hint="cs"/>
          <w:rtl/>
        </w:rPr>
        <w:t xml:space="preserve"> </w:t>
      </w:r>
      <w:proofErr w:type="spellStart"/>
      <w:r w:rsidRPr="0090748C">
        <w:rPr>
          <w:rFonts w:hint="cs"/>
          <w:b/>
          <w:bCs/>
          <w:rtl/>
        </w:rPr>
        <w:t>פדרמן</w:t>
      </w:r>
      <w:proofErr w:type="spellEnd"/>
      <w:r w:rsidRPr="0090748C">
        <w:rPr>
          <w:rFonts w:hint="cs"/>
          <w:b/>
          <w:bCs/>
          <w:rtl/>
        </w:rPr>
        <w:t xml:space="preserve"> נ' אלוף פיקוד המרכ</w:t>
      </w:r>
      <w:r w:rsidRPr="00A671A1">
        <w:rPr>
          <w:rFonts w:hint="cs"/>
          <w:rtl/>
        </w:rPr>
        <w:t>ז [3]). סמכות זו משתרעת על כל הישראלים המצויים בא</w:t>
      </w:r>
      <w:r>
        <w:rPr>
          <w:rFonts w:hint="cs"/>
          <w:rtl/>
        </w:rPr>
        <w:t>זור..." (ראה פסקה 8 לפסקה הדין).</w:t>
      </w:r>
    </w:p>
  </w:footnote>
  <w:footnote w:id="29">
    <w:p w:rsidR="00974DC7" w:rsidRPr="0016062E" w:rsidRDefault="00974DC7" w:rsidP="00E21E25">
      <w:pPr>
        <w:pStyle w:val="af0"/>
        <w:bidi/>
        <w:rPr>
          <w:rtl/>
        </w:rPr>
      </w:pPr>
      <w:r w:rsidRPr="002D53DE">
        <w:rPr>
          <w:rStyle w:val="af2"/>
        </w:rPr>
        <w:footnoteRef/>
      </w:r>
      <w:r w:rsidRPr="002D53DE">
        <w:rPr>
          <w:rFonts w:hint="cs"/>
          <w:b/>
          <w:bCs/>
          <w:sz w:val="24"/>
          <w:szCs w:val="24"/>
          <w:rtl/>
        </w:rPr>
        <w:t xml:space="preserve"> </w:t>
      </w:r>
      <w:r w:rsidRPr="002D53DE">
        <w:rPr>
          <w:rFonts w:hint="cs"/>
          <w:b/>
          <w:bCs/>
          <w:rtl/>
        </w:rPr>
        <w:t>עניין אבו צפייה</w:t>
      </w:r>
      <w:r w:rsidRPr="002D53DE">
        <w:rPr>
          <w:rFonts w:hint="cs"/>
          <w:rtl/>
        </w:rPr>
        <w:t xml:space="preserve">, </w:t>
      </w:r>
      <w:proofErr w:type="spellStart"/>
      <w:r w:rsidRPr="002D53DE">
        <w:rPr>
          <w:rFonts w:hint="cs"/>
          <w:rtl/>
        </w:rPr>
        <w:t>ה"ש</w:t>
      </w:r>
      <w:proofErr w:type="spellEnd"/>
      <w:r w:rsidRPr="002D53DE">
        <w:rPr>
          <w:rFonts w:hint="cs"/>
          <w:rtl/>
        </w:rPr>
        <w:t xml:space="preserve"> 32 לעיל, בסעיף 35; </w:t>
      </w:r>
      <w:r w:rsidRPr="00AB2ED6">
        <w:rPr>
          <w:rFonts w:hint="cs"/>
          <w:rtl/>
        </w:rPr>
        <w:t xml:space="preserve">בג"ץ 256/72 </w:t>
      </w:r>
      <w:r w:rsidRPr="00AB2ED6">
        <w:rPr>
          <w:rFonts w:hint="cs"/>
          <w:b/>
          <w:bCs/>
          <w:rtl/>
        </w:rPr>
        <w:t>חברת החשמל למחוז ירושלים בע"מ נ' שר הביטחון</w:t>
      </w:r>
      <w:r w:rsidRPr="00AB2ED6">
        <w:rPr>
          <w:rFonts w:hint="cs"/>
          <w:rtl/>
        </w:rPr>
        <w:t xml:space="preserve">, פ"ד </w:t>
      </w:r>
      <w:proofErr w:type="spellStart"/>
      <w:r w:rsidRPr="00AB2ED6">
        <w:rPr>
          <w:rFonts w:hint="cs"/>
          <w:rtl/>
        </w:rPr>
        <w:t>כז</w:t>
      </w:r>
      <w:proofErr w:type="spellEnd"/>
      <w:r w:rsidRPr="00AB2ED6">
        <w:rPr>
          <w:rFonts w:hint="cs"/>
          <w:rtl/>
        </w:rPr>
        <w:t>(1) 124 (1972)</w:t>
      </w:r>
      <w:r>
        <w:rPr>
          <w:rFonts w:hint="cs"/>
          <w:sz w:val="16"/>
          <w:szCs w:val="16"/>
          <w:rtl/>
        </w:rPr>
        <w:t xml:space="preserve"> </w:t>
      </w:r>
      <w:r w:rsidRPr="002D53DE">
        <w:rPr>
          <w:rFonts w:hint="cs"/>
          <w:rtl/>
        </w:rPr>
        <w:t>(להלן: עניין חברת החש</w:t>
      </w:r>
      <w:r w:rsidRPr="00457972">
        <w:rPr>
          <w:rFonts w:hint="cs"/>
          <w:rtl/>
        </w:rPr>
        <w:t>מל); בג"ץ</w:t>
      </w:r>
      <w:r w:rsidRPr="00457972">
        <w:rPr>
          <w:rtl/>
        </w:rPr>
        <w:t xml:space="preserve"> 1960/16 </w:t>
      </w:r>
      <w:r w:rsidRPr="00457972">
        <w:rPr>
          <w:rFonts w:hint="cs"/>
          <w:b/>
          <w:bCs/>
          <w:rtl/>
        </w:rPr>
        <w:t>המועצה</w:t>
      </w:r>
      <w:r w:rsidRPr="00457972">
        <w:rPr>
          <w:b/>
          <w:bCs/>
          <w:rtl/>
        </w:rPr>
        <w:t xml:space="preserve"> </w:t>
      </w:r>
      <w:r w:rsidRPr="00457972">
        <w:rPr>
          <w:rFonts w:hint="cs"/>
          <w:b/>
          <w:bCs/>
          <w:rtl/>
        </w:rPr>
        <w:t>המקומית</w:t>
      </w:r>
      <w:r w:rsidRPr="00457972">
        <w:rPr>
          <w:b/>
          <w:bCs/>
          <w:rtl/>
        </w:rPr>
        <w:t xml:space="preserve"> </w:t>
      </w:r>
      <w:r w:rsidRPr="00457972">
        <w:rPr>
          <w:rFonts w:hint="cs"/>
          <w:b/>
          <w:bCs/>
          <w:rtl/>
        </w:rPr>
        <w:t>נבי</w:t>
      </w:r>
      <w:r w:rsidRPr="00457972">
        <w:rPr>
          <w:b/>
          <w:bCs/>
          <w:rtl/>
        </w:rPr>
        <w:t xml:space="preserve"> </w:t>
      </w:r>
      <w:r w:rsidRPr="00457972">
        <w:rPr>
          <w:rFonts w:hint="cs"/>
          <w:b/>
          <w:bCs/>
          <w:rtl/>
        </w:rPr>
        <w:t>אליאס</w:t>
      </w:r>
      <w:r w:rsidRPr="00457972">
        <w:rPr>
          <w:b/>
          <w:bCs/>
          <w:rtl/>
        </w:rPr>
        <w:t xml:space="preserve"> </w:t>
      </w:r>
      <w:r w:rsidRPr="00457972">
        <w:rPr>
          <w:rFonts w:hint="cs"/>
          <w:rtl/>
        </w:rPr>
        <w:t>נ</w:t>
      </w:r>
      <w:r w:rsidRPr="00457972">
        <w:rPr>
          <w:rtl/>
        </w:rPr>
        <w:t>'</w:t>
      </w:r>
      <w:r w:rsidRPr="00457972">
        <w:rPr>
          <w:b/>
          <w:bCs/>
          <w:rtl/>
        </w:rPr>
        <w:t xml:space="preserve"> </w:t>
      </w:r>
      <w:r w:rsidRPr="00457972">
        <w:rPr>
          <w:rFonts w:hint="cs"/>
          <w:b/>
          <w:bCs/>
          <w:rtl/>
        </w:rPr>
        <w:t>מפקד</w:t>
      </w:r>
      <w:r w:rsidRPr="00457972">
        <w:rPr>
          <w:b/>
          <w:bCs/>
          <w:rtl/>
        </w:rPr>
        <w:t xml:space="preserve"> </w:t>
      </w:r>
      <w:r w:rsidRPr="00457972">
        <w:rPr>
          <w:rFonts w:hint="cs"/>
          <w:b/>
          <w:bCs/>
          <w:rtl/>
        </w:rPr>
        <w:t>כוחות</w:t>
      </w:r>
      <w:r w:rsidRPr="00457972">
        <w:rPr>
          <w:b/>
          <w:bCs/>
          <w:rtl/>
        </w:rPr>
        <w:t xml:space="preserve"> </w:t>
      </w:r>
      <w:r w:rsidRPr="00457972">
        <w:rPr>
          <w:rFonts w:hint="cs"/>
          <w:b/>
          <w:bCs/>
          <w:rtl/>
        </w:rPr>
        <w:t>צה</w:t>
      </w:r>
      <w:r w:rsidRPr="00457972">
        <w:rPr>
          <w:b/>
          <w:bCs/>
          <w:rtl/>
        </w:rPr>
        <w:t>"</w:t>
      </w:r>
      <w:r w:rsidRPr="00457972">
        <w:rPr>
          <w:rFonts w:hint="cs"/>
          <w:b/>
          <w:bCs/>
          <w:rtl/>
        </w:rPr>
        <w:t>ל</w:t>
      </w:r>
      <w:r w:rsidRPr="00457972">
        <w:rPr>
          <w:b/>
          <w:bCs/>
          <w:rtl/>
        </w:rPr>
        <w:t xml:space="preserve"> </w:t>
      </w:r>
      <w:proofErr w:type="spellStart"/>
      <w:r w:rsidRPr="00457972">
        <w:rPr>
          <w:rFonts w:hint="cs"/>
          <w:b/>
          <w:bCs/>
          <w:rtl/>
        </w:rPr>
        <w:t>באיו</w:t>
      </w:r>
      <w:r w:rsidRPr="00457972">
        <w:rPr>
          <w:b/>
          <w:bCs/>
          <w:rtl/>
        </w:rPr>
        <w:t>"</w:t>
      </w:r>
      <w:r w:rsidRPr="00457972">
        <w:rPr>
          <w:rFonts w:hint="cs"/>
          <w:b/>
          <w:bCs/>
          <w:rtl/>
        </w:rPr>
        <w:t>ש</w:t>
      </w:r>
      <w:proofErr w:type="spellEnd"/>
      <w:r w:rsidRPr="00457972">
        <w:rPr>
          <w:rFonts w:hint="cs"/>
          <w:rtl/>
        </w:rPr>
        <w:t xml:space="preserve"> (פורסם בנבו </w:t>
      </w:r>
      <w:r w:rsidRPr="00457972">
        <w:rPr>
          <w:rtl/>
        </w:rPr>
        <w:t>16.11.2016</w:t>
      </w:r>
      <w:r w:rsidRPr="00457972">
        <w:rPr>
          <w:rFonts w:hint="cs"/>
          <w:rtl/>
        </w:rPr>
        <w:t xml:space="preserve">); בג"ץ 168/91 </w:t>
      </w:r>
      <w:proofErr w:type="spellStart"/>
      <w:r w:rsidRPr="00457972">
        <w:rPr>
          <w:rFonts w:hint="cs"/>
          <w:b/>
          <w:bCs/>
          <w:rtl/>
        </w:rPr>
        <w:t>מילאדי</w:t>
      </w:r>
      <w:proofErr w:type="spellEnd"/>
      <w:r w:rsidRPr="00457972">
        <w:rPr>
          <w:rFonts w:hint="cs"/>
          <w:b/>
          <w:bCs/>
          <w:rtl/>
        </w:rPr>
        <w:t xml:space="preserve"> </w:t>
      </w:r>
      <w:proofErr w:type="spellStart"/>
      <w:r w:rsidRPr="00457972">
        <w:rPr>
          <w:rFonts w:hint="cs"/>
          <w:b/>
          <w:bCs/>
          <w:rtl/>
        </w:rPr>
        <w:t>מורכוס</w:t>
      </w:r>
      <w:proofErr w:type="spellEnd"/>
      <w:r w:rsidRPr="00457972">
        <w:rPr>
          <w:rFonts w:hint="cs"/>
          <w:b/>
          <w:bCs/>
          <w:rtl/>
        </w:rPr>
        <w:t xml:space="preserve"> </w:t>
      </w:r>
      <w:r w:rsidRPr="00457972">
        <w:rPr>
          <w:rFonts w:hint="cs"/>
          <w:rtl/>
        </w:rPr>
        <w:t>נ'</w:t>
      </w:r>
      <w:r w:rsidRPr="00457972">
        <w:rPr>
          <w:rFonts w:hint="cs"/>
          <w:b/>
          <w:bCs/>
          <w:rtl/>
        </w:rPr>
        <w:t xml:space="preserve"> שר הביטחון</w:t>
      </w:r>
      <w:r w:rsidRPr="00457972">
        <w:rPr>
          <w:rFonts w:hint="cs"/>
          <w:rtl/>
        </w:rPr>
        <w:t>, פ"ד מה(1</w:t>
      </w:r>
      <w:r w:rsidRPr="00EE3C46">
        <w:rPr>
          <w:rFonts w:hint="cs"/>
          <w:rtl/>
        </w:rPr>
        <w:t>) 467 (1991);</w:t>
      </w:r>
      <w:r w:rsidRPr="00EE3C46">
        <w:rPr>
          <w:rtl/>
        </w:rPr>
        <w:t xml:space="preserve"> בג"ץ 3680/05 </w:t>
      </w:r>
      <w:r w:rsidRPr="00EE3C46">
        <w:rPr>
          <w:b/>
          <w:bCs/>
          <w:rtl/>
        </w:rPr>
        <w:t>ועד הישוב טנא</w:t>
      </w:r>
      <w:r w:rsidRPr="00EE3C46">
        <w:rPr>
          <w:rtl/>
        </w:rPr>
        <w:t xml:space="preserve"> נ' </w:t>
      </w:r>
      <w:r w:rsidRPr="00EE3C46">
        <w:rPr>
          <w:b/>
          <w:bCs/>
          <w:rtl/>
        </w:rPr>
        <w:t>ראש ממשלת ישראל - אריאל שרון</w:t>
      </w:r>
      <w:r w:rsidRPr="00EE3C46">
        <w:rPr>
          <w:rtl/>
        </w:rPr>
        <w:t xml:space="preserve"> (פורסם בנבו, 01.02.2006)</w:t>
      </w:r>
      <w:r w:rsidRPr="00EE3C46">
        <w:rPr>
          <w:rFonts w:hint="cs"/>
          <w:rtl/>
        </w:rPr>
        <w:t>; בג"ץ</w:t>
      </w:r>
      <w:r w:rsidRPr="00EE3C46">
        <w:rPr>
          <w:rtl/>
        </w:rPr>
        <w:t xml:space="preserve"> 4289/05 </w:t>
      </w:r>
      <w:r w:rsidRPr="00EE3C46">
        <w:rPr>
          <w:rFonts w:hint="cs"/>
          <w:b/>
          <w:bCs/>
          <w:rtl/>
        </w:rPr>
        <w:t>מועצה</w:t>
      </w:r>
      <w:r w:rsidRPr="00EE3C46">
        <w:rPr>
          <w:b/>
          <w:bCs/>
          <w:rtl/>
        </w:rPr>
        <w:t xml:space="preserve"> </w:t>
      </w:r>
      <w:r w:rsidRPr="00EE3C46">
        <w:rPr>
          <w:rFonts w:hint="cs"/>
          <w:b/>
          <w:bCs/>
          <w:rtl/>
        </w:rPr>
        <w:t>מקומית</w:t>
      </w:r>
      <w:r w:rsidRPr="00EE3C46">
        <w:rPr>
          <w:b/>
          <w:bCs/>
          <w:rtl/>
        </w:rPr>
        <w:t xml:space="preserve"> </w:t>
      </w:r>
      <w:r w:rsidRPr="00EE3C46">
        <w:rPr>
          <w:rFonts w:hint="cs"/>
          <w:b/>
          <w:bCs/>
          <w:rtl/>
        </w:rPr>
        <w:t>ביר</w:t>
      </w:r>
      <w:r w:rsidRPr="00EE3C46">
        <w:rPr>
          <w:b/>
          <w:bCs/>
          <w:rtl/>
        </w:rPr>
        <w:t xml:space="preserve"> </w:t>
      </w:r>
      <w:proofErr w:type="spellStart"/>
      <w:r w:rsidRPr="00EE3C46">
        <w:rPr>
          <w:rFonts w:hint="cs"/>
          <w:b/>
          <w:bCs/>
          <w:rtl/>
        </w:rPr>
        <w:t>נבאלה</w:t>
      </w:r>
      <w:proofErr w:type="spellEnd"/>
      <w:r w:rsidRPr="00EE3C46">
        <w:rPr>
          <w:b/>
          <w:bCs/>
          <w:rtl/>
        </w:rPr>
        <w:t xml:space="preserve"> </w:t>
      </w:r>
      <w:r w:rsidRPr="00EE3C46">
        <w:rPr>
          <w:rFonts w:hint="cs"/>
          <w:b/>
          <w:bCs/>
          <w:rtl/>
        </w:rPr>
        <w:t>ו</w:t>
      </w:r>
      <w:r w:rsidRPr="00EE3C46">
        <w:rPr>
          <w:b/>
          <w:bCs/>
          <w:rtl/>
        </w:rPr>
        <w:t xml:space="preserve">-149 </w:t>
      </w:r>
      <w:r w:rsidRPr="00EE3C46">
        <w:rPr>
          <w:rFonts w:hint="cs"/>
          <w:b/>
          <w:bCs/>
          <w:rtl/>
        </w:rPr>
        <w:t>אחרים</w:t>
      </w:r>
      <w:r w:rsidRPr="00EE3C46">
        <w:rPr>
          <w:b/>
          <w:bCs/>
          <w:rtl/>
        </w:rPr>
        <w:t xml:space="preserve"> </w:t>
      </w:r>
      <w:r w:rsidRPr="00EE3C46">
        <w:rPr>
          <w:rFonts w:hint="cs"/>
          <w:rtl/>
        </w:rPr>
        <w:t>נ</w:t>
      </w:r>
      <w:r w:rsidRPr="00EE3C46">
        <w:rPr>
          <w:rtl/>
        </w:rPr>
        <w:t>'</w:t>
      </w:r>
      <w:r w:rsidRPr="00EE3C46">
        <w:rPr>
          <w:b/>
          <w:bCs/>
          <w:rtl/>
        </w:rPr>
        <w:t xml:space="preserve"> </w:t>
      </w:r>
      <w:r w:rsidRPr="00EE3C46">
        <w:rPr>
          <w:rFonts w:hint="cs"/>
          <w:b/>
          <w:bCs/>
          <w:rtl/>
        </w:rPr>
        <w:t>ממשלת</w:t>
      </w:r>
      <w:r w:rsidRPr="00EE3C46">
        <w:rPr>
          <w:b/>
          <w:bCs/>
          <w:rtl/>
        </w:rPr>
        <w:t xml:space="preserve"> </w:t>
      </w:r>
      <w:r w:rsidRPr="00EE3C46">
        <w:rPr>
          <w:rFonts w:hint="cs"/>
          <w:b/>
          <w:bCs/>
          <w:rtl/>
        </w:rPr>
        <w:t>ישראל</w:t>
      </w:r>
      <w:r w:rsidRPr="00EE3C46">
        <w:rPr>
          <w:rFonts w:hint="cs"/>
          <w:rtl/>
        </w:rPr>
        <w:t xml:space="preserve"> </w:t>
      </w:r>
      <w:r w:rsidRPr="00EE3C46">
        <w:rPr>
          <w:rtl/>
        </w:rPr>
        <w:t>(פורסם בנבו, 26.11.2006)</w:t>
      </w:r>
      <w:r w:rsidRPr="00EE3C46">
        <w:rPr>
          <w:rFonts w:hint="cs"/>
          <w:rtl/>
        </w:rPr>
        <w:t>;</w:t>
      </w:r>
      <w:r>
        <w:rPr>
          <w:rFonts w:hint="cs"/>
          <w:sz w:val="24"/>
          <w:szCs w:val="24"/>
          <w:rtl/>
        </w:rPr>
        <w:t xml:space="preserve"> </w:t>
      </w:r>
      <w:r w:rsidRPr="002D53DE">
        <w:rPr>
          <w:rFonts w:hint="cs"/>
          <w:highlight w:val="yellow"/>
          <w:rtl/>
        </w:rPr>
        <w:t xml:space="preserve">256/72 ;9717/03 אמירת אגב במחצבות (וגם </w:t>
      </w:r>
      <w:r w:rsidRPr="002D53DE">
        <w:rPr>
          <w:highlight w:val="yellow"/>
          <w:rtl/>
        </w:rPr>
        <w:t>–</w:t>
      </w:r>
      <w:r w:rsidRPr="002D53DE">
        <w:rPr>
          <w:rFonts w:hint="cs"/>
          <w:highlight w:val="yellow"/>
          <w:rtl/>
        </w:rPr>
        <w:t xml:space="preserve"> 2164/09)</w:t>
      </w:r>
    </w:p>
  </w:footnote>
  <w:footnote w:id="30">
    <w:p w:rsidR="00974DC7" w:rsidRPr="00AB2ED6" w:rsidRDefault="00974DC7" w:rsidP="002F2418">
      <w:pPr>
        <w:pStyle w:val="af0"/>
        <w:bidi/>
        <w:jc w:val="left"/>
        <w:rPr>
          <w:rtl/>
        </w:rPr>
      </w:pPr>
      <w:r>
        <w:rPr>
          <w:rStyle w:val="af2"/>
        </w:rPr>
        <w:footnoteRef/>
      </w:r>
      <w:r>
        <w:rPr>
          <w:rFonts w:hint="cs"/>
          <w:rtl/>
        </w:rPr>
        <w:t xml:space="preserve"> </w:t>
      </w:r>
      <w:r w:rsidRPr="00AB2ED6">
        <w:rPr>
          <w:rFonts w:hint="cs"/>
          <w:rtl/>
        </w:rPr>
        <w:t>בג</w:t>
      </w:r>
      <w:r>
        <w:rPr>
          <w:rFonts w:hint="cs"/>
          <w:rtl/>
        </w:rPr>
        <w:t>"</w:t>
      </w:r>
      <w:r w:rsidRPr="00AB2ED6">
        <w:rPr>
          <w:rFonts w:hint="cs"/>
          <w:rtl/>
        </w:rPr>
        <w:t>ץ</w:t>
      </w:r>
      <w:r w:rsidRPr="00AB2ED6">
        <w:rPr>
          <w:rtl/>
        </w:rPr>
        <w:t xml:space="preserve"> 72/86 </w:t>
      </w:r>
      <w:proofErr w:type="spellStart"/>
      <w:r w:rsidRPr="00AB2ED6">
        <w:rPr>
          <w:rFonts w:hint="cs"/>
          <w:b/>
          <w:bCs/>
          <w:rtl/>
        </w:rPr>
        <w:t>גאלב</w:t>
      </w:r>
      <w:proofErr w:type="spellEnd"/>
      <w:r w:rsidRPr="00AB2ED6">
        <w:rPr>
          <w:b/>
          <w:bCs/>
          <w:rtl/>
        </w:rPr>
        <w:t xml:space="preserve"> </w:t>
      </w:r>
      <w:r w:rsidRPr="00AB2ED6">
        <w:rPr>
          <w:rFonts w:hint="cs"/>
          <w:b/>
          <w:bCs/>
          <w:rtl/>
        </w:rPr>
        <w:t>ג</w:t>
      </w:r>
      <w:r w:rsidRPr="00AB2ED6">
        <w:rPr>
          <w:b/>
          <w:bCs/>
          <w:rtl/>
        </w:rPr>
        <w:t>'</w:t>
      </w:r>
      <w:r w:rsidRPr="00AB2ED6">
        <w:rPr>
          <w:rFonts w:hint="cs"/>
          <w:b/>
          <w:bCs/>
          <w:rtl/>
        </w:rPr>
        <w:t>ודי</w:t>
      </w:r>
      <w:r w:rsidRPr="00AB2ED6">
        <w:rPr>
          <w:b/>
          <w:bCs/>
          <w:rtl/>
        </w:rPr>
        <w:t xml:space="preserve"> </w:t>
      </w:r>
      <w:r w:rsidRPr="00AB2ED6">
        <w:rPr>
          <w:rFonts w:hint="cs"/>
          <w:b/>
          <w:bCs/>
          <w:rtl/>
        </w:rPr>
        <w:t>חסן</w:t>
      </w:r>
      <w:r w:rsidRPr="00AB2ED6">
        <w:rPr>
          <w:b/>
          <w:bCs/>
          <w:rtl/>
        </w:rPr>
        <w:t xml:space="preserve"> </w:t>
      </w:r>
      <w:proofErr w:type="spellStart"/>
      <w:r w:rsidRPr="00AB2ED6">
        <w:rPr>
          <w:rFonts w:hint="cs"/>
          <w:b/>
          <w:bCs/>
          <w:rtl/>
        </w:rPr>
        <w:t>זלום</w:t>
      </w:r>
      <w:proofErr w:type="spellEnd"/>
      <w:r w:rsidRPr="002D53DE">
        <w:rPr>
          <w:b/>
          <w:bCs/>
          <w:rtl/>
        </w:rPr>
        <w:t xml:space="preserve"> </w:t>
      </w:r>
      <w:r w:rsidRPr="002D53DE">
        <w:rPr>
          <w:rFonts w:hint="cs"/>
          <w:b/>
          <w:bCs/>
          <w:rtl/>
        </w:rPr>
        <w:t>נ</w:t>
      </w:r>
      <w:r w:rsidRPr="002D53DE">
        <w:rPr>
          <w:b/>
          <w:bCs/>
          <w:rtl/>
        </w:rPr>
        <w:t>'</w:t>
      </w:r>
      <w:r w:rsidRPr="00AB2ED6">
        <w:rPr>
          <w:b/>
          <w:bCs/>
          <w:rtl/>
        </w:rPr>
        <w:t xml:space="preserve"> </w:t>
      </w:r>
      <w:r w:rsidRPr="00AB2ED6">
        <w:rPr>
          <w:rFonts w:hint="cs"/>
          <w:b/>
          <w:bCs/>
          <w:rtl/>
        </w:rPr>
        <w:t>המפקד</w:t>
      </w:r>
      <w:r w:rsidRPr="00AB2ED6">
        <w:rPr>
          <w:b/>
          <w:bCs/>
          <w:rtl/>
        </w:rPr>
        <w:t xml:space="preserve"> </w:t>
      </w:r>
      <w:r w:rsidRPr="00AB2ED6">
        <w:rPr>
          <w:rFonts w:hint="cs"/>
          <w:b/>
          <w:bCs/>
          <w:rtl/>
        </w:rPr>
        <w:t>הצבאי</w:t>
      </w:r>
      <w:r w:rsidRPr="00AB2ED6">
        <w:rPr>
          <w:b/>
          <w:bCs/>
          <w:rtl/>
        </w:rPr>
        <w:t xml:space="preserve"> </w:t>
      </w:r>
      <w:r w:rsidRPr="00AB2ED6">
        <w:rPr>
          <w:rFonts w:hint="cs"/>
          <w:b/>
          <w:bCs/>
          <w:rtl/>
        </w:rPr>
        <w:t>לאזור</w:t>
      </w:r>
      <w:r w:rsidRPr="00AB2ED6">
        <w:rPr>
          <w:b/>
          <w:bCs/>
          <w:rtl/>
        </w:rPr>
        <w:t xml:space="preserve"> </w:t>
      </w:r>
      <w:r w:rsidRPr="00AB2ED6">
        <w:rPr>
          <w:rFonts w:hint="cs"/>
          <w:b/>
          <w:bCs/>
          <w:rtl/>
        </w:rPr>
        <w:t>יהודה</w:t>
      </w:r>
      <w:r w:rsidRPr="00AB2ED6">
        <w:rPr>
          <w:b/>
          <w:bCs/>
          <w:rtl/>
        </w:rPr>
        <w:t xml:space="preserve"> </w:t>
      </w:r>
      <w:r w:rsidRPr="00AB2ED6">
        <w:rPr>
          <w:rFonts w:hint="cs"/>
          <w:b/>
          <w:bCs/>
          <w:rtl/>
        </w:rPr>
        <w:t>ושומרון</w:t>
      </w:r>
      <w:r w:rsidRPr="00AB2ED6">
        <w:rPr>
          <w:rFonts w:hint="cs"/>
          <w:rtl/>
        </w:rPr>
        <w:t>, פ</w:t>
      </w:r>
      <w:r w:rsidRPr="00AB2ED6">
        <w:rPr>
          <w:rtl/>
        </w:rPr>
        <w:t>"</w:t>
      </w:r>
      <w:r w:rsidRPr="00AB2ED6">
        <w:rPr>
          <w:rFonts w:hint="cs"/>
          <w:rtl/>
        </w:rPr>
        <w:t>ד</w:t>
      </w:r>
      <w:r w:rsidRPr="00AB2ED6">
        <w:rPr>
          <w:rtl/>
        </w:rPr>
        <w:t xml:space="preserve"> </w:t>
      </w:r>
      <w:proofErr w:type="spellStart"/>
      <w:r w:rsidRPr="00AB2ED6">
        <w:rPr>
          <w:rFonts w:hint="cs"/>
          <w:rtl/>
        </w:rPr>
        <w:t>מא</w:t>
      </w:r>
      <w:proofErr w:type="spellEnd"/>
      <w:r w:rsidRPr="00AB2ED6">
        <w:rPr>
          <w:rtl/>
        </w:rPr>
        <w:t>(1) 528</w:t>
      </w:r>
      <w:r w:rsidRPr="00AB2ED6">
        <w:rPr>
          <w:rFonts w:hint="cs"/>
          <w:rtl/>
        </w:rPr>
        <w:t>(1987)</w:t>
      </w:r>
      <w:r w:rsidRPr="00AB2ED6">
        <w:rPr>
          <w:rFonts w:hint="cs"/>
          <w:sz w:val="16"/>
          <w:szCs w:val="16"/>
          <w:rtl/>
        </w:rPr>
        <w:t>.</w:t>
      </w:r>
    </w:p>
  </w:footnote>
  <w:footnote w:id="31">
    <w:p w:rsidR="00974DC7" w:rsidRDefault="00974DC7" w:rsidP="002F2418">
      <w:pPr>
        <w:pStyle w:val="af0"/>
        <w:bidi/>
        <w:rPr>
          <w:rtl/>
        </w:rPr>
      </w:pPr>
      <w:proofErr w:type="gramStart"/>
      <w:r>
        <w:t>"</w:t>
      </w:r>
      <w:r>
        <w:rPr>
          <w:rStyle w:val="af2"/>
        </w:rPr>
        <w:footnoteRef/>
      </w:r>
      <w:r>
        <w:rPr>
          <w:rFonts w:hint="cs"/>
          <w:rtl/>
        </w:rPr>
        <w:t xml:space="preserve"> יצוין, כי גם מי שטוען שלא ניתן להכיר במתיישבים כחלק מהאוכלוסייה המקומית, מכיר בכך שלמפקד הצבאי יש סמכות לבצע פעולות שנועדו להגן על שלומם וביטחונם של המתיישבים, אך זאת מתוקף המשפט הישראלי ולא כחלק מתקנה 43</w:t>
      </w:r>
      <w:r w:rsidRPr="00457972">
        <w:rPr>
          <w:rFonts w:hint="cs"/>
          <w:rtl/>
        </w:rPr>
        <w:t>.</w:t>
      </w:r>
      <w:proofErr w:type="gramEnd"/>
      <w:r w:rsidRPr="00457972">
        <w:rPr>
          <w:rFonts w:hint="cs"/>
          <w:rtl/>
        </w:rPr>
        <w:t xml:space="preserve"> ראה </w:t>
      </w:r>
      <w:r w:rsidRPr="00457972">
        <w:rPr>
          <w:rtl/>
        </w:rPr>
        <w:t xml:space="preserve">בג"ץ 2942/05 </w:t>
      </w:r>
      <w:r w:rsidRPr="00457972">
        <w:rPr>
          <w:b/>
          <w:bCs/>
          <w:rtl/>
        </w:rPr>
        <w:t xml:space="preserve">ד"ר </w:t>
      </w:r>
      <w:proofErr w:type="spellStart"/>
      <w:r w:rsidRPr="00457972">
        <w:rPr>
          <w:b/>
          <w:bCs/>
          <w:rtl/>
        </w:rPr>
        <w:t>נאפז</w:t>
      </w:r>
      <w:proofErr w:type="spellEnd"/>
      <w:r w:rsidRPr="00457972">
        <w:rPr>
          <w:b/>
          <w:bCs/>
          <w:rtl/>
        </w:rPr>
        <w:t xml:space="preserve"> </w:t>
      </w:r>
      <w:proofErr w:type="spellStart"/>
      <w:r w:rsidRPr="00457972">
        <w:rPr>
          <w:b/>
          <w:bCs/>
          <w:rtl/>
        </w:rPr>
        <w:t>ח'דר</w:t>
      </w:r>
      <w:proofErr w:type="spellEnd"/>
      <w:r w:rsidRPr="00457972">
        <w:rPr>
          <w:b/>
          <w:bCs/>
          <w:rtl/>
        </w:rPr>
        <w:t xml:space="preserve"> מנצור</w:t>
      </w:r>
      <w:r w:rsidRPr="00457972">
        <w:rPr>
          <w:rtl/>
        </w:rPr>
        <w:t xml:space="preserve"> נ' </w:t>
      </w:r>
      <w:r w:rsidRPr="00457972">
        <w:rPr>
          <w:b/>
          <w:bCs/>
          <w:rtl/>
        </w:rPr>
        <w:t>מדינת ישראל</w:t>
      </w:r>
      <w:r w:rsidRPr="00457972">
        <w:rPr>
          <w:rtl/>
        </w:rPr>
        <w:t xml:space="preserve"> (פורסם בנבו, 26.10.2006)</w:t>
      </w:r>
      <w:r w:rsidRPr="00457972">
        <w:rPr>
          <w:rFonts w:hint="cs"/>
          <w:rtl/>
        </w:rPr>
        <w:t>;</w:t>
      </w:r>
      <w:r w:rsidRPr="00457972">
        <w:rPr>
          <w:rFonts w:hint="cs"/>
          <w:b/>
          <w:bCs/>
          <w:rtl/>
        </w:rPr>
        <w:t xml:space="preserve"> </w:t>
      </w:r>
      <w:r w:rsidRPr="00457972">
        <w:rPr>
          <w:rFonts w:hint="cs"/>
          <w:rtl/>
        </w:rPr>
        <w:t>בג"ץ</w:t>
      </w:r>
      <w:r>
        <w:rPr>
          <w:rFonts w:hint="cs"/>
          <w:rtl/>
        </w:rPr>
        <w:t xml:space="preserve"> 5488/04 </w:t>
      </w:r>
      <w:r w:rsidRPr="002B5C1C">
        <w:rPr>
          <w:rFonts w:hint="cs"/>
          <w:b/>
          <w:bCs/>
          <w:rtl/>
        </w:rPr>
        <w:t xml:space="preserve">מועצה מקומית </w:t>
      </w:r>
      <w:proofErr w:type="spellStart"/>
      <w:r w:rsidRPr="002B5C1C">
        <w:rPr>
          <w:rFonts w:hint="cs"/>
          <w:b/>
          <w:bCs/>
          <w:rtl/>
        </w:rPr>
        <w:t>אלראם</w:t>
      </w:r>
      <w:proofErr w:type="spellEnd"/>
      <w:r w:rsidRPr="002B5C1C">
        <w:rPr>
          <w:rFonts w:hint="cs"/>
          <w:b/>
          <w:bCs/>
          <w:rtl/>
        </w:rPr>
        <w:t xml:space="preserve"> </w:t>
      </w:r>
      <w:r w:rsidRPr="002B5C1C">
        <w:rPr>
          <w:rFonts w:hint="cs"/>
          <w:rtl/>
        </w:rPr>
        <w:t>נ'</w:t>
      </w:r>
      <w:r w:rsidRPr="002B5C1C">
        <w:rPr>
          <w:rFonts w:hint="cs"/>
          <w:b/>
          <w:bCs/>
          <w:rtl/>
        </w:rPr>
        <w:t xml:space="preserve"> ממשלת ישראל</w:t>
      </w:r>
      <w:r>
        <w:rPr>
          <w:rFonts w:hint="cs"/>
          <w:rtl/>
        </w:rPr>
        <w:t xml:space="preserve">, 25-26 (פורסם בנבו </w:t>
      </w:r>
      <w:r w:rsidRPr="002B5C1C">
        <w:rPr>
          <w:rFonts w:hint="cs"/>
          <w:rtl/>
        </w:rPr>
        <w:t>13.12.2006</w:t>
      </w:r>
      <w:r>
        <w:rPr>
          <w:rFonts w:hint="cs"/>
          <w:rtl/>
        </w:rPr>
        <w:t>).</w:t>
      </w:r>
    </w:p>
  </w:footnote>
  <w:footnote w:id="32">
    <w:p w:rsidR="00974DC7" w:rsidRPr="00A671A1" w:rsidRDefault="00974DC7" w:rsidP="002340BD">
      <w:pPr>
        <w:pStyle w:val="af0"/>
        <w:bidi/>
      </w:pPr>
      <w:r w:rsidRPr="00A671A1">
        <w:rPr>
          <w:rStyle w:val="af2"/>
        </w:rPr>
        <w:footnoteRef/>
      </w:r>
      <w:r w:rsidRPr="00A671A1">
        <w:rPr>
          <w:rtl/>
        </w:rPr>
        <w:t xml:space="preserve"> </w:t>
      </w:r>
      <w:r w:rsidRPr="00A671A1">
        <w:rPr>
          <w:rFonts w:hint="cs"/>
          <w:rtl/>
        </w:rPr>
        <w:t xml:space="preserve">בג"ץ 281/11 </w:t>
      </w:r>
      <w:r w:rsidRPr="00A671A1">
        <w:rPr>
          <w:rFonts w:hint="cs"/>
          <w:b/>
          <w:bCs/>
          <w:rtl/>
        </w:rPr>
        <w:t xml:space="preserve">ראש מועצת בית </w:t>
      </w:r>
      <w:proofErr w:type="spellStart"/>
      <w:r w:rsidRPr="00A671A1">
        <w:rPr>
          <w:rFonts w:hint="cs"/>
          <w:b/>
          <w:bCs/>
          <w:rtl/>
        </w:rPr>
        <w:t>איכסא</w:t>
      </w:r>
      <w:proofErr w:type="spellEnd"/>
      <w:r>
        <w:rPr>
          <w:rFonts w:hint="cs"/>
          <w:b/>
          <w:bCs/>
          <w:rtl/>
        </w:rPr>
        <w:t xml:space="preserve"> </w:t>
      </w:r>
      <w:r w:rsidRPr="00D40F4A">
        <w:rPr>
          <w:b/>
          <w:bCs/>
          <w:rtl/>
        </w:rPr>
        <w:t xml:space="preserve">נ' שר הביטחון </w:t>
      </w:r>
      <w:r w:rsidRPr="00641271">
        <w:rPr>
          <w:rFonts w:hint="cs"/>
          <w:rtl/>
        </w:rPr>
        <w:t>(פורסם בנבו, 6.9.11),</w:t>
      </w:r>
      <w:r w:rsidRPr="00A671A1">
        <w:rPr>
          <w:rFonts w:hint="cs"/>
          <w:rtl/>
        </w:rPr>
        <w:t xml:space="preserve"> שם נקבע בנוגע להפקעת שטחים </w:t>
      </w:r>
      <w:proofErr w:type="spellStart"/>
      <w:r w:rsidRPr="00A671A1">
        <w:rPr>
          <w:rFonts w:hint="cs"/>
          <w:rtl/>
        </w:rPr>
        <w:t>באיו"ש</w:t>
      </w:r>
      <w:proofErr w:type="spellEnd"/>
      <w:r w:rsidRPr="00A671A1">
        <w:rPr>
          <w:rFonts w:hint="cs"/>
          <w:rtl/>
        </w:rPr>
        <w:t xml:space="preserve"> על ידי המפקד הצבאי לצורך הקמת מסילת רכבת בין תל אביב לירושלים, כי לא ניתן לעשות פעולה שמשרתת רק את האוכלוסייה של הכוח המחזיק שנמצאת</w:t>
      </w:r>
      <w:r w:rsidRPr="00A671A1">
        <w:rPr>
          <w:rtl/>
        </w:rPr>
        <w:t xml:space="preserve"> </w:t>
      </w:r>
      <w:r w:rsidRPr="00A671A1">
        <w:rPr>
          <w:rFonts w:hint="cs"/>
          <w:rtl/>
        </w:rPr>
        <w:t>מחוץ</w:t>
      </w:r>
      <w:r w:rsidRPr="00A671A1">
        <w:rPr>
          <w:rtl/>
        </w:rPr>
        <w:t xml:space="preserve"> </w:t>
      </w:r>
      <w:r w:rsidRPr="00A671A1">
        <w:rPr>
          <w:rFonts w:hint="cs"/>
          <w:rtl/>
        </w:rPr>
        <w:t>לשטח</w:t>
      </w:r>
      <w:r w:rsidRPr="00A671A1">
        <w:rPr>
          <w:rtl/>
        </w:rPr>
        <w:t xml:space="preserve"> </w:t>
      </w:r>
      <w:r w:rsidRPr="00A671A1">
        <w:rPr>
          <w:rFonts w:hint="cs"/>
          <w:rtl/>
        </w:rPr>
        <w:t xml:space="preserve">המוחזק. ראו פסקה 27 לפסק הדין: "אין גם חולק כי הפקעת מקרקעין לשם הקמת פרויקט שישרת רק את תושבי המדינה שאינם חיים באזור הנתון לתפיסה לוחמתית נוגדת את הדין הבינלאומי, ומשכך אינה מצויה בסמכותו של המפקד הצבאי." </w:t>
      </w:r>
      <w:r>
        <w:rPr>
          <w:rFonts w:hint="cs"/>
          <w:rtl/>
        </w:rPr>
        <w:t xml:space="preserve">(להלן: </w:t>
      </w:r>
      <w:r w:rsidRPr="00D40F4A">
        <w:rPr>
          <w:rFonts w:hint="cs"/>
          <w:b/>
          <w:bCs/>
          <w:rtl/>
        </w:rPr>
        <w:t>עניין</w:t>
      </w:r>
      <w:r w:rsidRPr="00D40F4A">
        <w:rPr>
          <w:b/>
          <w:bCs/>
          <w:rtl/>
        </w:rPr>
        <w:t xml:space="preserve"> בית </w:t>
      </w:r>
      <w:proofErr w:type="spellStart"/>
      <w:r w:rsidRPr="00D40F4A">
        <w:rPr>
          <w:rFonts w:hint="cs"/>
          <w:b/>
          <w:bCs/>
          <w:rtl/>
        </w:rPr>
        <w:t>איכסא</w:t>
      </w:r>
      <w:proofErr w:type="spellEnd"/>
      <w:r>
        <w:rPr>
          <w:rFonts w:hint="cs"/>
          <w:rtl/>
        </w:rPr>
        <w:t>)</w:t>
      </w:r>
    </w:p>
  </w:footnote>
  <w:footnote w:id="33">
    <w:p w:rsidR="00974DC7" w:rsidRDefault="00974DC7" w:rsidP="002340BD">
      <w:pPr>
        <w:pStyle w:val="af0"/>
        <w:bidi/>
        <w:rPr>
          <w:rFonts w:hint="cs"/>
          <w:rtl/>
        </w:rPr>
      </w:pPr>
      <w:r w:rsidRPr="00D423CF">
        <w:rPr>
          <w:rStyle w:val="af2"/>
          <w:highlight w:val="yellow"/>
        </w:rPr>
        <w:footnoteRef/>
      </w:r>
      <w:r w:rsidRPr="00D423CF">
        <w:rPr>
          <w:rFonts w:hint="cs"/>
          <w:highlight w:val="yellow"/>
          <w:rtl/>
        </w:rPr>
        <w:t xml:space="preserve"> </w:t>
      </w:r>
      <w:r w:rsidRPr="00D423CF">
        <w:rPr>
          <w:rFonts w:hint="cs"/>
          <w:highlight w:val="yellow"/>
          <w:rtl/>
        </w:rPr>
        <w:t>חברת החשמל</w:t>
      </w:r>
    </w:p>
  </w:footnote>
  <w:footnote w:id="34">
    <w:p w:rsidR="00974DC7" w:rsidRPr="00992380" w:rsidRDefault="00974DC7" w:rsidP="00B15CF5">
      <w:pPr>
        <w:pStyle w:val="af0"/>
        <w:bidi/>
        <w:rPr>
          <w:rtl/>
        </w:rPr>
      </w:pPr>
      <w:r w:rsidRPr="00B15CF5">
        <w:rPr>
          <w:rStyle w:val="af2"/>
        </w:rPr>
        <w:footnoteRef/>
      </w:r>
      <w:r w:rsidRPr="00B15CF5">
        <w:rPr>
          <w:rFonts w:hint="cs"/>
          <w:rtl/>
        </w:rPr>
        <w:t xml:space="preserve"> </w:t>
      </w:r>
      <w:r w:rsidRPr="00B15CF5">
        <w:rPr>
          <w:rFonts w:hint="cs"/>
          <w:rtl/>
        </w:rPr>
        <w:t>בג"ץ</w:t>
      </w:r>
      <w:r w:rsidRPr="00B15CF5">
        <w:rPr>
          <w:rtl/>
        </w:rPr>
        <w:t xml:space="preserve"> 5808/93 </w:t>
      </w:r>
      <w:r w:rsidRPr="00B15CF5">
        <w:rPr>
          <w:rFonts w:hint="cs"/>
          <w:b/>
          <w:bCs/>
          <w:rtl/>
        </w:rPr>
        <w:t>חברה</w:t>
      </w:r>
      <w:r w:rsidRPr="00B15CF5">
        <w:rPr>
          <w:b/>
          <w:bCs/>
          <w:rtl/>
        </w:rPr>
        <w:t xml:space="preserve"> </w:t>
      </w:r>
      <w:r w:rsidRPr="00B15CF5">
        <w:rPr>
          <w:rFonts w:hint="cs"/>
          <w:b/>
          <w:bCs/>
          <w:rtl/>
        </w:rPr>
        <w:t>כלכלית</w:t>
      </w:r>
      <w:r w:rsidRPr="00B15CF5">
        <w:rPr>
          <w:b/>
          <w:bCs/>
          <w:rtl/>
        </w:rPr>
        <w:t xml:space="preserve"> </w:t>
      </w:r>
      <w:r w:rsidRPr="00B15CF5">
        <w:rPr>
          <w:rFonts w:hint="cs"/>
          <w:b/>
          <w:bCs/>
          <w:rtl/>
        </w:rPr>
        <w:t>לירושלים</w:t>
      </w:r>
      <w:r w:rsidRPr="00B15CF5">
        <w:rPr>
          <w:b/>
          <w:bCs/>
          <w:rtl/>
        </w:rPr>
        <w:t xml:space="preserve"> </w:t>
      </w:r>
      <w:r w:rsidRPr="00B15CF5">
        <w:rPr>
          <w:rFonts w:hint="cs"/>
          <w:b/>
          <w:bCs/>
          <w:rtl/>
        </w:rPr>
        <w:t>בע</w:t>
      </w:r>
      <w:r w:rsidRPr="00B15CF5">
        <w:rPr>
          <w:b/>
          <w:bCs/>
          <w:rtl/>
        </w:rPr>
        <w:t>"</w:t>
      </w:r>
      <w:r w:rsidRPr="00B15CF5">
        <w:rPr>
          <w:rFonts w:hint="cs"/>
          <w:b/>
          <w:bCs/>
          <w:rtl/>
        </w:rPr>
        <w:t>מ</w:t>
      </w:r>
      <w:r w:rsidRPr="00B15CF5">
        <w:rPr>
          <w:b/>
          <w:bCs/>
          <w:rtl/>
        </w:rPr>
        <w:t xml:space="preserve"> </w:t>
      </w:r>
      <w:r w:rsidRPr="00B15CF5">
        <w:rPr>
          <w:rFonts w:hint="cs"/>
          <w:b/>
          <w:bCs/>
          <w:rtl/>
        </w:rPr>
        <w:t>נ</w:t>
      </w:r>
      <w:r w:rsidRPr="00B15CF5">
        <w:rPr>
          <w:b/>
          <w:bCs/>
          <w:rtl/>
        </w:rPr>
        <w:t xml:space="preserve">' </w:t>
      </w:r>
      <w:r w:rsidRPr="00B15CF5">
        <w:rPr>
          <w:rFonts w:hint="cs"/>
          <w:b/>
          <w:bCs/>
          <w:rtl/>
        </w:rPr>
        <w:t>מפקד</w:t>
      </w:r>
      <w:r w:rsidRPr="00B15CF5">
        <w:rPr>
          <w:b/>
          <w:bCs/>
          <w:rtl/>
        </w:rPr>
        <w:t xml:space="preserve"> </w:t>
      </w:r>
      <w:r w:rsidRPr="00B15CF5">
        <w:rPr>
          <w:rFonts w:hint="cs"/>
          <w:b/>
          <w:bCs/>
          <w:rtl/>
        </w:rPr>
        <w:t>כוחות</w:t>
      </w:r>
      <w:r w:rsidRPr="00B15CF5">
        <w:rPr>
          <w:b/>
          <w:bCs/>
          <w:rtl/>
        </w:rPr>
        <w:t xml:space="preserve"> </w:t>
      </w:r>
      <w:r w:rsidRPr="00B15CF5">
        <w:rPr>
          <w:rFonts w:hint="cs"/>
          <w:b/>
          <w:bCs/>
          <w:rtl/>
        </w:rPr>
        <w:t>צה</w:t>
      </w:r>
      <w:r w:rsidRPr="00B15CF5">
        <w:rPr>
          <w:b/>
          <w:bCs/>
          <w:rtl/>
        </w:rPr>
        <w:t>"</w:t>
      </w:r>
      <w:r w:rsidRPr="00B15CF5">
        <w:rPr>
          <w:rFonts w:hint="cs"/>
          <w:b/>
          <w:bCs/>
          <w:rtl/>
        </w:rPr>
        <w:t>ל</w:t>
      </w:r>
      <w:r w:rsidRPr="00B15CF5">
        <w:rPr>
          <w:b/>
          <w:bCs/>
          <w:rtl/>
        </w:rPr>
        <w:t xml:space="preserve"> </w:t>
      </w:r>
      <w:r w:rsidRPr="00B15CF5">
        <w:rPr>
          <w:rFonts w:hint="cs"/>
          <w:b/>
          <w:bCs/>
          <w:rtl/>
        </w:rPr>
        <w:t>ביהודה</w:t>
      </w:r>
      <w:r w:rsidRPr="00B15CF5">
        <w:rPr>
          <w:b/>
          <w:bCs/>
          <w:rtl/>
        </w:rPr>
        <w:t xml:space="preserve"> </w:t>
      </w:r>
      <w:r w:rsidRPr="00B15CF5">
        <w:rPr>
          <w:rFonts w:hint="cs"/>
          <w:b/>
          <w:bCs/>
          <w:rtl/>
        </w:rPr>
        <w:t>ושומרון</w:t>
      </w:r>
      <w:r w:rsidRPr="00B15CF5">
        <w:rPr>
          <w:rFonts w:hint="cs"/>
          <w:rtl/>
        </w:rPr>
        <w:t>, פ</w:t>
      </w:r>
      <w:r w:rsidRPr="00B15CF5">
        <w:rPr>
          <w:rtl/>
        </w:rPr>
        <w:t>"</w:t>
      </w:r>
      <w:r w:rsidRPr="00B15CF5">
        <w:rPr>
          <w:rFonts w:hint="cs"/>
          <w:rtl/>
        </w:rPr>
        <w:t>ד</w:t>
      </w:r>
      <w:r w:rsidRPr="00B15CF5">
        <w:rPr>
          <w:rtl/>
        </w:rPr>
        <w:t xml:space="preserve"> </w:t>
      </w:r>
      <w:r w:rsidRPr="00B15CF5">
        <w:rPr>
          <w:rFonts w:hint="cs"/>
          <w:rtl/>
        </w:rPr>
        <w:t>מט</w:t>
      </w:r>
      <w:r w:rsidRPr="00B15CF5">
        <w:rPr>
          <w:rtl/>
        </w:rPr>
        <w:t>(1) 89</w:t>
      </w:r>
      <w:r w:rsidRPr="00B15CF5">
        <w:rPr>
          <w:rFonts w:hint="cs"/>
          <w:rtl/>
        </w:rPr>
        <w:t xml:space="preserve"> (1995).</w:t>
      </w:r>
    </w:p>
  </w:footnote>
  <w:footnote w:id="35">
    <w:p w:rsidR="00974DC7" w:rsidRPr="00AB2ED6" w:rsidRDefault="00974DC7" w:rsidP="0054359F">
      <w:pPr>
        <w:pStyle w:val="af0"/>
        <w:bidi/>
        <w:rPr>
          <w:rtl/>
        </w:rPr>
      </w:pPr>
      <w:r>
        <w:rPr>
          <w:rStyle w:val="af2"/>
        </w:rPr>
        <w:footnoteRef/>
      </w:r>
      <w:r>
        <w:rPr>
          <w:rFonts w:hint="cs"/>
          <w:rtl/>
        </w:rPr>
        <w:t xml:space="preserve"> </w:t>
      </w:r>
      <w:proofErr w:type="spellStart"/>
      <w:r>
        <w:rPr>
          <w:rFonts w:cs="Times New Roman"/>
        </w:rPr>
        <w:t>Yoram</w:t>
      </w:r>
      <w:proofErr w:type="spellEnd"/>
      <w:r>
        <w:rPr>
          <w:rFonts w:cs="Times New Roman"/>
        </w:rPr>
        <w:t xml:space="preserve"> </w:t>
      </w:r>
      <w:proofErr w:type="spellStart"/>
      <w:r>
        <w:rPr>
          <w:rFonts w:cs="Times New Roman"/>
        </w:rPr>
        <w:t>Dinstein</w:t>
      </w:r>
      <w:proofErr w:type="spellEnd"/>
      <w:r>
        <w:rPr>
          <w:rFonts w:cs="Times New Roman"/>
        </w:rPr>
        <w:t xml:space="preserve">, The International Law of Belligerent Occupation, Cambridge University Press, 60, </w:t>
      </w:r>
      <w:r w:rsidRPr="00AB2ED6">
        <w:rPr>
          <w:rFonts w:cs="Times New Roman"/>
          <w:highlight w:val="yellow"/>
        </w:rPr>
        <w:t>85</w:t>
      </w:r>
      <w:r>
        <w:rPr>
          <w:rFonts w:cs="Times New Roman"/>
        </w:rPr>
        <w:t xml:space="preserve"> (2009)</w:t>
      </w:r>
      <w:r>
        <w:rPr>
          <w:rFonts w:hint="cs"/>
          <w:rtl/>
        </w:rPr>
        <w:t xml:space="preserve"> (להלן: </w:t>
      </w:r>
      <w:proofErr w:type="spellStart"/>
      <w:r w:rsidRPr="0090748C">
        <w:rPr>
          <w:rFonts w:hint="cs"/>
          <w:b/>
          <w:bCs/>
          <w:rtl/>
        </w:rPr>
        <w:t>דינשטיין</w:t>
      </w:r>
      <w:proofErr w:type="spellEnd"/>
      <w:r w:rsidRPr="0090748C">
        <w:rPr>
          <w:rFonts w:hint="cs"/>
          <w:b/>
          <w:bCs/>
          <w:rtl/>
        </w:rPr>
        <w:t xml:space="preserve"> 2009</w:t>
      </w:r>
      <w:r>
        <w:rPr>
          <w:rFonts w:hint="cs"/>
          <w:rtl/>
        </w:rPr>
        <w:t>)</w:t>
      </w:r>
      <w:r w:rsidRPr="00AB2ED6">
        <w:rPr>
          <w:rFonts w:hint="cs"/>
          <w:rtl/>
        </w:rPr>
        <w:t xml:space="preserve">; </w:t>
      </w:r>
      <w:r w:rsidRPr="00AB2ED6">
        <w:rPr>
          <w:rFonts w:asciiTheme="majorBidi" w:hAnsiTheme="majorBidi"/>
        </w:rPr>
        <w:t>Nils Meltzer, International Humanitarian Law</w:t>
      </w:r>
      <w:r w:rsidRPr="00AB2ED6">
        <w:rPr>
          <w:rFonts w:asciiTheme="majorBidi" w:hAnsiTheme="majorBidi"/>
          <w:sz w:val="28"/>
          <w:szCs w:val="28"/>
        </w:rPr>
        <w:t xml:space="preserve"> </w:t>
      </w:r>
      <w:r w:rsidRPr="00AB2ED6">
        <w:rPr>
          <w:rFonts w:asciiTheme="majorBidi" w:hAnsiTheme="majorBidi"/>
        </w:rPr>
        <w:t>A Comprehensiv</w:t>
      </w:r>
      <w:r>
        <w:rPr>
          <w:rFonts w:asciiTheme="majorBidi" w:hAnsiTheme="majorBidi"/>
        </w:rPr>
        <w:t>e Introduction, ICRC 240 (2016)</w:t>
      </w:r>
      <w:r>
        <w:rPr>
          <w:rFonts w:asciiTheme="majorBidi" w:hAnsiTheme="majorBidi" w:hint="cs"/>
          <w:rtl/>
        </w:rPr>
        <w:t xml:space="preserve">: </w:t>
      </w:r>
      <w:r w:rsidRPr="00BF1C36">
        <w:rPr>
          <w:rFonts w:asciiTheme="majorBidi" w:hAnsiTheme="majorBidi"/>
        </w:rPr>
        <w:t xml:space="preserve">"While the Hague Regulations protect the population of the occupied territory </w:t>
      </w:r>
      <w:r w:rsidRPr="00467030">
        <w:rPr>
          <w:rFonts w:asciiTheme="majorBidi" w:hAnsiTheme="majorBidi"/>
          <w:u w:val="single"/>
        </w:rPr>
        <w:t>as a whole</w:t>
      </w:r>
      <w:r w:rsidRPr="00BF1C36">
        <w:rPr>
          <w:rFonts w:asciiTheme="majorBidi" w:hAnsiTheme="majorBidi"/>
        </w:rPr>
        <w:t xml:space="preserve">, the Fourth Geneva Convention is based on the concept of “protected person,” </w:t>
      </w:r>
      <w:r>
        <w:rPr>
          <w:rFonts w:asciiTheme="majorBidi" w:hAnsiTheme="majorBidi"/>
        </w:rPr>
        <w:t>…</w:t>
      </w:r>
      <w:r>
        <w:rPr>
          <w:rFonts w:asciiTheme="majorBidi" w:hAnsiTheme="majorBidi" w:hint="cs"/>
          <w:rtl/>
        </w:rPr>
        <w:t>"</w:t>
      </w:r>
    </w:p>
  </w:footnote>
  <w:footnote w:id="36">
    <w:p w:rsidR="00974DC7" w:rsidRDefault="00974DC7" w:rsidP="002340BD">
      <w:pPr>
        <w:pStyle w:val="af0"/>
        <w:bidi/>
        <w:rPr>
          <w:rtl/>
        </w:rPr>
      </w:pPr>
      <w:r>
        <w:rPr>
          <w:rStyle w:val="af2"/>
        </w:rPr>
        <w:footnoteRef/>
      </w:r>
      <w:r>
        <w:t xml:space="preserve"> </w:t>
      </w:r>
      <w:r>
        <w:rPr>
          <w:rFonts w:hint="cs"/>
          <w:rtl/>
        </w:rPr>
        <w:t xml:space="preserve"> </w:t>
      </w:r>
      <w:r>
        <w:rPr>
          <w:rStyle w:val="apple-style-span"/>
          <w:rFonts w:hint="cs"/>
          <w:rtl/>
        </w:rPr>
        <w:t>טענה זו גורסת כי המתיישבים הם חלק מהאוכלוסייה המקומית, ולכן ניתן ליטול זכויות של פרטים בקרקע למען צרכיהם</w:t>
      </w:r>
      <w:r>
        <w:rPr>
          <w:rFonts w:hint="cs"/>
          <w:rtl/>
        </w:rPr>
        <w:t xml:space="preserve">. ראו חוות דעתו של פרופ' יוג'ין </w:t>
      </w:r>
      <w:proofErr w:type="spellStart"/>
      <w:r>
        <w:rPr>
          <w:rFonts w:hint="cs"/>
          <w:rtl/>
        </w:rPr>
        <w:t>קונטרוביץ</w:t>
      </w:r>
      <w:proofErr w:type="spellEnd"/>
      <w:r>
        <w:rPr>
          <w:rFonts w:hint="cs"/>
          <w:rtl/>
        </w:rPr>
        <w:t xml:space="preserve">' בעניין חוק ההסדרה שהוגשה לכנסת בנובמבר 2016, בעמ' 5-6. </w:t>
      </w:r>
      <w:r>
        <w:fldChar w:fldCharType="begin"/>
      </w:r>
      <w:r>
        <w:instrText xml:space="preserve"> HYPERLINK "http://fs.knesset.gov.il/20/Committees/20_cs_bg_363631.pdf" </w:instrText>
      </w:r>
      <w:r>
        <w:fldChar w:fldCharType="separate"/>
      </w:r>
      <w:proofErr w:type="gramStart"/>
      <w:r w:rsidRPr="0093206D">
        <w:rPr>
          <w:rStyle w:val="Hyperlink"/>
        </w:rPr>
        <w:t>http://fs.knesset.gov.il/20/Committees/20_cs_bg_363631.pdf</w:t>
      </w:r>
      <w:r>
        <w:rPr>
          <w:rStyle w:val="Hyperlink"/>
        </w:rPr>
        <w:fldChar w:fldCharType="end"/>
      </w:r>
      <w:r>
        <w:rPr>
          <w:rFonts w:hint="cs"/>
          <w:rtl/>
        </w:rPr>
        <w:t xml:space="preserve">; </w:t>
      </w:r>
      <w:r w:rsidRPr="00201859">
        <w:rPr>
          <w:rFonts w:hint="cs"/>
          <w:highlight w:val="yellow"/>
          <w:rtl/>
        </w:rPr>
        <w:t>וראו גם את חוות הדעת של ועדת ההסדרה</w:t>
      </w:r>
      <w:r>
        <w:rPr>
          <w:rFonts w:hint="cs"/>
          <w:highlight w:val="yellow"/>
          <w:rtl/>
        </w:rPr>
        <w:t xml:space="preserve"> בעניין </w:t>
      </w:r>
      <w:r w:rsidRPr="00D423CF">
        <w:rPr>
          <w:rFonts w:hint="cs"/>
          <w:highlight w:val="yellow"/>
          <w:rtl/>
        </w:rPr>
        <w:t xml:space="preserve">חרשה </w:t>
      </w:r>
      <w:r w:rsidRPr="00D423CF">
        <w:rPr>
          <w:highlight w:val="yellow"/>
          <w:rtl/>
        </w:rPr>
        <w:t>–</w:t>
      </w:r>
      <w:r w:rsidRPr="00D423CF">
        <w:rPr>
          <w:rFonts w:hint="cs"/>
          <w:highlight w:val="yellow"/>
          <w:rtl/>
        </w:rPr>
        <w:t xml:space="preserve"> דרך גישה</w:t>
      </w:r>
      <w:r>
        <w:rPr>
          <w:rFonts w:hint="cs"/>
          <w:highlight w:val="yellow"/>
          <w:rtl/>
        </w:rPr>
        <w:t>, דצמבר 2016</w:t>
      </w:r>
      <w:r w:rsidRPr="00201859">
        <w:rPr>
          <w:rFonts w:hint="cs"/>
          <w:highlight w:val="yellow"/>
          <w:rtl/>
        </w:rPr>
        <w:t>.</w:t>
      </w:r>
      <w:proofErr w:type="gramEnd"/>
    </w:p>
  </w:footnote>
  <w:footnote w:id="37">
    <w:p w:rsidR="00974DC7" w:rsidRPr="00184CCD" w:rsidRDefault="00974DC7" w:rsidP="002D53DE">
      <w:pPr>
        <w:pStyle w:val="af0"/>
        <w:bidi/>
        <w:rPr>
          <w:rtl/>
        </w:rPr>
      </w:pPr>
      <w:r>
        <w:rPr>
          <w:rStyle w:val="af2"/>
        </w:rPr>
        <w:footnoteRef/>
      </w:r>
      <w:r>
        <w:rPr>
          <w:rFonts w:hint="cs"/>
          <w:rtl/>
        </w:rPr>
        <w:t xml:space="preserve"> </w:t>
      </w:r>
      <w:r>
        <w:rPr>
          <w:rFonts w:hint="cs"/>
          <w:rtl/>
        </w:rPr>
        <w:t xml:space="preserve">כך ניתן לדוגמא להבין מקריאה </w:t>
      </w:r>
      <w:r w:rsidRPr="002D53DE">
        <w:rPr>
          <w:rFonts w:hint="cs"/>
          <w:rtl/>
        </w:rPr>
        <w:t>של בג</w:t>
      </w:r>
      <w:r w:rsidRPr="002D53DE">
        <w:rPr>
          <w:rtl/>
        </w:rPr>
        <w:t>"</w:t>
      </w:r>
      <w:r w:rsidRPr="002D53DE">
        <w:rPr>
          <w:rFonts w:hint="cs"/>
          <w:rtl/>
        </w:rPr>
        <w:t>ץ</w:t>
      </w:r>
      <w:r w:rsidRPr="002D53DE">
        <w:rPr>
          <w:rtl/>
        </w:rPr>
        <w:t xml:space="preserve"> 591/88 </w:t>
      </w:r>
      <w:proofErr w:type="spellStart"/>
      <w:r w:rsidRPr="002D53DE">
        <w:rPr>
          <w:rFonts w:hint="cs"/>
          <w:b/>
          <w:bCs/>
          <w:rtl/>
        </w:rPr>
        <w:t>טאהה</w:t>
      </w:r>
      <w:proofErr w:type="spellEnd"/>
      <w:r w:rsidRPr="002D53DE">
        <w:rPr>
          <w:b/>
          <w:bCs/>
          <w:rtl/>
        </w:rPr>
        <w:t xml:space="preserve">, </w:t>
      </w:r>
      <w:r w:rsidRPr="002D53DE">
        <w:rPr>
          <w:rFonts w:hint="cs"/>
          <w:b/>
          <w:bCs/>
          <w:rtl/>
        </w:rPr>
        <w:t>קטין</w:t>
      </w:r>
      <w:r w:rsidRPr="002D53DE">
        <w:rPr>
          <w:b/>
          <w:bCs/>
          <w:rtl/>
        </w:rPr>
        <w:t xml:space="preserve"> </w:t>
      </w:r>
      <w:r w:rsidRPr="002D53DE">
        <w:rPr>
          <w:rFonts w:hint="cs"/>
          <w:b/>
          <w:bCs/>
          <w:rtl/>
        </w:rPr>
        <w:t>ואח</w:t>
      </w:r>
      <w:r w:rsidRPr="002D53DE">
        <w:rPr>
          <w:b/>
          <w:bCs/>
          <w:rtl/>
        </w:rPr>
        <w:t xml:space="preserve">' </w:t>
      </w:r>
      <w:r w:rsidRPr="002D53DE">
        <w:rPr>
          <w:rFonts w:hint="cs"/>
          <w:b/>
          <w:bCs/>
          <w:rtl/>
        </w:rPr>
        <w:t>נ</w:t>
      </w:r>
      <w:r w:rsidRPr="002D53DE">
        <w:rPr>
          <w:b/>
          <w:bCs/>
          <w:rtl/>
        </w:rPr>
        <w:t xml:space="preserve">' </w:t>
      </w:r>
      <w:r w:rsidRPr="002D53DE">
        <w:rPr>
          <w:rFonts w:hint="cs"/>
          <w:b/>
          <w:bCs/>
          <w:rtl/>
        </w:rPr>
        <w:t>שר</w:t>
      </w:r>
      <w:r w:rsidRPr="002D53DE">
        <w:rPr>
          <w:b/>
          <w:bCs/>
          <w:rtl/>
        </w:rPr>
        <w:t xml:space="preserve"> </w:t>
      </w:r>
      <w:r w:rsidRPr="002D53DE">
        <w:rPr>
          <w:rFonts w:hint="cs"/>
          <w:b/>
          <w:bCs/>
          <w:rtl/>
        </w:rPr>
        <w:t>הביטחון</w:t>
      </w:r>
      <w:r w:rsidRPr="002D53DE">
        <w:rPr>
          <w:b/>
          <w:bCs/>
          <w:rtl/>
        </w:rPr>
        <w:t xml:space="preserve"> </w:t>
      </w:r>
      <w:r w:rsidRPr="002D53DE">
        <w:rPr>
          <w:rFonts w:hint="cs"/>
          <w:b/>
          <w:bCs/>
          <w:rtl/>
        </w:rPr>
        <w:t>ואח</w:t>
      </w:r>
      <w:r w:rsidRPr="002D53DE">
        <w:rPr>
          <w:b/>
          <w:bCs/>
          <w:rtl/>
        </w:rPr>
        <w:t>'</w:t>
      </w:r>
      <w:r w:rsidRPr="002D53DE">
        <w:rPr>
          <w:rtl/>
        </w:rPr>
        <w:t xml:space="preserve">, </w:t>
      </w:r>
      <w:r w:rsidRPr="002D53DE">
        <w:rPr>
          <w:rFonts w:hint="cs"/>
          <w:rtl/>
        </w:rPr>
        <w:t>פ</w:t>
      </w:r>
      <w:r w:rsidRPr="002D53DE">
        <w:rPr>
          <w:rtl/>
        </w:rPr>
        <w:t>"</w:t>
      </w:r>
      <w:r w:rsidRPr="002D53DE">
        <w:rPr>
          <w:rFonts w:hint="cs"/>
          <w:rtl/>
        </w:rPr>
        <w:t>ד</w:t>
      </w:r>
      <w:r w:rsidRPr="002D53DE">
        <w:rPr>
          <w:rtl/>
        </w:rPr>
        <w:t xml:space="preserve"> </w:t>
      </w:r>
      <w:r w:rsidRPr="002D53DE">
        <w:rPr>
          <w:rFonts w:hint="cs"/>
          <w:rtl/>
        </w:rPr>
        <w:t>מה</w:t>
      </w:r>
      <w:r w:rsidRPr="002D53DE">
        <w:rPr>
          <w:rtl/>
        </w:rPr>
        <w:t>(2) 45 (1991)</w:t>
      </w:r>
      <w:r>
        <w:rPr>
          <w:rFonts w:hint="cs"/>
          <w:rtl/>
        </w:rPr>
        <w:t>; ו</w:t>
      </w:r>
      <w:r w:rsidRPr="002D53DE">
        <w:rPr>
          <w:rtl/>
        </w:rPr>
        <w:t xml:space="preserve">בג"ץ (ירושלים) 2977/91 </w:t>
      </w:r>
      <w:r w:rsidRPr="002D53DE">
        <w:rPr>
          <w:b/>
          <w:bCs/>
          <w:rtl/>
        </w:rPr>
        <w:t xml:space="preserve">עלי </w:t>
      </w:r>
      <w:proofErr w:type="spellStart"/>
      <w:r w:rsidRPr="002D53DE">
        <w:rPr>
          <w:b/>
          <w:bCs/>
          <w:rtl/>
        </w:rPr>
        <w:t>חוסין</w:t>
      </w:r>
      <w:proofErr w:type="spellEnd"/>
      <w:r w:rsidRPr="002D53DE">
        <w:rPr>
          <w:b/>
          <w:bCs/>
          <w:rtl/>
        </w:rPr>
        <w:t xml:space="preserve"> מוחמד תג</w:t>
      </w:r>
      <w:r w:rsidRPr="002D53DE">
        <w:rPr>
          <w:rFonts w:hint="cs"/>
          <w:b/>
          <w:bCs/>
          <w:rtl/>
        </w:rPr>
        <w:t>'</w:t>
      </w:r>
      <w:r w:rsidRPr="002D53DE">
        <w:rPr>
          <w:b/>
          <w:bCs/>
          <w:rtl/>
        </w:rPr>
        <w:t xml:space="preserve"> נ'</w:t>
      </w:r>
      <w:r w:rsidRPr="002D53DE">
        <w:rPr>
          <w:rtl/>
        </w:rPr>
        <w:t xml:space="preserve"> </w:t>
      </w:r>
      <w:r w:rsidRPr="002D53DE">
        <w:rPr>
          <w:b/>
          <w:bCs/>
          <w:rtl/>
        </w:rPr>
        <w:t>שר הביטחון</w:t>
      </w:r>
      <w:r w:rsidRPr="002D53DE">
        <w:rPr>
          <w:rtl/>
        </w:rPr>
        <w:t>, מו(5) 467 (1992)</w:t>
      </w:r>
      <w:r w:rsidRPr="002D53DE">
        <w:rPr>
          <w:rFonts w:hint="cs"/>
          <w:sz w:val="16"/>
          <w:szCs w:val="16"/>
          <w:rtl/>
        </w:rPr>
        <w:t>.</w:t>
      </w:r>
    </w:p>
  </w:footnote>
  <w:footnote w:id="38">
    <w:p w:rsidR="00974DC7" w:rsidRPr="00184CCD" w:rsidRDefault="00974DC7" w:rsidP="00FD6F09">
      <w:pPr>
        <w:pStyle w:val="af0"/>
        <w:bidi/>
        <w:rPr>
          <w:rtl/>
        </w:rPr>
      </w:pPr>
      <w:r>
        <w:rPr>
          <w:rStyle w:val="af2"/>
        </w:rPr>
        <w:footnoteRef/>
      </w:r>
      <w:r>
        <w:rPr>
          <w:rFonts w:hint="cs"/>
          <w:rtl/>
        </w:rPr>
        <w:t xml:space="preserve"> </w:t>
      </w:r>
      <w:r w:rsidRPr="00AB2ED6">
        <w:rPr>
          <w:rFonts w:asciiTheme="majorBidi" w:hAnsiTheme="majorBidi"/>
          <w:rtl/>
        </w:rPr>
        <w:t xml:space="preserve">איל זמיר ואיל </w:t>
      </w:r>
      <w:proofErr w:type="spellStart"/>
      <w:r w:rsidRPr="00AB2ED6">
        <w:rPr>
          <w:rFonts w:asciiTheme="majorBidi" w:hAnsiTheme="majorBidi"/>
          <w:rtl/>
        </w:rPr>
        <w:t>בנבנשתי</w:t>
      </w:r>
      <w:proofErr w:type="spellEnd"/>
      <w:r w:rsidRPr="00AB2ED6">
        <w:rPr>
          <w:rFonts w:asciiTheme="majorBidi" w:hAnsiTheme="majorBidi"/>
          <w:rtl/>
        </w:rPr>
        <w:t xml:space="preserve">, 'אדמות היהודים' ביהודה, שומרון, חבל עזה ומזרח ירושלים, </w:t>
      </w:r>
      <w:r w:rsidRPr="00AB2ED6">
        <w:rPr>
          <w:rFonts w:asciiTheme="majorBidi" w:hAnsiTheme="majorBidi"/>
          <w:b/>
          <w:bCs/>
          <w:rtl/>
        </w:rPr>
        <w:t>מכון ירושלים לחקר ישראל</w:t>
      </w:r>
      <w:r w:rsidRPr="00AB2ED6">
        <w:rPr>
          <w:rFonts w:asciiTheme="majorBidi" w:hAnsiTheme="majorBidi"/>
          <w:rtl/>
        </w:rPr>
        <w:t>, 293 (1993)</w:t>
      </w:r>
      <w:r w:rsidRPr="00AB2ED6">
        <w:rPr>
          <w:rFonts w:hint="cs"/>
          <w:rtl/>
        </w:rPr>
        <w:t>:</w:t>
      </w:r>
      <w:r>
        <w:rPr>
          <w:rFonts w:hint="cs"/>
          <w:rtl/>
        </w:rPr>
        <w:t xml:space="preserve"> "י</w:t>
      </w:r>
      <w:r>
        <w:rPr>
          <w:rtl/>
        </w:rPr>
        <w:t xml:space="preserve">ש להניח שלעיני מגבשי אמנת האג עמדה </w:t>
      </w:r>
      <w:proofErr w:type="spellStart"/>
      <w:r>
        <w:rPr>
          <w:rtl/>
        </w:rPr>
        <w:t>האוכלוסיה</w:t>
      </w:r>
      <w:proofErr w:type="spellEnd"/>
      <w:r>
        <w:rPr>
          <w:rtl/>
        </w:rPr>
        <w:t xml:space="preserve"> המקומית, אזרחי הריבון הקודם. המשפט הבינלאומי אינו עוסק מפורשות בזכויות אזרחי המדינה הכובשת באזור </w:t>
      </w:r>
      <w:proofErr w:type="spellStart"/>
      <w:r>
        <w:rPr>
          <w:rtl/>
        </w:rPr>
        <w:t>המימשל</w:t>
      </w:r>
      <w:proofErr w:type="spellEnd"/>
      <w:r>
        <w:rPr>
          <w:rtl/>
        </w:rPr>
        <w:t xml:space="preserve"> הצבאי</w:t>
      </w:r>
      <w:r>
        <w:rPr>
          <w:rFonts w:hint="cs"/>
          <w:rtl/>
        </w:rPr>
        <w:t>."</w:t>
      </w:r>
    </w:p>
  </w:footnote>
  <w:footnote w:id="39">
    <w:p w:rsidR="00974DC7" w:rsidRPr="002D53DE" w:rsidRDefault="00974DC7" w:rsidP="00CD7620">
      <w:pPr>
        <w:pStyle w:val="af0"/>
        <w:bidi/>
        <w:rPr>
          <w:rtl/>
        </w:rPr>
      </w:pPr>
      <w:r w:rsidRPr="002D53DE">
        <w:t xml:space="preserve"> </w:t>
      </w:r>
      <w:r w:rsidRPr="002D53DE">
        <w:rPr>
          <w:rStyle w:val="af2"/>
        </w:rPr>
        <w:footnoteRef/>
      </w:r>
      <w:r w:rsidRPr="002D53DE">
        <w:t xml:space="preserve"> </w:t>
      </w:r>
      <w:r w:rsidRPr="002D53DE">
        <w:rPr>
          <w:rFonts w:hint="cs"/>
          <w:b/>
          <w:bCs/>
          <w:rtl/>
        </w:rPr>
        <w:t xml:space="preserve">עניין </w:t>
      </w:r>
      <w:proofErr w:type="spellStart"/>
      <w:r w:rsidRPr="002D53DE">
        <w:rPr>
          <w:rFonts w:hint="cs"/>
          <w:b/>
          <w:bCs/>
          <w:rtl/>
        </w:rPr>
        <w:t>אסכאן</w:t>
      </w:r>
      <w:proofErr w:type="spellEnd"/>
      <w:r w:rsidRPr="002D53DE">
        <w:rPr>
          <w:rFonts w:hint="cs"/>
          <w:rtl/>
        </w:rPr>
        <w:t xml:space="preserve">, </w:t>
      </w:r>
      <w:proofErr w:type="spellStart"/>
      <w:r w:rsidRPr="002D53DE">
        <w:rPr>
          <w:rFonts w:hint="cs"/>
          <w:rtl/>
        </w:rPr>
        <w:t>ה"ש</w:t>
      </w:r>
      <w:proofErr w:type="spellEnd"/>
      <w:r w:rsidRPr="002D53DE">
        <w:rPr>
          <w:rFonts w:hint="cs"/>
          <w:rtl/>
        </w:rPr>
        <w:t xml:space="preserve"> 14 לעיל.</w:t>
      </w:r>
    </w:p>
  </w:footnote>
  <w:footnote w:id="40">
    <w:p w:rsidR="00974DC7" w:rsidRPr="00AB2ED6" w:rsidRDefault="00974DC7" w:rsidP="00CD7620">
      <w:pPr>
        <w:pStyle w:val="af0"/>
        <w:bidi/>
        <w:rPr>
          <w:rtl/>
        </w:rPr>
      </w:pPr>
      <w:r w:rsidRPr="00AB2ED6">
        <w:rPr>
          <w:rStyle w:val="af2"/>
        </w:rPr>
        <w:footnoteRef/>
      </w:r>
      <w:r w:rsidRPr="00AB2ED6">
        <w:t xml:space="preserve"> </w:t>
      </w:r>
      <w:r>
        <w:rPr>
          <w:rFonts w:hint="cs"/>
          <w:b/>
          <w:bCs/>
          <w:rtl/>
        </w:rPr>
        <w:t xml:space="preserve"> </w:t>
      </w:r>
      <w:r>
        <w:rPr>
          <w:rFonts w:hint="cs"/>
          <w:b/>
          <w:bCs/>
          <w:rtl/>
        </w:rPr>
        <w:t xml:space="preserve">עניין </w:t>
      </w:r>
      <w:r w:rsidRPr="00AB2ED6">
        <w:rPr>
          <w:rFonts w:hint="cs"/>
          <w:b/>
          <w:bCs/>
          <w:rtl/>
        </w:rPr>
        <w:t>חברת החשמל</w:t>
      </w:r>
      <w:r w:rsidRPr="002D53DE">
        <w:rPr>
          <w:rFonts w:hint="cs"/>
          <w:rtl/>
        </w:rPr>
        <w:t xml:space="preserve">, </w:t>
      </w:r>
      <w:proofErr w:type="spellStart"/>
      <w:r w:rsidRPr="002D53DE">
        <w:rPr>
          <w:rFonts w:hint="cs"/>
          <w:rtl/>
        </w:rPr>
        <w:t>ה"ש</w:t>
      </w:r>
      <w:proofErr w:type="spellEnd"/>
      <w:r w:rsidRPr="002D53DE">
        <w:rPr>
          <w:rFonts w:hint="cs"/>
          <w:rtl/>
        </w:rPr>
        <w:t xml:space="preserve"> </w:t>
      </w:r>
      <w:r>
        <w:rPr>
          <w:rFonts w:hint="cs"/>
          <w:rtl/>
        </w:rPr>
        <w:t xml:space="preserve">34 </w:t>
      </w:r>
      <w:r w:rsidRPr="002D53DE">
        <w:rPr>
          <w:rFonts w:hint="cs"/>
          <w:rtl/>
        </w:rPr>
        <w:t>לעיל.</w:t>
      </w:r>
      <w:r>
        <w:rPr>
          <w:rFonts w:hint="cs"/>
          <w:b/>
          <w:bCs/>
          <w:rtl/>
        </w:rPr>
        <w:t xml:space="preserve"> </w:t>
      </w:r>
    </w:p>
  </w:footnote>
  <w:footnote w:id="41">
    <w:p w:rsidR="00974DC7" w:rsidRDefault="00974DC7" w:rsidP="00CD7620">
      <w:pPr>
        <w:pStyle w:val="af0"/>
        <w:bidi/>
        <w:rPr>
          <w:rtl/>
        </w:rPr>
      </w:pPr>
      <w:r w:rsidRPr="002D53DE">
        <w:rPr>
          <w:rStyle w:val="af2"/>
        </w:rPr>
        <w:footnoteRef/>
      </w:r>
      <w:r w:rsidRPr="002D53DE">
        <w:t xml:space="preserve"> </w:t>
      </w:r>
      <w:r w:rsidRPr="002D53DE">
        <w:rPr>
          <w:rFonts w:hint="cs"/>
          <w:rtl/>
        </w:rPr>
        <w:t xml:space="preserve"> </w:t>
      </w:r>
      <w:r w:rsidRPr="002D53DE">
        <w:rPr>
          <w:rFonts w:hint="cs"/>
          <w:rtl/>
        </w:rPr>
        <w:t>בג"ץ</w:t>
      </w:r>
      <w:r w:rsidRPr="002D53DE">
        <w:rPr>
          <w:rtl/>
        </w:rPr>
        <w:t xml:space="preserve"> 5808/93 </w:t>
      </w:r>
      <w:r w:rsidRPr="002D53DE">
        <w:rPr>
          <w:rFonts w:hint="cs"/>
          <w:b/>
          <w:bCs/>
          <w:rtl/>
        </w:rPr>
        <w:t>חברה</w:t>
      </w:r>
      <w:r w:rsidRPr="002D53DE">
        <w:rPr>
          <w:b/>
          <w:bCs/>
          <w:rtl/>
        </w:rPr>
        <w:t xml:space="preserve"> </w:t>
      </w:r>
      <w:r w:rsidRPr="002D53DE">
        <w:rPr>
          <w:rFonts w:hint="cs"/>
          <w:b/>
          <w:bCs/>
          <w:rtl/>
        </w:rPr>
        <w:t>כלכלית</w:t>
      </w:r>
      <w:r w:rsidRPr="002D53DE">
        <w:rPr>
          <w:b/>
          <w:bCs/>
          <w:rtl/>
        </w:rPr>
        <w:t xml:space="preserve"> </w:t>
      </w:r>
      <w:r w:rsidRPr="002D53DE">
        <w:rPr>
          <w:rFonts w:hint="cs"/>
          <w:b/>
          <w:bCs/>
          <w:rtl/>
        </w:rPr>
        <w:t>לירושלים</w:t>
      </w:r>
      <w:r w:rsidRPr="002D53DE">
        <w:rPr>
          <w:b/>
          <w:bCs/>
          <w:rtl/>
        </w:rPr>
        <w:t xml:space="preserve"> </w:t>
      </w:r>
      <w:r w:rsidRPr="002D53DE">
        <w:rPr>
          <w:rFonts w:hint="cs"/>
          <w:b/>
          <w:bCs/>
          <w:rtl/>
        </w:rPr>
        <w:t>בע</w:t>
      </w:r>
      <w:r w:rsidRPr="002D53DE">
        <w:rPr>
          <w:b/>
          <w:bCs/>
          <w:rtl/>
        </w:rPr>
        <w:t>"</w:t>
      </w:r>
      <w:r w:rsidRPr="002D53DE">
        <w:rPr>
          <w:rFonts w:hint="cs"/>
          <w:b/>
          <w:bCs/>
          <w:rtl/>
        </w:rPr>
        <w:t>מ</w:t>
      </w:r>
      <w:r w:rsidRPr="002D53DE">
        <w:rPr>
          <w:b/>
          <w:bCs/>
          <w:rtl/>
        </w:rPr>
        <w:t xml:space="preserve"> </w:t>
      </w:r>
      <w:r w:rsidRPr="00B15CF5">
        <w:rPr>
          <w:rFonts w:hint="cs"/>
          <w:b/>
          <w:bCs/>
          <w:rtl/>
        </w:rPr>
        <w:t>נ</w:t>
      </w:r>
      <w:r w:rsidRPr="00B15CF5">
        <w:rPr>
          <w:b/>
          <w:bCs/>
          <w:rtl/>
        </w:rPr>
        <w:t xml:space="preserve">' </w:t>
      </w:r>
      <w:r w:rsidRPr="002D53DE">
        <w:rPr>
          <w:rFonts w:hint="cs"/>
          <w:b/>
          <w:bCs/>
          <w:rtl/>
        </w:rPr>
        <w:t>מפקד</w:t>
      </w:r>
      <w:r w:rsidRPr="002D53DE">
        <w:rPr>
          <w:b/>
          <w:bCs/>
          <w:rtl/>
        </w:rPr>
        <w:t xml:space="preserve"> </w:t>
      </w:r>
      <w:r w:rsidRPr="002D53DE">
        <w:rPr>
          <w:rFonts w:hint="cs"/>
          <w:b/>
          <w:bCs/>
          <w:rtl/>
        </w:rPr>
        <w:t>כוחות</w:t>
      </w:r>
      <w:r w:rsidRPr="002D53DE">
        <w:rPr>
          <w:b/>
          <w:bCs/>
          <w:rtl/>
        </w:rPr>
        <w:t xml:space="preserve"> </w:t>
      </w:r>
      <w:r w:rsidRPr="002D53DE">
        <w:rPr>
          <w:rFonts w:hint="cs"/>
          <w:b/>
          <w:bCs/>
          <w:rtl/>
        </w:rPr>
        <w:t>צה</w:t>
      </w:r>
      <w:r w:rsidRPr="002D53DE">
        <w:rPr>
          <w:b/>
          <w:bCs/>
          <w:rtl/>
        </w:rPr>
        <w:t>"</w:t>
      </w:r>
      <w:r w:rsidRPr="002D53DE">
        <w:rPr>
          <w:rFonts w:hint="cs"/>
          <w:b/>
          <w:bCs/>
          <w:rtl/>
        </w:rPr>
        <w:t>ל</w:t>
      </w:r>
      <w:r w:rsidRPr="002D53DE">
        <w:rPr>
          <w:b/>
          <w:bCs/>
          <w:rtl/>
        </w:rPr>
        <w:t xml:space="preserve"> </w:t>
      </w:r>
      <w:r w:rsidRPr="002D53DE">
        <w:rPr>
          <w:rFonts w:hint="cs"/>
          <w:b/>
          <w:bCs/>
          <w:rtl/>
        </w:rPr>
        <w:t>ביהודה</w:t>
      </w:r>
      <w:r w:rsidRPr="002D53DE">
        <w:rPr>
          <w:b/>
          <w:bCs/>
          <w:rtl/>
        </w:rPr>
        <w:t xml:space="preserve"> </w:t>
      </w:r>
      <w:r w:rsidRPr="002D53DE">
        <w:rPr>
          <w:rFonts w:hint="cs"/>
          <w:b/>
          <w:bCs/>
          <w:rtl/>
        </w:rPr>
        <w:t>ושומרון</w:t>
      </w:r>
      <w:r w:rsidRPr="002D53DE">
        <w:rPr>
          <w:rFonts w:hint="cs"/>
          <w:rtl/>
        </w:rPr>
        <w:t>, פ</w:t>
      </w:r>
      <w:r w:rsidRPr="002D53DE">
        <w:rPr>
          <w:rtl/>
        </w:rPr>
        <w:t>"</w:t>
      </w:r>
      <w:r w:rsidRPr="002D53DE">
        <w:rPr>
          <w:rFonts w:hint="cs"/>
          <w:rtl/>
        </w:rPr>
        <w:t>ד</w:t>
      </w:r>
      <w:r w:rsidRPr="002D53DE">
        <w:rPr>
          <w:rtl/>
        </w:rPr>
        <w:t xml:space="preserve"> </w:t>
      </w:r>
      <w:r w:rsidRPr="002D53DE">
        <w:rPr>
          <w:rFonts w:hint="cs"/>
          <w:rtl/>
        </w:rPr>
        <w:t>מט</w:t>
      </w:r>
      <w:r w:rsidRPr="002D53DE">
        <w:rPr>
          <w:rtl/>
        </w:rPr>
        <w:t>(1) 89</w:t>
      </w:r>
      <w:r w:rsidRPr="002D53DE">
        <w:rPr>
          <w:rFonts w:hint="cs"/>
          <w:rtl/>
        </w:rPr>
        <w:t xml:space="preserve"> (1995).</w:t>
      </w:r>
    </w:p>
  </w:footnote>
  <w:footnote w:id="42">
    <w:p w:rsidR="00974DC7" w:rsidRPr="00AD1525" w:rsidRDefault="00974DC7" w:rsidP="00B15CF5">
      <w:pPr>
        <w:pStyle w:val="af0"/>
        <w:bidi/>
        <w:rPr>
          <w:rFonts w:hint="cs"/>
          <w:rtl/>
        </w:rPr>
      </w:pPr>
      <w:r>
        <w:rPr>
          <w:rStyle w:val="af2"/>
        </w:rPr>
        <w:footnoteRef/>
      </w:r>
      <w:r>
        <w:rPr>
          <w:rFonts w:hint="cs"/>
          <w:rtl/>
        </w:rPr>
        <w:t xml:space="preserve"> </w:t>
      </w:r>
      <w:r>
        <w:rPr>
          <w:rFonts w:ascii="Arimo" w:hAnsi="Arimo" w:hint="cs"/>
          <w:sz w:val="21"/>
          <w:szCs w:val="21"/>
          <w:rtl/>
        </w:rPr>
        <w:t>ב</w:t>
      </w:r>
      <w:r>
        <w:rPr>
          <w:rFonts w:ascii="Arimo" w:hAnsi="Arimo"/>
          <w:sz w:val="21"/>
          <w:szCs w:val="21"/>
          <w:rtl/>
        </w:rPr>
        <w:t>ג</w:t>
      </w:r>
      <w:r>
        <w:rPr>
          <w:rFonts w:ascii="Arimo" w:hAnsi="Arimo" w:hint="cs"/>
          <w:sz w:val="21"/>
          <w:szCs w:val="21"/>
          <w:rtl/>
        </w:rPr>
        <w:t>"</w:t>
      </w:r>
      <w:r>
        <w:rPr>
          <w:rFonts w:ascii="Arimo" w:hAnsi="Arimo"/>
          <w:sz w:val="21"/>
          <w:szCs w:val="21"/>
          <w:rtl/>
        </w:rPr>
        <w:t xml:space="preserve">צ 6022/93 </w:t>
      </w:r>
      <w:r>
        <w:rPr>
          <w:rFonts w:ascii="Arimo" w:hAnsi="Arimo"/>
          <w:b/>
          <w:bCs/>
          <w:sz w:val="21"/>
          <w:szCs w:val="21"/>
          <w:rtl/>
        </w:rPr>
        <w:t xml:space="preserve">סברי מחמוד </w:t>
      </w:r>
      <w:proofErr w:type="spellStart"/>
      <w:r>
        <w:rPr>
          <w:rFonts w:ascii="Arimo" w:hAnsi="Arimo"/>
          <w:b/>
          <w:bCs/>
          <w:sz w:val="21"/>
          <w:szCs w:val="21"/>
          <w:rtl/>
        </w:rPr>
        <w:t>אע'רייב</w:t>
      </w:r>
      <w:proofErr w:type="spellEnd"/>
      <w:r>
        <w:rPr>
          <w:rFonts w:ascii="Arimo" w:hAnsi="Arimo"/>
          <w:sz w:val="21"/>
          <w:szCs w:val="21"/>
          <w:rtl/>
        </w:rPr>
        <w:t xml:space="preserve"> </w:t>
      </w:r>
      <w:r w:rsidRPr="00B15CF5">
        <w:rPr>
          <w:rFonts w:ascii="Arimo" w:hAnsi="Arimo"/>
          <w:b/>
          <w:bCs/>
          <w:sz w:val="21"/>
          <w:szCs w:val="21"/>
          <w:rtl/>
        </w:rPr>
        <w:t>נ' הממונה</w:t>
      </w:r>
      <w:r>
        <w:rPr>
          <w:rFonts w:ascii="Arimo" w:hAnsi="Arimo"/>
          <w:b/>
          <w:bCs/>
          <w:sz w:val="21"/>
          <w:szCs w:val="21"/>
          <w:rtl/>
        </w:rPr>
        <w:t xml:space="preserve"> על הרכוש הנטוש והממשלתי</w:t>
      </w:r>
      <w:r>
        <w:rPr>
          <w:rFonts w:hint="cs"/>
          <w:rtl/>
        </w:rPr>
        <w:t xml:space="preserve"> (</w:t>
      </w:r>
      <w:r>
        <w:t>2.11.94</w:t>
      </w:r>
      <w:r>
        <w:rPr>
          <w:rFonts w:hint="cs"/>
          <w:rtl/>
        </w:rPr>
        <w:t xml:space="preserve">); בג"ץ 5035/92 </w:t>
      </w:r>
      <w:r w:rsidRPr="00AD1525">
        <w:rPr>
          <w:rFonts w:hint="cs"/>
          <w:b/>
          <w:bCs/>
          <w:rtl/>
        </w:rPr>
        <w:t>הקרן לגאולה הקרקע</w:t>
      </w:r>
      <w:r>
        <w:rPr>
          <w:rFonts w:hint="cs"/>
          <w:b/>
          <w:bCs/>
          <w:rtl/>
        </w:rPr>
        <w:t xml:space="preserve"> נ' מדינת ישראל</w:t>
      </w:r>
      <w:r w:rsidRPr="00B15CF5">
        <w:rPr>
          <w:rFonts w:hint="cs"/>
          <w:b/>
          <w:bCs/>
          <w:rtl/>
        </w:rPr>
        <w:t xml:space="preserve"> </w:t>
      </w:r>
      <w:r w:rsidRPr="00B15CF5">
        <w:rPr>
          <w:rFonts w:hint="cs"/>
          <w:rtl/>
        </w:rPr>
        <w:t>(</w:t>
      </w:r>
      <w:r w:rsidRPr="00B15CF5">
        <w:t>31.10.93</w:t>
      </w:r>
      <w:r w:rsidRPr="00B15CF5">
        <w:rPr>
          <w:rFonts w:hint="cs"/>
          <w:rtl/>
        </w:rPr>
        <w:t>).</w:t>
      </w:r>
    </w:p>
  </w:footnote>
  <w:footnote w:id="43">
    <w:p w:rsidR="00974DC7" w:rsidRPr="00187A98" w:rsidRDefault="00974DC7" w:rsidP="00187A98">
      <w:pPr>
        <w:pStyle w:val="af0"/>
        <w:bidi/>
        <w:rPr>
          <w:rFonts w:hint="cs"/>
          <w:rtl/>
        </w:rPr>
      </w:pPr>
      <w:r>
        <w:rPr>
          <w:rStyle w:val="af2"/>
        </w:rPr>
        <w:footnoteRef/>
      </w:r>
      <w:r>
        <w:t xml:space="preserve"> </w:t>
      </w:r>
      <w:r>
        <w:rPr>
          <w:rFonts w:hint="cs"/>
          <w:rtl/>
        </w:rPr>
        <w:t xml:space="preserve"> </w:t>
      </w:r>
      <w:r>
        <w:rPr>
          <w:rFonts w:hint="cs"/>
          <w:rtl/>
        </w:rPr>
        <w:t xml:space="preserve">ראו חוות דעתו של עוזר יועמ"ש </w:t>
      </w:r>
      <w:proofErr w:type="spellStart"/>
      <w:r>
        <w:rPr>
          <w:rFonts w:hint="cs"/>
          <w:rtl/>
        </w:rPr>
        <w:t>איו"ש</w:t>
      </w:r>
      <w:proofErr w:type="spellEnd"/>
      <w:r>
        <w:rPr>
          <w:rFonts w:hint="cs"/>
          <w:rtl/>
        </w:rPr>
        <w:t xml:space="preserve"> (גיל לימון), בעניין "דרך גישה 3982 </w:t>
      </w:r>
      <w:r>
        <w:rPr>
          <w:rtl/>
        </w:rPr>
        <w:t>–</w:t>
      </w:r>
      <w:r>
        <w:rPr>
          <w:rFonts w:hint="cs"/>
          <w:rtl/>
        </w:rPr>
        <w:t xml:space="preserve"> כביש גישה לקידר" (11.6.2000).</w:t>
      </w:r>
    </w:p>
  </w:footnote>
  <w:footnote w:id="44">
    <w:p w:rsidR="00974DC7" w:rsidRPr="00586047" w:rsidRDefault="00974DC7" w:rsidP="00586047">
      <w:pPr>
        <w:pStyle w:val="af0"/>
        <w:bidi/>
        <w:rPr>
          <w:rFonts w:hint="cs"/>
          <w:rtl/>
        </w:rPr>
      </w:pPr>
      <w:r>
        <w:rPr>
          <w:rStyle w:val="af2"/>
        </w:rPr>
        <w:footnoteRef/>
      </w:r>
      <w:r>
        <w:t xml:space="preserve"> </w:t>
      </w:r>
      <w:r>
        <w:rPr>
          <w:rFonts w:hint="cs"/>
          <w:rtl/>
        </w:rPr>
        <w:t xml:space="preserve">סעיף 26 </w:t>
      </w:r>
      <w:proofErr w:type="spellStart"/>
      <w:r>
        <w:rPr>
          <w:rFonts w:hint="cs"/>
          <w:rtl/>
        </w:rPr>
        <w:t>לחוו"ד</w:t>
      </w:r>
      <w:proofErr w:type="spellEnd"/>
      <w:r>
        <w:rPr>
          <w:rFonts w:hint="cs"/>
          <w:rtl/>
        </w:rPr>
        <w:t xml:space="preserve"> של גיל לימון.</w:t>
      </w:r>
    </w:p>
  </w:footnote>
  <w:footnote w:id="45">
    <w:p w:rsidR="00974DC7" w:rsidRPr="00DC5258" w:rsidRDefault="00974DC7" w:rsidP="002319F7">
      <w:pPr>
        <w:pStyle w:val="af0"/>
        <w:bidi/>
        <w:rPr>
          <w:rtl/>
        </w:rPr>
      </w:pPr>
      <w:r>
        <w:rPr>
          <w:rStyle w:val="af2"/>
        </w:rPr>
        <w:footnoteRef/>
      </w:r>
      <w:r>
        <w:t xml:space="preserve"> </w:t>
      </w:r>
      <w:r w:rsidRPr="00FF1DD4">
        <w:rPr>
          <w:rFonts w:hint="cs"/>
          <w:rtl/>
        </w:rPr>
        <w:t>ההורא</w:t>
      </w:r>
      <w:r>
        <w:rPr>
          <w:rFonts w:hint="cs"/>
          <w:rtl/>
        </w:rPr>
        <w:t>ות</w:t>
      </w:r>
      <w:r w:rsidRPr="00FF1DD4">
        <w:rPr>
          <w:rFonts w:hint="cs"/>
          <w:rtl/>
        </w:rPr>
        <w:t xml:space="preserve"> האופרטיבי</w:t>
      </w:r>
      <w:r>
        <w:rPr>
          <w:rFonts w:hint="cs"/>
          <w:rtl/>
        </w:rPr>
        <w:t>ו</w:t>
      </w:r>
      <w:r w:rsidRPr="00FF1DD4">
        <w:rPr>
          <w:rFonts w:hint="cs"/>
          <w:rtl/>
        </w:rPr>
        <w:t>ת המרכזי</w:t>
      </w:r>
      <w:r>
        <w:rPr>
          <w:rFonts w:hint="cs"/>
          <w:rtl/>
        </w:rPr>
        <w:t>ו</w:t>
      </w:r>
      <w:r w:rsidRPr="00FF1DD4">
        <w:rPr>
          <w:rFonts w:hint="cs"/>
          <w:rtl/>
        </w:rPr>
        <w:t xml:space="preserve">ת של החוק </w:t>
      </w:r>
      <w:r>
        <w:rPr>
          <w:rFonts w:hint="cs"/>
          <w:rtl/>
        </w:rPr>
        <w:t>הן רישום המקרקעין שאין בהם בעל זכויות על שם הממונה (סעיף 3(1) לחוק); נטילת</w:t>
      </w:r>
      <w:r w:rsidRPr="00FF1DD4">
        <w:rPr>
          <w:rFonts w:hint="cs"/>
          <w:rtl/>
        </w:rPr>
        <w:t xml:space="preserve"> זכויות שימוש והחזקה </w:t>
      </w:r>
      <w:r>
        <w:rPr>
          <w:rFonts w:hint="cs"/>
          <w:rtl/>
        </w:rPr>
        <w:t xml:space="preserve">במקרקעין של בעלי קרקעות פרטיים </w:t>
      </w:r>
      <w:r w:rsidRPr="00FF1DD4">
        <w:rPr>
          <w:rFonts w:hint="cs"/>
          <w:rtl/>
        </w:rPr>
        <w:t>והעברתם לממונה (סעיף 3(2)</w:t>
      </w:r>
      <w:r>
        <w:rPr>
          <w:rFonts w:hint="cs"/>
          <w:rtl/>
        </w:rPr>
        <w:t>(א)</w:t>
      </w:r>
      <w:r w:rsidRPr="00FF1DD4">
        <w:rPr>
          <w:rFonts w:hint="cs"/>
          <w:rtl/>
        </w:rPr>
        <w:t xml:space="preserve"> לחוק)</w:t>
      </w:r>
      <w:r>
        <w:rPr>
          <w:rFonts w:hint="cs"/>
          <w:rtl/>
        </w:rPr>
        <w:t>; והקצאת הזכויות שניטלו לצורכי התיישבות שנבנתה על אותם מקרקעין (סעיף 5 לחוק)</w:t>
      </w:r>
      <w:r w:rsidRPr="00FF1DD4">
        <w:rPr>
          <w:rFonts w:hint="cs"/>
          <w:rtl/>
        </w:rPr>
        <w:t>.</w:t>
      </w:r>
    </w:p>
  </w:footnote>
  <w:footnote w:id="46">
    <w:p w:rsidR="00974DC7" w:rsidRPr="00A671A1" w:rsidRDefault="00974DC7" w:rsidP="0075335D">
      <w:pPr>
        <w:pStyle w:val="af0"/>
        <w:bidi/>
        <w:contextualSpacing/>
      </w:pPr>
      <w:r w:rsidRPr="00A671A1">
        <w:rPr>
          <w:rStyle w:val="af2"/>
        </w:rPr>
        <w:footnoteRef/>
      </w:r>
      <w:r>
        <w:rPr>
          <w:rFonts w:hint="cs"/>
          <w:rtl/>
        </w:rPr>
        <w:t xml:space="preserve">שם, </w:t>
      </w:r>
      <w:r w:rsidRPr="00A671A1">
        <w:rPr>
          <w:rFonts w:hint="cs"/>
          <w:rtl/>
        </w:rPr>
        <w:t xml:space="preserve">בעמ' 802, 805. </w:t>
      </w:r>
    </w:p>
  </w:footnote>
  <w:footnote w:id="47">
    <w:p w:rsidR="00974DC7" w:rsidRPr="00A671A1" w:rsidRDefault="00974DC7" w:rsidP="00CC21C7">
      <w:pPr>
        <w:pStyle w:val="af0"/>
        <w:bidi/>
        <w:rPr>
          <w:rtl/>
        </w:rPr>
      </w:pPr>
      <w:r w:rsidRPr="00A671A1">
        <w:rPr>
          <w:rStyle w:val="af2"/>
        </w:rPr>
        <w:footnoteRef/>
      </w:r>
      <w:r w:rsidRPr="00A671A1">
        <w:rPr>
          <w:rtl/>
        </w:rPr>
        <w:t xml:space="preserve"> </w:t>
      </w:r>
      <w:r>
        <w:rPr>
          <w:rStyle w:val="apple-style-span"/>
          <w:rFonts w:hint="cs"/>
          <w:rtl/>
        </w:rPr>
        <w:t xml:space="preserve">בעיקר </w:t>
      </w:r>
      <w:r w:rsidRPr="00A671A1">
        <w:rPr>
          <w:rStyle w:val="apple-style-span"/>
          <w:rFonts w:hint="cs"/>
          <w:rtl/>
        </w:rPr>
        <w:t>סעיף 3(2)(א) לחוק וסעיף 3(1) לחוק.</w:t>
      </w:r>
    </w:p>
  </w:footnote>
  <w:footnote w:id="48">
    <w:p w:rsidR="00974DC7" w:rsidRPr="00A671A1" w:rsidRDefault="00974DC7" w:rsidP="0054359F">
      <w:pPr>
        <w:pStyle w:val="af0"/>
        <w:bidi/>
        <w:contextualSpacing/>
      </w:pPr>
      <w:r w:rsidRPr="00A671A1">
        <w:rPr>
          <w:rStyle w:val="af2"/>
        </w:rPr>
        <w:footnoteRef/>
      </w:r>
      <w:r w:rsidRPr="00A671A1">
        <w:rPr>
          <w:rtl/>
        </w:rPr>
        <w:t xml:space="preserve"> </w:t>
      </w:r>
      <w:r w:rsidRPr="00A671A1">
        <w:rPr>
          <w:rFonts w:hint="cs"/>
          <w:rtl/>
        </w:rPr>
        <w:t xml:space="preserve">לעמדת פרופ' בנבנישתי פרשנות המונח </w:t>
      </w:r>
      <w:r w:rsidRPr="00A671A1">
        <w:rPr>
          <w:rtl/>
        </w:rPr>
        <w:t>"</w:t>
      </w:r>
      <w:r w:rsidRPr="00A671A1">
        <w:t>absolutely prevented</w:t>
      </w:r>
      <w:r w:rsidRPr="00A671A1">
        <w:rPr>
          <w:rtl/>
        </w:rPr>
        <w:t>"</w:t>
      </w:r>
      <w:r w:rsidRPr="00A671A1">
        <w:rPr>
          <w:rFonts w:hint="cs"/>
          <w:rtl/>
        </w:rPr>
        <w:t xml:space="preserve">, אינה יכולה להתמקד רק בצורך צבאי מצומצם, אלא נדרשת להתכתב גם עם החובה להגן על האינטרסים של האוכלוסייה המקומית – אינטרסים שלעיתים ישורתו טוב יותר ע"י שינוי החקיקה. </w:t>
      </w:r>
      <w:proofErr w:type="spellStart"/>
      <w:r w:rsidRPr="00A671A1">
        <w:rPr>
          <w:rFonts w:hint="cs"/>
          <w:rtl/>
        </w:rPr>
        <w:t>בנבנשתי</w:t>
      </w:r>
      <w:proofErr w:type="spellEnd"/>
      <w:r w:rsidRPr="00A671A1">
        <w:rPr>
          <w:rFonts w:hint="cs"/>
          <w:rtl/>
        </w:rPr>
        <w:t xml:space="preserve"> (2012), בעמ' 92; </w:t>
      </w:r>
      <w:proofErr w:type="spellStart"/>
      <w:r w:rsidRPr="00A671A1">
        <w:rPr>
          <w:rFonts w:hint="cs"/>
          <w:rtl/>
        </w:rPr>
        <w:t>דינשטיין</w:t>
      </w:r>
      <w:proofErr w:type="spellEnd"/>
      <w:r w:rsidRPr="00A671A1">
        <w:rPr>
          <w:rFonts w:hint="cs"/>
          <w:rtl/>
        </w:rPr>
        <w:t xml:space="preserve"> בספרו מציין כי מקובל לראות בדרישה כמחייבת צורך. פרשנות דרישת הצורך, בפרט ביחס לחקיקה, נעשית בראייתו באמצעות סעיף 64 לאמנת ג'נבה הרביעית, כלומר – צורך בטחוני של</w:t>
      </w:r>
      <w:r>
        <w:rPr>
          <w:rFonts w:hint="cs"/>
          <w:rtl/>
        </w:rPr>
        <w:t xml:space="preserve"> הצבא (למשל אמצעי שליטה וביטחון</w:t>
      </w:r>
      <w:r w:rsidRPr="00A671A1">
        <w:rPr>
          <w:rFonts w:hint="cs"/>
          <w:rtl/>
        </w:rPr>
        <w:t>), מניעת סתירה להוראות האמנה ות</w:t>
      </w:r>
      <w:r>
        <w:rPr>
          <w:rFonts w:hint="cs"/>
          <w:rtl/>
        </w:rPr>
        <w:t>קנות האג, מענה לצרכי האוכלוסייה</w:t>
      </w:r>
      <w:r w:rsidRPr="00A671A1">
        <w:rPr>
          <w:rFonts w:hint="cs"/>
          <w:rtl/>
        </w:rPr>
        <w:t>.</w:t>
      </w:r>
      <w:r>
        <w:rPr>
          <w:rFonts w:hint="cs"/>
          <w:b/>
          <w:bCs/>
          <w:rtl/>
        </w:rPr>
        <w:t xml:space="preserve"> </w:t>
      </w:r>
      <w:r w:rsidRPr="0090748C">
        <w:rPr>
          <w:rFonts w:hint="cs"/>
          <w:rtl/>
        </w:rPr>
        <w:t xml:space="preserve">ראו </w:t>
      </w:r>
      <w:proofErr w:type="spellStart"/>
      <w:r w:rsidRPr="0090748C">
        <w:rPr>
          <w:rFonts w:hint="cs"/>
          <w:rtl/>
        </w:rPr>
        <w:t>דינשטיין</w:t>
      </w:r>
      <w:proofErr w:type="spellEnd"/>
      <w:r w:rsidRPr="0090748C">
        <w:rPr>
          <w:rFonts w:hint="cs"/>
          <w:rtl/>
        </w:rPr>
        <w:t xml:space="preserve"> </w:t>
      </w:r>
      <w:r w:rsidRPr="0090748C">
        <w:rPr>
          <w:rtl/>
        </w:rPr>
        <w:t>2009</w:t>
      </w:r>
      <w:r w:rsidRPr="0090748C">
        <w:rPr>
          <w:rFonts w:hint="cs"/>
          <w:rtl/>
        </w:rPr>
        <w:t>,</w:t>
      </w:r>
      <w:r>
        <w:rPr>
          <w:rFonts w:hint="cs"/>
          <w:rtl/>
        </w:rPr>
        <w:t xml:space="preserve"> </w:t>
      </w:r>
      <w:proofErr w:type="spellStart"/>
      <w:r>
        <w:rPr>
          <w:rFonts w:hint="cs"/>
          <w:rtl/>
        </w:rPr>
        <w:t>ה"ש</w:t>
      </w:r>
      <w:proofErr w:type="spellEnd"/>
      <w:r>
        <w:rPr>
          <w:rFonts w:hint="cs"/>
          <w:rtl/>
        </w:rPr>
        <w:t xml:space="preserve"> 33 לעיל, ב</w:t>
      </w:r>
      <w:r w:rsidRPr="00A671A1">
        <w:rPr>
          <w:rFonts w:hint="cs"/>
          <w:rtl/>
        </w:rPr>
        <w:t xml:space="preserve">עמ' 109, 112; ראו גם בעניין </w:t>
      </w:r>
      <w:proofErr w:type="spellStart"/>
      <w:r w:rsidRPr="00A671A1">
        <w:rPr>
          <w:rFonts w:hint="cs"/>
          <w:b/>
          <w:bCs/>
          <w:rtl/>
        </w:rPr>
        <w:t>טביב</w:t>
      </w:r>
      <w:proofErr w:type="spellEnd"/>
      <w:r w:rsidRPr="00A671A1">
        <w:rPr>
          <w:rFonts w:hint="cs"/>
          <w:rtl/>
        </w:rPr>
        <w:t xml:space="preserve">, </w:t>
      </w:r>
      <w:proofErr w:type="spellStart"/>
      <w:r>
        <w:rPr>
          <w:rFonts w:hint="cs"/>
          <w:rtl/>
        </w:rPr>
        <w:t>ה"ש</w:t>
      </w:r>
      <w:proofErr w:type="spellEnd"/>
      <w:r>
        <w:rPr>
          <w:rFonts w:hint="cs"/>
          <w:rtl/>
        </w:rPr>
        <w:t xml:space="preserve"> 14 לעיל, </w:t>
      </w:r>
      <w:r w:rsidRPr="00A671A1">
        <w:rPr>
          <w:rFonts w:hint="cs"/>
          <w:rtl/>
        </w:rPr>
        <w:t>בעמ' 629: "למעשה, אין ה"מניעה", הנזכרת בסיפא של סעיף 43, "מוחלטת" כלל ועיקר,</w:t>
      </w:r>
      <w:r w:rsidRPr="00A671A1">
        <w:t xml:space="preserve"> </w:t>
      </w:r>
      <w:r w:rsidRPr="00A671A1">
        <w:rPr>
          <w:rFonts w:hint="cs"/>
          <w:rtl/>
        </w:rPr>
        <w:t xml:space="preserve">והשאלה היא שאלה של עדיפויות ונוחיות דרכי הגשמת המטרה המפורשת ברישא, דהיינו </w:t>
      </w:r>
      <w:r w:rsidRPr="00A671A1">
        <w:t>"</w:t>
      </w:r>
      <w:r w:rsidRPr="00A671A1">
        <w:rPr>
          <w:rFonts w:hint="cs"/>
          <w:rtl/>
        </w:rPr>
        <w:t xml:space="preserve">הבטחת החיים הציבוריים", מונח, שמציע אני לפרשו כקיום משטר, השומר על זכויות האזרח ודואג לרווחתה המרבית של האוכלוסייה. אם הגשמת מטרה זו דורשת סטייה מחוקים קיימים, מותר, ואפילו חובה, לסטות מהם." </w:t>
      </w:r>
    </w:p>
  </w:footnote>
  <w:footnote w:id="49">
    <w:p w:rsidR="00974DC7" w:rsidRPr="00A671A1" w:rsidRDefault="00974DC7" w:rsidP="00A671A1">
      <w:pPr>
        <w:pStyle w:val="af0"/>
        <w:bidi/>
        <w:contextualSpacing/>
        <w:rPr>
          <w:rtl/>
        </w:rPr>
      </w:pPr>
      <w:r w:rsidRPr="00A671A1">
        <w:rPr>
          <w:rStyle w:val="af2"/>
        </w:rPr>
        <w:footnoteRef/>
      </w:r>
      <w:r w:rsidRPr="00A671A1">
        <w:rPr>
          <w:rtl/>
        </w:rPr>
        <w:t xml:space="preserve"> </w:t>
      </w:r>
      <w:r w:rsidRPr="00A671A1">
        <w:rPr>
          <w:rFonts w:hint="cs"/>
          <w:b/>
          <w:bCs/>
          <w:rtl/>
        </w:rPr>
        <w:t xml:space="preserve">עניין </w:t>
      </w:r>
      <w:proofErr w:type="spellStart"/>
      <w:r w:rsidRPr="00A671A1">
        <w:rPr>
          <w:rFonts w:hint="cs"/>
          <w:b/>
          <w:bCs/>
          <w:rtl/>
        </w:rPr>
        <w:t>אסכאן</w:t>
      </w:r>
      <w:proofErr w:type="spellEnd"/>
      <w:r w:rsidRPr="00A671A1">
        <w:rPr>
          <w:rFonts w:hint="cs"/>
          <w:rtl/>
        </w:rPr>
        <w:t xml:space="preserve">, </w:t>
      </w:r>
      <w:proofErr w:type="spellStart"/>
      <w:r>
        <w:rPr>
          <w:rFonts w:hint="cs"/>
          <w:rtl/>
        </w:rPr>
        <w:t>ה"ש</w:t>
      </w:r>
      <w:proofErr w:type="spellEnd"/>
      <w:r>
        <w:rPr>
          <w:rFonts w:hint="cs"/>
          <w:rtl/>
        </w:rPr>
        <w:t xml:space="preserve"> 14 לעיל, </w:t>
      </w:r>
      <w:r w:rsidRPr="00A671A1">
        <w:rPr>
          <w:rFonts w:hint="cs"/>
          <w:rtl/>
        </w:rPr>
        <w:t>בעמ' 800.</w:t>
      </w:r>
    </w:p>
  </w:footnote>
  <w:footnote w:id="50">
    <w:p w:rsidR="00974DC7" w:rsidRPr="00A671A1" w:rsidRDefault="00974DC7" w:rsidP="00E41F44">
      <w:pPr>
        <w:pStyle w:val="af0"/>
        <w:bidi/>
        <w:contextualSpacing/>
        <w:rPr>
          <w:rtl/>
        </w:rPr>
      </w:pPr>
      <w:r w:rsidRPr="00A671A1">
        <w:rPr>
          <w:rStyle w:val="af2"/>
        </w:rPr>
        <w:footnoteRef/>
      </w:r>
      <w:r w:rsidRPr="00A671A1">
        <w:rPr>
          <w:rtl/>
        </w:rPr>
        <w:t xml:space="preserve"> </w:t>
      </w:r>
      <w:proofErr w:type="spellStart"/>
      <w:r w:rsidRPr="00A671A1">
        <w:rPr>
          <w:rFonts w:hint="cs"/>
          <w:rtl/>
        </w:rPr>
        <w:t>דינשטיין</w:t>
      </w:r>
      <w:proofErr w:type="spellEnd"/>
      <w:r>
        <w:rPr>
          <w:rFonts w:hint="cs"/>
          <w:rtl/>
        </w:rPr>
        <w:t xml:space="preserve"> 2009,</w:t>
      </w:r>
      <w:r w:rsidRPr="00A671A1">
        <w:rPr>
          <w:rFonts w:hint="cs"/>
          <w:rtl/>
        </w:rPr>
        <w:t xml:space="preserve"> </w:t>
      </w:r>
      <w:proofErr w:type="spellStart"/>
      <w:r>
        <w:rPr>
          <w:rFonts w:hint="cs"/>
          <w:rtl/>
        </w:rPr>
        <w:t>ה"ש</w:t>
      </w:r>
      <w:proofErr w:type="spellEnd"/>
      <w:r>
        <w:rPr>
          <w:rFonts w:hint="cs"/>
          <w:rtl/>
        </w:rPr>
        <w:t xml:space="preserve"> 36 לעיל, ב</w:t>
      </w:r>
      <w:r w:rsidRPr="00A671A1">
        <w:rPr>
          <w:rFonts w:hint="cs"/>
          <w:rtl/>
        </w:rPr>
        <w:t xml:space="preserve">עמ' 116-117, 120; </w:t>
      </w:r>
      <w:r w:rsidRPr="00E41F44">
        <w:rPr>
          <w:rFonts w:hint="cs"/>
          <w:b/>
          <w:bCs/>
          <w:rtl/>
        </w:rPr>
        <w:t>עניין</w:t>
      </w:r>
      <w:r w:rsidRPr="00A671A1">
        <w:rPr>
          <w:rFonts w:hint="cs"/>
          <w:rtl/>
        </w:rPr>
        <w:t xml:space="preserve"> </w:t>
      </w:r>
      <w:r w:rsidRPr="00A671A1">
        <w:rPr>
          <w:rFonts w:hint="cs"/>
          <w:b/>
          <w:bCs/>
          <w:rtl/>
        </w:rPr>
        <w:t xml:space="preserve">אל </w:t>
      </w:r>
      <w:proofErr w:type="spellStart"/>
      <w:r w:rsidRPr="00A671A1">
        <w:rPr>
          <w:rFonts w:hint="cs"/>
          <w:b/>
          <w:bCs/>
          <w:rtl/>
        </w:rPr>
        <w:t>מסיחיה</w:t>
      </w:r>
      <w:proofErr w:type="spellEnd"/>
      <w:r w:rsidRPr="00A671A1">
        <w:rPr>
          <w:rFonts w:hint="cs"/>
          <w:rtl/>
        </w:rPr>
        <w:t xml:space="preserve">, עמ' 581-582; </w:t>
      </w:r>
      <w:r w:rsidRPr="00A671A1">
        <w:rPr>
          <w:rFonts w:hint="cs"/>
          <w:b/>
          <w:bCs/>
          <w:rtl/>
        </w:rPr>
        <w:t>עניין אבו עיטה</w:t>
      </w:r>
      <w:r w:rsidRPr="00A671A1">
        <w:rPr>
          <w:rFonts w:hint="cs"/>
          <w:rtl/>
        </w:rPr>
        <w:t xml:space="preserve">, </w:t>
      </w:r>
      <w:proofErr w:type="spellStart"/>
      <w:r>
        <w:rPr>
          <w:rFonts w:hint="cs"/>
          <w:rtl/>
        </w:rPr>
        <w:t>ה"ש</w:t>
      </w:r>
      <w:proofErr w:type="spellEnd"/>
      <w:r>
        <w:rPr>
          <w:rFonts w:hint="cs"/>
          <w:rtl/>
        </w:rPr>
        <w:t xml:space="preserve"> 14 לעיל, </w:t>
      </w:r>
      <w:r w:rsidRPr="00A671A1">
        <w:rPr>
          <w:rFonts w:hint="cs"/>
          <w:rtl/>
        </w:rPr>
        <w:t xml:space="preserve">בעמ' 312. </w:t>
      </w:r>
    </w:p>
  </w:footnote>
  <w:footnote w:id="51">
    <w:p w:rsidR="00974DC7" w:rsidRPr="00A671A1" w:rsidRDefault="00974DC7" w:rsidP="00A671A1">
      <w:pPr>
        <w:pStyle w:val="af0"/>
        <w:bidi/>
        <w:contextualSpacing/>
      </w:pPr>
      <w:r w:rsidRPr="00A671A1">
        <w:rPr>
          <w:rStyle w:val="af2"/>
        </w:rPr>
        <w:footnoteRef/>
      </w:r>
      <w:r w:rsidRPr="00A671A1">
        <w:rPr>
          <w:rtl/>
        </w:rPr>
        <w:t xml:space="preserve"> בגץ 4154/91 </w:t>
      </w:r>
      <w:r w:rsidRPr="00A671A1">
        <w:rPr>
          <w:b/>
          <w:bCs/>
          <w:rtl/>
        </w:rPr>
        <w:t xml:space="preserve">עזמי </w:t>
      </w:r>
      <w:proofErr w:type="spellStart"/>
      <w:r w:rsidRPr="00A671A1">
        <w:rPr>
          <w:b/>
          <w:bCs/>
          <w:rtl/>
        </w:rPr>
        <w:t>דודין</w:t>
      </w:r>
      <w:proofErr w:type="spellEnd"/>
      <w:r w:rsidRPr="00A671A1">
        <w:rPr>
          <w:rtl/>
        </w:rPr>
        <w:t xml:space="preserve"> נ' </w:t>
      </w:r>
      <w:r w:rsidRPr="00A671A1">
        <w:rPr>
          <w:b/>
          <w:bCs/>
          <w:rtl/>
        </w:rPr>
        <w:t>מפקד כוחות צה"ל באזור הגדה המערבית</w:t>
      </w:r>
      <w:r w:rsidRPr="00A671A1">
        <w:rPr>
          <w:rtl/>
        </w:rPr>
        <w:t xml:space="preserve"> , מו (1) 08</w:t>
      </w:r>
      <w:r w:rsidRPr="00A671A1">
        <w:rPr>
          <w:rFonts w:hint="cs"/>
          <w:rtl/>
        </w:rPr>
        <w:t xml:space="preserve">, בעמ' 93. </w:t>
      </w:r>
    </w:p>
  </w:footnote>
  <w:footnote w:id="52">
    <w:p w:rsidR="00974DC7" w:rsidRPr="00A671A1" w:rsidRDefault="00974DC7" w:rsidP="00CC21C7">
      <w:pPr>
        <w:pStyle w:val="af0"/>
        <w:bidi/>
        <w:contextualSpacing/>
        <w:rPr>
          <w:rtl/>
        </w:rPr>
      </w:pPr>
      <w:r w:rsidRPr="00A671A1">
        <w:rPr>
          <w:rStyle w:val="af2"/>
        </w:rPr>
        <w:footnoteRef/>
      </w:r>
      <w:r w:rsidRPr="00A671A1">
        <w:rPr>
          <w:rtl/>
        </w:rPr>
        <w:t xml:space="preserve"> </w:t>
      </w:r>
      <w:r w:rsidRPr="00A671A1">
        <w:rPr>
          <w:rFonts w:hint="cs"/>
          <w:b/>
          <w:bCs/>
          <w:rtl/>
        </w:rPr>
        <w:t xml:space="preserve">עניין </w:t>
      </w:r>
      <w:r w:rsidRPr="00A671A1">
        <w:rPr>
          <w:b/>
          <w:bCs/>
          <w:rtl/>
        </w:rPr>
        <w:t>אבו עיטה</w:t>
      </w:r>
      <w:r>
        <w:rPr>
          <w:rFonts w:hint="cs"/>
          <w:rtl/>
        </w:rPr>
        <w:t xml:space="preserve">, </w:t>
      </w:r>
      <w:proofErr w:type="spellStart"/>
      <w:r>
        <w:rPr>
          <w:rFonts w:hint="cs"/>
          <w:rtl/>
        </w:rPr>
        <w:t>ה"ש</w:t>
      </w:r>
      <w:proofErr w:type="spellEnd"/>
      <w:r>
        <w:rPr>
          <w:rFonts w:hint="cs"/>
          <w:rtl/>
        </w:rPr>
        <w:t xml:space="preserve"> 14 לעיל, סעיף 46. </w:t>
      </w:r>
    </w:p>
  </w:footnote>
  <w:footnote w:id="53">
    <w:p w:rsidR="00974DC7" w:rsidRPr="00A671A1" w:rsidRDefault="00974DC7" w:rsidP="00CC21C7">
      <w:pPr>
        <w:pStyle w:val="af0"/>
        <w:bidi/>
        <w:contextualSpacing/>
      </w:pPr>
      <w:r w:rsidRPr="00A671A1">
        <w:rPr>
          <w:rStyle w:val="af2"/>
        </w:rPr>
        <w:footnoteRef/>
      </w:r>
      <w:r w:rsidRPr="00A671A1">
        <w:rPr>
          <w:rtl/>
        </w:rPr>
        <w:t xml:space="preserve"> </w:t>
      </w:r>
      <w:r w:rsidRPr="00A671A1">
        <w:rPr>
          <w:rFonts w:hint="cs"/>
          <w:rtl/>
        </w:rPr>
        <w:t xml:space="preserve">החוק לא מגדיר את המונח "תום לב", וההגדרה בחוק למונח "הסכמת המדינה" הינה רחבה ביותר. ראו סעיף 2 לחוק. </w:t>
      </w:r>
    </w:p>
  </w:footnote>
  <w:footnote w:id="54">
    <w:p w:rsidR="00974DC7" w:rsidRPr="00A671A1" w:rsidRDefault="00974DC7" w:rsidP="00F87110">
      <w:pPr>
        <w:pStyle w:val="af0"/>
        <w:bidi/>
        <w:contextualSpacing/>
      </w:pPr>
      <w:r w:rsidRPr="00A671A1">
        <w:rPr>
          <w:rStyle w:val="af2"/>
        </w:rPr>
        <w:footnoteRef/>
      </w:r>
      <w:r w:rsidRPr="00A671A1">
        <w:rPr>
          <w:rtl/>
        </w:rPr>
        <w:t xml:space="preserve"> </w:t>
      </w:r>
      <w:r w:rsidRPr="00A671A1">
        <w:rPr>
          <w:rFonts w:hint="cs"/>
          <w:b/>
          <w:bCs/>
          <w:rtl/>
        </w:rPr>
        <w:t xml:space="preserve">עניין </w:t>
      </w:r>
      <w:proofErr w:type="spellStart"/>
      <w:r w:rsidRPr="00A671A1">
        <w:rPr>
          <w:rFonts w:hint="cs"/>
          <w:b/>
          <w:bCs/>
          <w:rtl/>
        </w:rPr>
        <w:t>אסכאן</w:t>
      </w:r>
      <w:proofErr w:type="spellEnd"/>
      <w:r w:rsidRPr="00A671A1">
        <w:rPr>
          <w:rFonts w:hint="cs"/>
          <w:rtl/>
        </w:rPr>
        <w:t xml:space="preserve">, </w:t>
      </w:r>
      <w:proofErr w:type="spellStart"/>
      <w:r>
        <w:rPr>
          <w:rFonts w:hint="cs"/>
          <w:rtl/>
        </w:rPr>
        <w:t>ה"ש</w:t>
      </w:r>
      <w:proofErr w:type="spellEnd"/>
      <w:r>
        <w:rPr>
          <w:rFonts w:hint="cs"/>
          <w:rtl/>
        </w:rPr>
        <w:t xml:space="preserve"> 14 לעיל, </w:t>
      </w:r>
      <w:r w:rsidRPr="00A671A1">
        <w:rPr>
          <w:rFonts w:hint="cs"/>
          <w:rtl/>
        </w:rPr>
        <w:t>בעמ' 801.</w:t>
      </w:r>
    </w:p>
  </w:footnote>
  <w:footnote w:id="55">
    <w:p w:rsidR="00974DC7" w:rsidRPr="00A671A1" w:rsidRDefault="00974DC7" w:rsidP="005C6F5C">
      <w:pPr>
        <w:pStyle w:val="af0"/>
        <w:bidi/>
        <w:contextualSpacing/>
      </w:pPr>
      <w:r w:rsidRPr="00A671A1">
        <w:rPr>
          <w:rStyle w:val="af2"/>
        </w:rPr>
        <w:footnoteRef/>
      </w:r>
      <w:r w:rsidRPr="00A671A1">
        <w:rPr>
          <w:rtl/>
        </w:rPr>
        <w:t xml:space="preserve"> </w:t>
      </w:r>
      <w:r w:rsidRPr="00A671A1">
        <w:rPr>
          <w:rFonts w:hint="cs"/>
          <w:b/>
          <w:bCs/>
          <w:rtl/>
        </w:rPr>
        <w:t xml:space="preserve">עניין </w:t>
      </w:r>
      <w:proofErr w:type="spellStart"/>
      <w:r w:rsidRPr="00A671A1">
        <w:rPr>
          <w:rFonts w:hint="cs"/>
          <w:b/>
          <w:bCs/>
          <w:rtl/>
        </w:rPr>
        <w:t>אסכאן</w:t>
      </w:r>
      <w:proofErr w:type="spellEnd"/>
      <w:r w:rsidRPr="00A671A1">
        <w:rPr>
          <w:rFonts w:hint="cs"/>
          <w:rtl/>
        </w:rPr>
        <w:t xml:space="preserve">, </w:t>
      </w:r>
      <w:proofErr w:type="spellStart"/>
      <w:r>
        <w:rPr>
          <w:rFonts w:hint="cs"/>
          <w:rtl/>
        </w:rPr>
        <w:t>ה"ש</w:t>
      </w:r>
      <w:proofErr w:type="spellEnd"/>
      <w:r>
        <w:rPr>
          <w:rFonts w:hint="cs"/>
          <w:rtl/>
        </w:rPr>
        <w:t xml:space="preserve"> 14 לעיל, </w:t>
      </w:r>
      <w:r w:rsidRPr="00A671A1">
        <w:rPr>
          <w:rFonts w:hint="cs"/>
          <w:rtl/>
        </w:rPr>
        <w:t>בעמ' 805</w:t>
      </w:r>
      <w:r>
        <w:rPr>
          <w:rFonts w:hint="cs"/>
          <w:rtl/>
        </w:rPr>
        <w:t>.</w:t>
      </w:r>
    </w:p>
  </w:footnote>
  <w:footnote w:id="56">
    <w:p w:rsidR="00974DC7" w:rsidRPr="00CC21C7" w:rsidRDefault="00974DC7" w:rsidP="00CC21C7">
      <w:pPr>
        <w:pStyle w:val="af0"/>
        <w:bidi/>
        <w:rPr>
          <w:rFonts w:hint="cs"/>
          <w:rtl/>
        </w:rPr>
      </w:pPr>
      <w:r>
        <w:rPr>
          <w:rStyle w:val="af2"/>
        </w:rPr>
        <w:footnoteRef/>
      </w:r>
      <w:r>
        <w:rPr>
          <w:rFonts w:hint="cs"/>
          <w:rtl/>
        </w:rPr>
        <w:t xml:space="preserve"> </w:t>
      </w:r>
      <w:r>
        <w:rPr>
          <w:rFonts w:hint="cs"/>
          <w:rtl/>
        </w:rPr>
        <w:t xml:space="preserve">סעיף 1 לחוק. </w:t>
      </w:r>
    </w:p>
  </w:footnote>
  <w:footnote w:id="57">
    <w:p w:rsidR="00974DC7" w:rsidRPr="00E9518C" w:rsidRDefault="00974DC7" w:rsidP="00E9518C">
      <w:pPr>
        <w:pStyle w:val="af0"/>
        <w:bidi/>
        <w:rPr>
          <w:rFonts w:hint="cs"/>
          <w:rtl/>
        </w:rPr>
      </w:pPr>
      <w:r>
        <w:rPr>
          <w:rStyle w:val="af2"/>
        </w:rPr>
        <w:footnoteRef/>
      </w:r>
      <w:r>
        <w:rPr>
          <w:rFonts w:hint="cs"/>
          <w:rtl/>
        </w:rPr>
        <w:t xml:space="preserve"> </w:t>
      </w:r>
      <w:r>
        <w:rPr>
          <w:rFonts w:hint="cs"/>
          <w:rtl/>
        </w:rPr>
        <w:t xml:space="preserve">סעיף 6 לחוק. </w:t>
      </w:r>
    </w:p>
  </w:footnote>
  <w:footnote w:id="58">
    <w:p w:rsidR="00974DC7" w:rsidRPr="00A671A1" w:rsidRDefault="00974DC7" w:rsidP="00E34F72">
      <w:pPr>
        <w:bidi/>
        <w:spacing w:after="0" w:line="240" w:lineRule="auto"/>
        <w:contextualSpacing/>
        <w:rPr>
          <w:sz w:val="20"/>
          <w:szCs w:val="20"/>
          <w:rtl/>
        </w:rPr>
      </w:pPr>
      <w:r w:rsidRPr="00A671A1">
        <w:rPr>
          <w:rStyle w:val="af2"/>
          <w:sz w:val="20"/>
          <w:szCs w:val="20"/>
        </w:rPr>
        <w:footnoteRef/>
      </w:r>
      <w:r w:rsidRPr="00A671A1">
        <w:rPr>
          <w:sz w:val="20"/>
          <w:szCs w:val="20"/>
          <w:rtl/>
        </w:rPr>
        <w:t xml:space="preserve"> </w:t>
      </w:r>
      <w:r>
        <w:rPr>
          <w:rFonts w:hint="cs"/>
          <w:sz w:val="20"/>
          <w:szCs w:val="20"/>
          <w:rtl/>
        </w:rPr>
        <w:t xml:space="preserve">ראה </w:t>
      </w:r>
      <w:r w:rsidRPr="00A671A1">
        <w:rPr>
          <w:rFonts w:hint="cs"/>
          <w:b/>
          <w:bCs/>
          <w:sz w:val="20"/>
          <w:szCs w:val="20"/>
          <w:rtl/>
        </w:rPr>
        <w:t xml:space="preserve">עניין </w:t>
      </w:r>
      <w:proofErr w:type="spellStart"/>
      <w:r w:rsidRPr="00A671A1">
        <w:rPr>
          <w:rFonts w:hint="cs"/>
          <w:b/>
          <w:bCs/>
          <w:sz w:val="20"/>
          <w:szCs w:val="20"/>
          <w:rtl/>
        </w:rPr>
        <w:t>מראעבה</w:t>
      </w:r>
      <w:proofErr w:type="spellEnd"/>
      <w:r w:rsidRPr="00A671A1">
        <w:rPr>
          <w:rFonts w:hint="cs"/>
          <w:sz w:val="20"/>
          <w:szCs w:val="20"/>
          <w:rtl/>
        </w:rPr>
        <w:t xml:space="preserve">, </w:t>
      </w:r>
      <w:r>
        <w:rPr>
          <w:rFonts w:hint="cs"/>
          <w:sz w:val="20"/>
          <w:szCs w:val="20"/>
          <w:rtl/>
        </w:rPr>
        <w:t xml:space="preserve">פס' 22 לפסק הדין. </w:t>
      </w:r>
    </w:p>
  </w:footnote>
  <w:footnote w:id="59">
    <w:p w:rsidR="00974DC7" w:rsidRPr="00A671A1" w:rsidRDefault="00974DC7" w:rsidP="00641271">
      <w:pPr>
        <w:pStyle w:val="af0"/>
        <w:bidi/>
        <w:contextualSpacing/>
        <w:rPr>
          <w:rtl/>
        </w:rPr>
      </w:pPr>
      <w:r w:rsidRPr="00A671A1">
        <w:rPr>
          <w:rStyle w:val="af2"/>
        </w:rPr>
        <w:footnoteRef/>
      </w:r>
      <w:r w:rsidRPr="00A671A1">
        <w:rPr>
          <w:rtl/>
        </w:rPr>
        <w:t xml:space="preserve"> </w:t>
      </w:r>
      <w:r w:rsidRPr="00A671A1">
        <w:rPr>
          <w:rFonts w:hint="cs"/>
          <w:rtl/>
        </w:rPr>
        <w:t xml:space="preserve">י' </w:t>
      </w:r>
      <w:proofErr w:type="spellStart"/>
      <w:r w:rsidRPr="00A671A1">
        <w:rPr>
          <w:rFonts w:hint="cs"/>
          <w:rtl/>
        </w:rPr>
        <w:t>דינשטיין</w:t>
      </w:r>
      <w:proofErr w:type="spellEnd"/>
      <w:r w:rsidRPr="00A671A1">
        <w:rPr>
          <w:rFonts w:hint="cs"/>
          <w:rtl/>
        </w:rPr>
        <w:t xml:space="preserve">, </w:t>
      </w:r>
      <w:proofErr w:type="spellStart"/>
      <w:r>
        <w:rPr>
          <w:rFonts w:hint="cs"/>
          <w:rtl/>
        </w:rPr>
        <w:t>ה"ש</w:t>
      </w:r>
      <w:proofErr w:type="spellEnd"/>
      <w:r>
        <w:rPr>
          <w:rFonts w:hint="cs"/>
          <w:rtl/>
        </w:rPr>
        <w:t xml:space="preserve"> 25 לעיל, </w:t>
      </w:r>
      <w:r w:rsidRPr="00A671A1">
        <w:rPr>
          <w:rFonts w:hint="cs"/>
          <w:rtl/>
        </w:rPr>
        <w:t xml:space="preserve">בעמ' 509. </w:t>
      </w:r>
    </w:p>
  </w:footnote>
  <w:footnote w:id="60">
    <w:p w:rsidR="00974DC7" w:rsidRPr="00AE476C" w:rsidRDefault="00974DC7" w:rsidP="00464AE9">
      <w:pPr>
        <w:pStyle w:val="af0"/>
        <w:bidi/>
        <w:contextualSpacing/>
        <w:rPr>
          <w:rtl/>
        </w:rPr>
      </w:pPr>
      <w:r w:rsidRPr="00AE476C">
        <w:rPr>
          <w:rStyle w:val="af2"/>
        </w:rPr>
        <w:footnoteRef/>
      </w:r>
      <w:r w:rsidRPr="00AE476C">
        <w:rPr>
          <w:rtl/>
        </w:rPr>
        <w:t xml:space="preserve"> </w:t>
      </w:r>
      <w:r w:rsidRPr="00AE476C">
        <w:rPr>
          <w:rFonts w:hint="cs"/>
          <w:b/>
          <w:bCs/>
          <w:rtl/>
        </w:rPr>
        <w:t xml:space="preserve">עניין בית </w:t>
      </w:r>
      <w:proofErr w:type="spellStart"/>
      <w:r w:rsidRPr="00AE476C">
        <w:rPr>
          <w:rFonts w:hint="cs"/>
          <w:b/>
          <w:bCs/>
          <w:rtl/>
        </w:rPr>
        <w:t>סוריק</w:t>
      </w:r>
      <w:proofErr w:type="spellEnd"/>
      <w:r w:rsidRPr="00AE476C">
        <w:rPr>
          <w:rFonts w:hint="cs"/>
          <w:rtl/>
        </w:rPr>
        <w:t xml:space="preserve">, בעמ' 836; </w:t>
      </w:r>
      <w:r w:rsidRPr="008A4DBC">
        <w:rPr>
          <w:rtl/>
        </w:rPr>
        <w:t>בג</w:t>
      </w:r>
      <w:r>
        <w:rPr>
          <w:rFonts w:hint="cs"/>
          <w:rtl/>
        </w:rPr>
        <w:t>"</w:t>
      </w:r>
      <w:r w:rsidRPr="008A4DBC">
        <w:rPr>
          <w:rtl/>
        </w:rPr>
        <w:t xml:space="preserve">ץ 9949/08 </w:t>
      </w:r>
      <w:r w:rsidRPr="000B375D">
        <w:rPr>
          <w:b/>
          <w:bCs/>
          <w:rtl/>
        </w:rPr>
        <w:t xml:space="preserve">מרים חסן עבד </w:t>
      </w:r>
      <w:proofErr w:type="spellStart"/>
      <w:r w:rsidRPr="000B375D">
        <w:rPr>
          <w:b/>
          <w:bCs/>
          <w:rtl/>
        </w:rPr>
        <w:t>אלקרים</w:t>
      </w:r>
      <w:proofErr w:type="spellEnd"/>
      <w:r w:rsidRPr="000B375D">
        <w:rPr>
          <w:b/>
          <w:bCs/>
          <w:rtl/>
        </w:rPr>
        <w:t xml:space="preserve"> </w:t>
      </w:r>
      <w:proofErr w:type="spellStart"/>
      <w:r w:rsidRPr="000B375D">
        <w:rPr>
          <w:b/>
          <w:bCs/>
          <w:rtl/>
        </w:rPr>
        <w:t>חמאד</w:t>
      </w:r>
      <w:proofErr w:type="spellEnd"/>
      <w:r w:rsidRPr="008A4DBC">
        <w:rPr>
          <w:rtl/>
        </w:rPr>
        <w:t xml:space="preserve"> נ' </w:t>
      </w:r>
      <w:r w:rsidRPr="000B375D">
        <w:rPr>
          <w:b/>
          <w:bCs/>
          <w:rtl/>
        </w:rPr>
        <w:t>שר הביטחון</w:t>
      </w:r>
      <w:r w:rsidRPr="008A4DBC">
        <w:rPr>
          <w:rFonts w:hint="cs"/>
          <w:rtl/>
        </w:rPr>
        <w:t>, פס' 15 לפסק הדין (טרם פורסם, ניתן ביום 14.11.16).</w:t>
      </w:r>
    </w:p>
  </w:footnote>
  <w:footnote w:id="61">
    <w:p w:rsidR="00974DC7" w:rsidRPr="00AE476C" w:rsidRDefault="00974DC7" w:rsidP="00464AE9">
      <w:pPr>
        <w:pStyle w:val="af0"/>
        <w:bidi/>
        <w:contextualSpacing/>
        <w:rPr>
          <w:rtl/>
        </w:rPr>
      </w:pPr>
      <w:r w:rsidRPr="00AE476C">
        <w:rPr>
          <w:rStyle w:val="af2"/>
        </w:rPr>
        <w:footnoteRef/>
      </w:r>
      <w:r w:rsidRPr="00AE476C">
        <w:rPr>
          <w:rtl/>
        </w:rPr>
        <w:t xml:space="preserve"> </w:t>
      </w:r>
      <w:r w:rsidRPr="00AE476C">
        <w:rPr>
          <w:rtl/>
        </w:rPr>
        <w:t xml:space="preserve">בג"ץ 5439/09 </w:t>
      </w:r>
      <w:proofErr w:type="spellStart"/>
      <w:r w:rsidRPr="00AE476C">
        <w:rPr>
          <w:b/>
          <w:bCs/>
          <w:rtl/>
        </w:rPr>
        <w:t>עבדאלקאדר</w:t>
      </w:r>
      <w:proofErr w:type="spellEnd"/>
      <w:r w:rsidRPr="00AE476C">
        <w:rPr>
          <w:b/>
          <w:bCs/>
          <w:rtl/>
        </w:rPr>
        <w:t xml:space="preserve"> נ' ועדת </w:t>
      </w:r>
      <w:proofErr w:type="spellStart"/>
      <w:r w:rsidRPr="00AE476C">
        <w:rPr>
          <w:b/>
          <w:bCs/>
          <w:rtl/>
        </w:rPr>
        <w:t>העררים</w:t>
      </w:r>
      <w:proofErr w:type="spellEnd"/>
      <w:r w:rsidRPr="00AE476C">
        <w:rPr>
          <w:b/>
          <w:bCs/>
          <w:rtl/>
        </w:rPr>
        <w:t xml:space="preserve"> הצבאית</w:t>
      </w:r>
      <w:r w:rsidRPr="00AE476C">
        <w:rPr>
          <w:rtl/>
        </w:rPr>
        <w:t>, פס</w:t>
      </w:r>
      <w:r w:rsidRPr="00AE476C">
        <w:rPr>
          <w:rFonts w:hint="cs"/>
          <w:rtl/>
        </w:rPr>
        <w:t>קה</w:t>
      </w:r>
      <w:r w:rsidRPr="00AE476C">
        <w:rPr>
          <w:rtl/>
        </w:rPr>
        <w:t xml:space="preserve"> 11 (20.03.2012)</w:t>
      </w:r>
      <w:r w:rsidRPr="00AE476C">
        <w:rPr>
          <w:rFonts w:hint="cs"/>
          <w:rtl/>
        </w:rPr>
        <w:t xml:space="preserve"> (להלן: </w:t>
      </w:r>
      <w:r w:rsidRPr="00AE476C">
        <w:rPr>
          <w:rFonts w:hint="cs"/>
          <w:b/>
          <w:bCs/>
          <w:rtl/>
        </w:rPr>
        <w:t xml:space="preserve">עניין </w:t>
      </w:r>
      <w:proofErr w:type="spellStart"/>
      <w:r w:rsidRPr="00AE476C">
        <w:rPr>
          <w:rFonts w:hint="cs"/>
          <w:b/>
          <w:bCs/>
          <w:rtl/>
        </w:rPr>
        <w:t>עבדאלקאדר</w:t>
      </w:r>
      <w:proofErr w:type="spellEnd"/>
      <w:r w:rsidRPr="00AE476C">
        <w:rPr>
          <w:rFonts w:hint="cs"/>
          <w:rtl/>
        </w:rPr>
        <w:t>)</w:t>
      </w:r>
      <w:r w:rsidRPr="00AE476C">
        <w:rPr>
          <w:rtl/>
        </w:rPr>
        <w:t>.</w:t>
      </w:r>
      <w:r w:rsidRPr="00AE476C">
        <w:rPr>
          <w:rFonts w:hint="cs"/>
          <w:rtl/>
        </w:rPr>
        <w:t xml:space="preserve"> ראו גם:</w:t>
      </w:r>
      <w:r w:rsidRPr="00AE476C">
        <w:rPr>
          <w:rFonts w:hint="cs"/>
          <w:b/>
          <w:bCs/>
          <w:rtl/>
        </w:rPr>
        <w:t xml:space="preserve"> עניין </w:t>
      </w:r>
      <w:proofErr w:type="spellStart"/>
      <w:r w:rsidRPr="00AE476C">
        <w:rPr>
          <w:rFonts w:hint="cs"/>
          <w:b/>
          <w:bCs/>
          <w:rtl/>
        </w:rPr>
        <w:t>דויקאת</w:t>
      </w:r>
      <w:proofErr w:type="spellEnd"/>
      <w:r w:rsidRPr="00AE476C">
        <w:rPr>
          <w:rFonts w:hint="cs"/>
          <w:b/>
          <w:bCs/>
          <w:rtl/>
        </w:rPr>
        <w:t xml:space="preserve">, </w:t>
      </w:r>
      <w:r w:rsidRPr="00AE476C">
        <w:rPr>
          <w:rFonts w:hint="cs"/>
          <w:rtl/>
        </w:rPr>
        <w:t xml:space="preserve">פס' </w:t>
      </w:r>
      <w:r w:rsidRPr="00AE476C">
        <w:rPr>
          <w:rtl/>
        </w:rPr>
        <w:t xml:space="preserve">14-15; </w:t>
      </w:r>
      <w:r w:rsidRPr="00AE476C">
        <w:rPr>
          <w:rFonts w:hint="cs"/>
          <w:rtl/>
        </w:rPr>
        <w:t>בג</w:t>
      </w:r>
      <w:r w:rsidRPr="00AE476C">
        <w:rPr>
          <w:rtl/>
        </w:rPr>
        <w:t>"</w:t>
      </w:r>
      <w:r w:rsidRPr="00AE476C">
        <w:rPr>
          <w:rFonts w:hint="cs"/>
          <w:rtl/>
        </w:rPr>
        <w:t>ץ</w:t>
      </w:r>
      <w:r w:rsidRPr="00AE476C">
        <w:rPr>
          <w:rtl/>
        </w:rPr>
        <w:t xml:space="preserve"> 5665/11 </w:t>
      </w:r>
      <w:r w:rsidRPr="00AE476C">
        <w:rPr>
          <w:rFonts w:hint="cs"/>
          <w:b/>
          <w:bCs/>
          <w:rtl/>
        </w:rPr>
        <w:t>כפר</w:t>
      </w:r>
      <w:r w:rsidRPr="00AE476C">
        <w:rPr>
          <w:b/>
          <w:bCs/>
          <w:rtl/>
        </w:rPr>
        <w:t xml:space="preserve"> </w:t>
      </w:r>
      <w:r w:rsidRPr="00AE476C">
        <w:rPr>
          <w:rFonts w:hint="cs"/>
          <w:b/>
          <w:bCs/>
          <w:rtl/>
        </w:rPr>
        <w:t>אדומים</w:t>
      </w:r>
      <w:r w:rsidRPr="00AE476C">
        <w:rPr>
          <w:b/>
          <w:bCs/>
          <w:rtl/>
        </w:rPr>
        <w:t xml:space="preserve"> </w:t>
      </w:r>
      <w:r w:rsidRPr="00AE476C">
        <w:rPr>
          <w:rFonts w:hint="cs"/>
          <w:b/>
          <w:bCs/>
          <w:rtl/>
        </w:rPr>
        <w:t>כפר</w:t>
      </w:r>
      <w:r w:rsidRPr="00AE476C">
        <w:rPr>
          <w:b/>
          <w:bCs/>
          <w:rtl/>
        </w:rPr>
        <w:t xml:space="preserve"> </w:t>
      </w:r>
      <w:r w:rsidRPr="00AE476C">
        <w:rPr>
          <w:rFonts w:hint="cs"/>
          <w:b/>
          <w:bCs/>
          <w:rtl/>
        </w:rPr>
        <w:t>שיתופי</w:t>
      </w:r>
      <w:r w:rsidRPr="00AE476C">
        <w:rPr>
          <w:b/>
          <w:bCs/>
          <w:rtl/>
        </w:rPr>
        <w:t xml:space="preserve"> </w:t>
      </w:r>
      <w:r w:rsidRPr="00AE476C">
        <w:rPr>
          <w:rFonts w:hint="cs"/>
          <w:b/>
          <w:bCs/>
          <w:rtl/>
        </w:rPr>
        <w:t>להתיישבות</w:t>
      </w:r>
      <w:r w:rsidRPr="00AE476C">
        <w:rPr>
          <w:b/>
          <w:bCs/>
          <w:rtl/>
        </w:rPr>
        <w:t xml:space="preserve"> </w:t>
      </w:r>
      <w:r w:rsidRPr="00AE476C">
        <w:rPr>
          <w:rFonts w:hint="cs"/>
          <w:b/>
          <w:bCs/>
          <w:rtl/>
        </w:rPr>
        <w:t>קהילתית</w:t>
      </w:r>
      <w:r w:rsidRPr="00AE476C">
        <w:rPr>
          <w:b/>
          <w:bCs/>
          <w:rtl/>
        </w:rPr>
        <w:t xml:space="preserve"> </w:t>
      </w:r>
      <w:r w:rsidRPr="00AE476C">
        <w:rPr>
          <w:rFonts w:hint="cs"/>
          <w:b/>
          <w:bCs/>
          <w:rtl/>
        </w:rPr>
        <w:t>בע</w:t>
      </w:r>
      <w:r w:rsidRPr="00AE476C">
        <w:rPr>
          <w:b/>
          <w:bCs/>
          <w:rtl/>
        </w:rPr>
        <w:t>"</w:t>
      </w:r>
      <w:r w:rsidRPr="00AE476C">
        <w:rPr>
          <w:rFonts w:hint="cs"/>
          <w:b/>
          <w:bCs/>
          <w:rtl/>
        </w:rPr>
        <w:t>מ</w:t>
      </w:r>
      <w:r w:rsidRPr="00AE476C">
        <w:rPr>
          <w:b/>
          <w:bCs/>
          <w:rtl/>
        </w:rPr>
        <w:t xml:space="preserve"> </w:t>
      </w:r>
      <w:r w:rsidRPr="00AE476C">
        <w:rPr>
          <w:rFonts w:hint="cs"/>
          <w:b/>
          <w:bCs/>
          <w:rtl/>
        </w:rPr>
        <w:t>נ</w:t>
      </w:r>
      <w:r w:rsidRPr="00AE476C">
        <w:rPr>
          <w:b/>
          <w:bCs/>
          <w:rtl/>
        </w:rPr>
        <w:t xml:space="preserve">' </w:t>
      </w:r>
      <w:r w:rsidRPr="00AE476C">
        <w:rPr>
          <w:rFonts w:hint="cs"/>
          <w:b/>
          <w:bCs/>
          <w:rtl/>
        </w:rPr>
        <w:t>שר</w:t>
      </w:r>
      <w:r w:rsidRPr="00AE476C">
        <w:rPr>
          <w:b/>
          <w:bCs/>
          <w:rtl/>
        </w:rPr>
        <w:t xml:space="preserve"> </w:t>
      </w:r>
      <w:r w:rsidRPr="00AE476C">
        <w:rPr>
          <w:rFonts w:hint="cs"/>
          <w:b/>
          <w:bCs/>
          <w:rtl/>
        </w:rPr>
        <w:t>הביטחון</w:t>
      </w:r>
      <w:r w:rsidRPr="00AE476C">
        <w:rPr>
          <w:rtl/>
        </w:rPr>
        <w:t xml:space="preserve">, </w:t>
      </w:r>
      <w:r w:rsidRPr="00AE476C">
        <w:rPr>
          <w:rFonts w:hint="cs"/>
          <w:rtl/>
        </w:rPr>
        <w:t>פס</w:t>
      </w:r>
      <w:r w:rsidRPr="00AE476C">
        <w:rPr>
          <w:rtl/>
        </w:rPr>
        <w:t>' 13-14 (10.10.2012).</w:t>
      </w:r>
      <w:r>
        <w:rPr>
          <w:rFonts w:hint="cs"/>
          <w:rtl/>
        </w:rPr>
        <w:t xml:space="preserve"> בג"ץ 8887/06 </w:t>
      </w:r>
      <w:r w:rsidRPr="00E3322B">
        <w:rPr>
          <w:rFonts w:hint="cs"/>
          <w:b/>
          <w:bCs/>
          <w:rtl/>
        </w:rPr>
        <w:t>אל</w:t>
      </w:r>
      <w:r w:rsidRPr="00E3322B">
        <w:rPr>
          <w:b/>
          <w:bCs/>
        </w:rPr>
        <w:t>-</w:t>
      </w:r>
      <w:proofErr w:type="spellStart"/>
      <w:r w:rsidRPr="00E3322B">
        <w:rPr>
          <w:rFonts w:hint="cs"/>
          <w:b/>
          <w:bCs/>
          <w:rtl/>
        </w:rPr>
        <w:t>נאבות</w:t>
      </w:r>
      <w:proofErr w:type="spellEnd"/>
      <w:r w:rsidRPr="00E3322B">
        <w:rPr>
          <w:rFonts w:hint="cs"/>
          <w:b/>
          <w:bCs/>
          <w:rtl/>
        </w:rPr>
        <w:t xml:space="preserve"> נ'</w:t>
      </w:r>
      <w:r w:rsidRPr="00E3322B">
        <w:rPr>
          <w:b/>
          <w:bCs/>
        </w:rPr>
        <w:t xml:space="preserve"> </w:t>
      </w:r>
      <w:r w:rsidRPr="00E3322B">
        <w:rPr>
          <w:rFonts w:hint="cs"/>
          <w:b/>
          <w:bCs/>
          <w:rtl/>
        </w:rPr>
        <w:t>שר</w:t>
      </w:r>
      <w:r w:rsidRPr="00E3322B">
        <w:rPr>
          <w:b/>
          <w:bCs/>
        </w:rPr>
        <w:t xml:space="preserve"> </w:t>
      </w:r>
      <w:proofErr w:type="spellStart"/>
      <w:r w:rsidRPr="00E3322B">
        <w:rPr>
          <w:rFonts w:hint="cs"/>
          <w:b/>
          <w:bCs/>
          <w:rtl/>
        </w:rPr>
        <w:t>הבטחון</w:t>
      </w:r>
      <w:proofErr w:type="spellEnd"/>
      <w:r>
        <w:rPr>
          <w:rFonts w:hint="cs"/>
          <w:rtl/>
        </w:rPr>
        <w:t>, פס' 16 לפסק הדין (טרם פורסם, 2.8.2011).</w:t>
      </w:r>
    </w:p>
  </w:footnote>
  <w:footnote w:id="62">
    <w:p w:rsidR="00974DC7" w:rsidRPr="004A0948" w:rsidRDefault="00974DC7" w:rsidP="00464AE9">
      <w:pPr>
        <w:pStyle w:val="af0"/>
        <w:bidi/>
        <w:rPr>
          <w:rtl/>
        </w:rPr>
      </w:pPr>
      <w:r>
        <w:rPr>
          <w:rStyle w:val="af2"/>
        </w:rPr>
        <w:footnoteRef/>
      </w:r>
      <w:r>
        <w:t xml:space="preserve"> </w:t>
      </w:r>
      <w:r>
        <w:rPr>
          <w:rFonts w:hint="cs"/>
          <w:b/>
          <w:bCs/>
          <w:rtl/>
        </w:rPr>
        <w:t>אל-</w:t>
      </w:r>
      <w:proofErr w:type="spellStart"/>
      <w:r>
        <w:rPr>
          <w:rFonts w:hint="cs"/>
          <w:b/>
          <w:bCs/>
          <w:rtl/>
        </w:rPr>
        <w:t>נאבות</w:t>
      </w:r>
      <w:proofErr w:type="spellEnd"/>
      <w:r>
        <w:rPr>
          <w:rFonts w:hint="cs"/>
          <w:b/>
          <w:bCs/>
          <w:rtl/>
        </w:rPr>
        <w:t xml:space="preserve">, </w:t>
      </w:r>
      <w:r>
        <w:rPr>
          <w:rFonts w:hint="cs"/>
          <w:rtl/>
        </w:rPr>
        <w:t xml:space="preserve">לעיל </w:t>
      </w:r>
      <w:proofErr w:type="spellStart"/>
      <w:r>
        <w:rPr>
          <w:rFonts w:hint="cs"/>
          <w:rtl/>
        </w:rPr>
        <w:t>ה"ש</w:t>
      </w:r>
      <w:proofErr w:type="spellEnd"/>
      <w:r>
        <w:rPr>
          <w:rFonts w:hint="cs"/>
          <w:rtl/>
        </w:rPr>
        <w:t xml:space="preserve"> 2,</w:t>
      </w:r>
      <w:r>
        <w:rPr>
          <w:rFonts w:hint="cs"/>
          <w:b/>
          <w:bCs/>
          <w:rtl/>
        </w:rPr>
        <w:t xml:space="preserve"> פס' 16; כפר אדומים</w:t>
      </w:r>
      <w:r>
        <w:rPr>
          <w:rFonts w:hint="cs"/>
          <w:rtl/>
        </w:rPr>
        <w:t xml:space="preserve"> לעיל </w:t>
      </w:r>
      <w:proofErr w:type="spellStart"/>
      <w:r>
        <w:rPr>
          <w:rFonts w:hint="cs"/>
          <w:rtl/>
        </w:rPr>
        <w:t>ה"ש</w:t>
      </w:r>
      <w:proofErr w:type="spellEnd"/>
      <w:r>
        <w:rPr>
          <w:rFonts w:hint="cs"/>
          <w:rtl/>
        </w:rPr>
        <w:t xml:space="preserve"> 2, פסקה 13; </w:t>
      </w:r>
      <w:r>
        <w:rPr>
          <w:rFonts w:hint="cs"/>
          <w:b/>
          <w:bCs/>
          <w:rtl/>
        </w:rPr>
        <w:t xml:space="preserve">עניין </w:t>
      </w:r>
      <w:proofErr w:type="spellStart"/>
      <w:r>
        <w:rPr>
          <w:rFonts w:hint="cs"/>
          <w:b/>
          <w:bCs/>
          <w:rtl/>
        </w:rPr>
        <w:t>דויקאת</w:t>
      </w:r>
      <w:proofErr w:type="spellEnd"/>
      <w:r>
        <w:rPr>
          <w:rFonts w:hint="cs"/>
          <w:b/>
          <w:bCs/>
          <w:rtl/>
        </w:rPr>
        <w:t xml:space="preserve">, </w:t>
      </w:r>
      <w:proofErr w:type="spellStart"/>
      <w:r>
        <w:rPr>
          <w:rFonts w:hint="cs"/>
          <w:rtl/>
        </w:rPr>
        <w:t>ה"ש</w:t>
      </w:r>
      <w:proofErr w:type="spellEnd"/>
      <w:r>
        <w:rPr>
          <w:rFonts w:hint="cs"/>
          <w:rtl/>
        </w:rPr>
        <w:t xml:space="preserve"> 14 לעיל;</w:t>
      </w:r>
    </w:p>
  </w:footnote>
  <w:footnote w:id="63">
    <w:p w:rsidR="00974DC7" w:rsidRPr="00AE476C" w:rsidRDefault="00974DC7" w:rsidP="00464AE9">
      <w:pPr>
        <w:pStyle w:val="af0"/>
        <w:bidi/>
        <w:contextualSpacing/>
        <w:rPr>
          <w:rtl/>
        </w:rPr>
      </w:pPr>
      <w:r w:rsidRPr="00AE476C">
        <w:rPr>
          <w:rStyle w:val="af2"/>
        </w:rPr>
        <w:footnoteRef/>
      </w:r>
      <w:r w:rsidRPr="00AE476C">
        <w:rPr>
          <w:rtl/>
        </w:rPr>
        <w:t xml:space="preserve"> </w:t>
      </w:r>
      <w:proofErr w:type="spellStart"/>
      <w:r w:rsidRPr="00D40F4A">
        <w:rPr>
          <w:rFonts w:hint="cs"/>
          <w:rtl/>
        </w:rPr>
        <w:t>דינשטיין</w:t>
      </w:r>
      <w:proofErr w:type="spellEnd"/>
      <w:r w:rsidRPr="00AE476C">
        <w:rPr>
          <w:rFonts w:hint="cs"/>
          <w:rtl/>
        </w:rPr>
        <w:t>, עמ' 225</w:t>
      </w:r>
      <w:r>
        <w:rPr>
          <w:rFonts w:hint="cs"/>
          <w:rtl/>
        </w:rPr>
        <w:t>.</w:t>
      </w:r>
    </w:p>
  </w:footnote>
  <w:footnote w:id="64">
    <w:p w:rsidR="00974DC7" w:rsidRPr="00AE476C" w:rsidRDefault="00974DC7" w:rsidP="00464AE9">
      <w:pPr>
        <w:pStyle w:val="af0"/>
        <w:bidi/>
        <w:contextualSpacing/>
        <w:rPr>
          <w:rtl/>
        </w:rPr>
      </w:pPr>
      <w:r w:rsidRPr="00AE476C">
        <w:rPr>
          <w:rStyle w:val="af2"/>
        </w:rPr>
        <w:footnoteRef/>
      </w:r>
      <w:r w:rsidRPr="00AE476C">
        <w:rPr>
          <w:rtl/>
        </w:rPr>
        <w:t xml:space="preserve"> </w:t>
      </w:r>
      <w:r w:rsidRPr="00E34F72">
        <w:rPr>
          <w:rFonts w:hint="cs"/>
          <w:b/>
          <w:bCs/>
          <w:rtl/>
        </w:rPr>
        <w:t>עניין</w:t>
      </w:r>
      <w:r w:rsidRPr="00E34F72">
        <w:rPr>
          <w:b/>
          <w:bCs/>
          <w:rtl/>
        </w:rPr>
        <w:t xml:space="preserve"> </w:t>
      </w:r>
      <w:proofErr w:type="spellStart"/>
      <w:r w:rsidRPr="00E34F72">
        <w:rPr>
          <w:b/>
          <w:bCs/>
          <w:rtl/>
        </w:rPr>
        <w:t>חמאד</w:t>
      </w:r>
      <w:proofErr w:type="spellEnd"/>
      <w:r>
        <w:rPr>
          <w:rFonts w:hint="cs"/>
          <w:rtl/>
        </w:rPr>
        <w:t xml:space="preserve">, </w:t>
      </w:r>
      <w:proofErr w:type="spellStart"/>
      <w:r>
        <w:rPr>
          <w:rFonts w:hint="cs"/>
          <w:rtl/>
        </w:rPr>
        <w:t>ה"ש</w:t>
      </w:r>
      <w:proofErr w:type="spellEnd"/>
      <w:r>
        <w:rPr>
          <w:rFonts w:hint="cs"/>
          <w:rtl/>
        </w:rPr>
        <w:t xml:space="preserve"> 56 לעיל, </w:t>
      </w:r>
      <w:r w:rsidRPr="00D40F4A">
        <w:rPr>
          <w:rFonts w:hint="cs"/>
          <w:rtl/>
        </w:rPr>
        <w:t>פס</w:t>
      </w:r>
      <w:r w:rsidRPr="00D40F4A">
        <w:rPr>
          <w:rtl/>
        </w:rPr>
        <w:t xml:space="preserve">' 15 </w:t>
      </w:r>
      <w:r w:rsidRPr="00D40F4A">
        <w:rPr>
          <w:rFonts w:hint="cs"/>
          <w:rtl/>
        </w:rPr>
        <w:t>לפסק</w:t>
      </w:r>
      <w:r w:rsidRPr="00D40F4A">
        <w:rPr>
          <w:rtl/>
        </w:rPr>
        <w:t xml:space="preserve"> </w:t>
      </w:r>
      <w:r w:rsidRPr="00D40F4A">
        <w:rPr>
          <w:rFonts w:hint="cs"/>
          <w:rtl/>
        </w:rPr>
        <w:t>הדין</w:t>
      </w:r>
      <w:r>
        <w:rPr>
          <w:rFonts w:hint="cs"/>
          <w:rtl/>
        </w:rPr>
        <w:t>.</w:t>
      </w:r>
    </w:p>
  </w:footnote>
  <w:footnote w:id="65">
    <w:p w:rsidR="00974DC7" w:rsidRDefault="00974DC7" w:rsidP="00464AE9">
      <w:pPr>
        <w:pStyle w:val="af0"/>
        <w:bidi/>
        <w:contextualSpacing/>
        <w:rPr>
          <w:rtl/>
        </w:rPr>
      </w:pPr>
      <w:r w:rsidRPr="00AE476C">
        <w:rPr>
          <w:rStyle w:val="af2"/>
        </w:rPr>
        <w:footnoteRef/>
      </w:r>
      <w:r w:rsidRPr="00AE476C">
        <w:rPr>
          <w:rtl/>
        </w:rPr>
        <w:t xml:space="preserve"> </w:t>
      </w:r>
      <w:r w:rsidRPr="00AE476C">
        <w:rPr>
          <w:rFonts w:hint="cs"/>
          <w:rtl/>
        </w:rPr>
        <w:t>לשון תקנה 52:</w:t>
      </w:r>
    </w:p>
    <w:p w:rsidR="00974DC7" w:rsidRPr="00AE476C" w:rsidRDefault="00974DC7" w:rsidP="00464AE9">
      <w:pPr>
        <w:pStyle w:val="af0"/>
        <w:contextualSpacing/>
        <w:rPr>
          <w:rtl/>
        </w:rPr>
      </w:pPr>
      <w:r w:rsidRPr="00AE476C">
        <w:rPr>
          <w:rFonts w:hint="cs"/>
          <w:rtl/>
        </w:rPr>
        <w:t xml:space="preserve"> </w:t>
      </w:r>
      <w:r w:rsidRPr="00AE476C">
        <w:rPr>
          <w:b/>
          <w:bCs/>
        </w:rPr>
        <w:t>Requisitions in kind and services shall not be demanded from municipalities or inhabitants except for the needs of the army of occupation.</w:t>
      </w:r>
      <w:r w:rsidRPr="00AE476C">
        <w:t xml:space="preserve"> They shall be in proportion to the resources of the country, and of such a nature as not to involve the inhabitants in the obligation of taking part in military operations against their own country. </w:t>
      </w:r>
    </w:p>
  </w:footnote>
  <w:footnote w:id="66">
    <w:p w:rsidR="00974DC7" w:rsidRPr="00AE476C" w:rsidRDefault="00974DC7" w:rsidP="00464AE9">
      <w:pPr>
        <w:pStyle w:val="af0"/>
        <w:tabs>
          <w:tab w:val="left" w:pos="1126"/>
        </w:tabs>
        <w:bidi/>
        <w:contextualSpacing/>
        <w:rPr>
          <w:rtl/>
        </w:rPr>
      </w:pPr>
      <w:r w:rsidRPr="00AE476C">
        <w:rPr>
          <w:rStyle w:val="af2"/>
        </w:rPr>
        <w:footnoteRef/>
      </w:r>
      <w:r w:rsidRPr="00AE476C">
        <w:rPr>
          <w:rtl/>
        </w:rPr>
        <w:t xml:space="preserve"> </w:t>
      </w:r>
      <w:r w:rsidRPr="00AE476C">
        <w:rPr>
          <w:rFonts w:hint="cs"/>
          <w:rtl/>
        </w:rPr>
        <w:t>תקנה 23(</w:t>
      </w:r>
      <w:r w:rsidRPr="00AE476C">
        <w:t>g</w:t>
      </w:r>
      <w:r w:rsidRPr="00AE476C">
        <w:rPr>
          <w:rFonts w:hint="cs"/>
          <w:rtl/>
        </w:rPr>
        <w:t>) לתקנות האג.</w:t>
      </w:r>
    </w:p>
  </w:footnote>
  <w:footnote w:id="67">
    <w:p w:rsidR="00974DC7" w:rsidRPr="00AD4F18" w:rsidRDefault="00974DC7" w:rsidP="007F315E">
      <w:pPr>
        <w:pStyle w:val="af0"/>
        <w:bidi/>
        <w:rPr>
          <w:rtl/>
        </w:rPr>
      </w:pPr>
      <w:r>
        <w:rPr>
          <w:rStyle w:val="af2"/>
        </w:rPr>
        <w:footnoteRef/>
      </w:r>
      <w:r>
        <w:rPr>
          <w:rtl/>
        </w:rPr>
        <w:t xml:space="preserve"> </w:t>
      </w:r>
      <w:r>
        <w:rPr>
          <w:rFonts w:hint="cs"/>
          <w:b/>
          <w:bCs/>
          <w:rtl/>
        </w:rPr>
        <w:t xml:space="preserve">ענין </w:t>
      </w:r>
      <w:proofErr w:type="spellStart"/>
      <w:r>
        <w:rPr>
          <w:rFonts w:hint="cs"/>
          <w:b/>
          <w:bCs/>
          <w:rtl/>
        </w:rPr>
        <w:t>דויקאת</w:t>
      </w:r>
      <w:proofErr w:type="spellEnd"/>
      <w:r>
        <w:rPr>
          <w:rFonts w:hint="cs"/>
          <w:b/>
          <w:bCs/>
          <w:rtl/>
        </w:rPr>
        <w:t xml:space="preserve">, </w:t>
      </w:r>
      <w:proofErr w:type="spellStart"/>
      <w:r>
        <w:rPr>
          <w:rFonts w:hint="cs"/>
          <w:rtl/>
        </w:rPr>
        <w:t>ה"ש</w:t>
      </w:r>
      <w:proofErr w:type="spellEnd"/>
      <w:r>
        <w:rPr>
          <w:rFonts w:hint="cs"/>
          <w:rtl/>
        </w:rPr>
        <w:t xml:space="preserve"> לעיל 14.</w:t>
      </w:r>
    </w:p>
  </w:footnote>
  <w:footnote w:id="68">
    <w:p w:rsidR="00974DC7" w:rsidRDefault="00974DC7" w:rsidP="00505C06">
      <w:pPr>
        <w:pStyle w:val="af0"/>
        <w:bidi/>
      </w:pPr>
      <w:r>
        <w:rPr>
          <w:rStyle w:val="af2"/>
        </w:rPr>
        <w:footnoteRef/>
      </w:r>
      <w:r>
        <w:t xml:space="preserve"> </w:t>
      </w:r>
      <w:r>
        <w:rPr>
          <w:rFonts w:hint="cs"/>
          <w:rtl/>
        </w:rPr>
        <w:t xml:space="preserve">בג"ץ 7957/04 </w:t>
      </w:r>
      <w:proofErr w:type="spellStart"/>
      <w:r w:rsidRPr="00F87C19">
        <w:rPr>
          <w:rFonts w:hint="cs"/>
          <w:b/>
          <w:bCs/>
          <w:rtl/>
        </w:rPr>
        <w:t>זהראן</w:t>
      </w:r>
      <w:proofErr w:type="spellEnd"/>
      <w:r w:rsidRPr="00F87C19">
        <w:rPr>
          <w:b/>
          <w:bCs/>
          <w:rtl/>
        </w:rPr>
        <w:t xml:space="preserve"> יונס </w:t>
      </w:r>
      <w:proofErr w:type="spellStart"/>
      <w:r w:rsidRPr="00F87C19">
        <w:rPr>
          <w:rFonts w:hint="cs"/>
          <w:b/>
          <w:bCs/>
          <w:rtl/>
        </w:rPr>
        <w:t>מראעבה</w:t>
      </w:r>
      <w:proofErr w:type="spellEnd"/>
      <w:r w:rsidRPr="00F87C19">
        <w:rPr>
          <w:b/>
          <w:bCs/>
          <w:rtl/>
        </w:rPr>
        <w:t xml:space="preserve"> נ' ראש ממשלת ישראל</w:t>
      </w:r>
      <w:r>
        <w:rPr>
          <w:rFonts w:hint="cs"/>
          <w:rtl/>
        </w:rPr>
        <w:t xml:space="preserve"> פ"ד ס(2) 477.</w:t>
      </w:r>
    </w:p>
  </w:footnote>
  <w:footnote w:id="69">
    <w:p w:rsidR="00974DC7" w:rsidRPr="00AE476C" w:rsidRDefault="00974DC7" w:rsidP="00505C06">
      <w:pPr>
        <w:pStyle w:val="af0"/>
        <w:bidi/>
        <w:contextualSpacing/>
      </w:pPr>
      <w:r w:rsidRPr="00A01791">
        <w:rPr>
          <w:rStyle w:val="af2"/>
        </w:rPr>
        <w:footnoteRef/>
      </w:r>
      <w:r w:rsidRPr="00A01791">
        <w:rPr>
          <w:rStyle w:val="af2"/>
          <w:rtl/>
        </w:rPr>
        <w:t xml:space="preserve"> </w:t>
      </w:r>
      <w:r w:rsidRPr="00A01791">
        <w:rPr>
          <w:rFonts w:hint="cs"/>
          <w:b/>
          <w:bCs/>
          <w:rtl/>
        </w:rPr>
        <w:t>ג</w:t>
      </w:r>
      <w:r w:rsidRPr="00A01791">
        <w:rPr>
          <w:b/>
          <w:bCs/>
          <w:rtl/>
        </w:rPr>
        <w:t>'וחא</w:t>
      </w:r>
      <w:r w:rsidRPr="00A01791">
        <w:rPr>
          <w:rtl/>
        </w:rPr>
        <w:t xml:space="preserve"> 1989, לדייק</w:t>
      </w:r>
      <w:r>
        <w:rPr>
          <w:rFonts w:hint="cs"/>
          <w:rtl/>
        </w:rPr>
        <w:t>.</w:t>
      </w:r>
    </w:p>
  </w:footnote>
  <w:footnote w:id="70">
    <w:p w:rsidR="00974DC7" w:rsidRPr="00AE476C" w:rsidRDefault="00974DC7" w:rsidP="00505C06">
      <w:pPr>
        <w:pStyle w:val="af0"/>
        <w:bidi/>
        <w:contextualSpacing/>
        <w:rPr>
          <w:rtl/>
        </w:rPr>
      </w:pPr>
      <w:r w:rsidRPr="00AE476C">
        <w:rPr>
          <w:rStyle w:val="af2"/>
        </w:rPr>
        <w:footnoteRef/>
      </w:r>
      <w:r w:rsidRPr="00AE476C">
        <w:rPr>
          <w:rtl/>
        </w:rPr>
        <w:t xml:space="preserve"> </w:t>
      </w:r>
      <w:r w:rsidRPr="00AE476C">
        <w:rPr>
          <w:rFonts w:hint="cs"/>
          <w:rtl/>
        </w:rPr>
        <w:t xml:space="preserve">שם. </w:t>
      </w:r>
    </w:p>
  </w:footnote>
  <w:footnote w:id="71">
    <w:p w:rsidR="00974DC7" w:rsidRPr="00AE476C" w:rsidRDefault="00974DC7" w:rsidP="00EB34C4">
      <w:pPr>
        <w:pStyle w:val="af0"/>
        <w:bidi/>
        <w:contextualSpacing/>
        <w:rPr>
          <w:rtl/>
        </w:rPr>
      </w:pPr>
      <w:r w:rsidRPr="00AE476C">
        <w:rPr>
          <w:rStyle w:val="af2"/>
        </w:rPr>
        <w:footnoteRef/>
      </w:r>
      <w:r w:rsidRPr="00AE476C">
        <w:rPr>
          <w:rtl/>
        </w:rPr>
        <w:t xml:space="preserve"> </w:t>
      </w:r>
      <w:r w:rsidRPr="00AE476C">
        <w:rPr>
          <w:rFonts w:hint="cs"/>
          <w:b/>
          <w:bCs/>
          <w:rtl/>
        </w:rPr>
        <w:t>עניין חוף עזה</w:t>
      </w:r>
      <w:r w:rsidRPr="00AE476C">
        <w:rPr>
          <w:rFonts w:hint="cs"/>
          <w:rtl/>
        </w:rPr>
        <w:t xml:space="preserve">, </w:t>
      </w:r>
      <w:r w:rsidRPr="00AE476C">
        <w:rPr>
          <w:rtl/>
        </w:rPr>
        <w:t xml:space="preserve">לעיל </w:t>
      </w:r>
      <w:proofErr w:type="spellStart"/>
      <w:r w:rsidRPr="00AE476C">
        <w:rPr>
          <w:rtl/>
        </w:rPr>
        <w:t>ה"ש</w:t>
      </w:r>
      <w:proofErr w:type="spellEnd"/>
      <w:r w:rsidRPr="00AE476C">
        <w:rPr>
          <w:rtl/>
        </w:rPr>
        <w:t xml:space="preserve"> </w:t>
      </w:r>
      <w:r>
        <w:rPr>
          <w:rFonts w:hint="cs"/>
          <w:rtl/>
        </w:rPr>
        <w:t>15</w:t>
      </w:r>
      <w:r w:rsidRPr="00AE476C">
        <w:rPr>
          <w:rtl/>
        </w:rPr>
        <w:t xml:space="preserve">, </w:t>
      </w:r>
      <w:r>
        <w:rPr>
          <w:rFonts w:hint="cs"/>
          <w:rtl/>
        </w:rPr>
        <w:t xml:space="preserve">פס' </w:t>
      </w:r>
      <w:r w:rsidRPr="00AE476C">
        <w:rPr>
          <w:rFonts w:hint="cs"/>
          <w:rtl/>
        </w:rPr>
        <w:t xml:space="preserve">14 </w:t>
      </w:r>
      <w:r>
        <w:rPr>
          <w:rFonts w:hint="cs"/>
          <w:rtl/>
        </w:rPr>
        <w:t>לפסק הדין</w:t>
      </w:r>
      <w:r w:rsidRPr="00AE476C">
        <w:rPr>
          <w:rFonts w:hint="cs"/>
          <w:rtl/>
        </w:rPr>
        <w:t>;</w:t>
      </w:r>
      <w:r>
        <w:rPr>
          <w:rFonts w:hint="cs"/>
          <w:rtl/>
        </w:rPr>
        <w:t xml:space="preserve"> </w:t>
      </w:r>
      <w:r w:rsidRPr="00AE476C">
        <w:rPr>
          <w:rFonts w:hint="cs"/>
          <w:rtl/>
        </w:rPr>
        <w:t>בין אם הן אדמות מדינה או הן קרקעות בבעלות פרטית, ראו בג"ץ 6022/93 </w:t>
      </w:r>
      <w:proofErr w:type="spellStart"/>
      <w:r w:rsidRPr="00AE476C">
        <w:rPr>
          <w:rFonts w:hint="cs"/>
          <w:b/>
          <w:bCs/>
          <w:rtl/>
        </w:rPr>
        <w:t>אע'ריב</w:t>
      </w:r>
      <w:proofErr w:type="spellEnd"/>
      <w:r w:rsidRPr="00AE476C">
        <w:rPr>
          <w:rFonts w:hint="cs"/>
          <w:b/>
          <w:bCs/>
          <w:rtl/>
        </w:rPr>
        <w:t xml:space="preserve"> נ' הממונה על הרכוש הממשלתי הנטוש</w:t>
      </w:r>
      <w:r w:rsidRPr="00AE476C">
        <w:rPr>
          <w:rFonts w:hint="cs"/>
          <w:rtl/>
        </w:rPr>
        <w:t> (לא פורסם); בג"ץ 3125/98 </w:t>
      </w:r>
      <w:proofErr w:type="spellStart"/>
      <w:r w:rsidRPr="00AE476C">
        <w:rPr>
          <w:rFonts w:hint="cs"/>
          <w:b/>
          <w:bCs/>
          <w:rtl/>
        </w:rPr>
        <w:t>עיאד</w:t>
      </w:r>
      <w:proofErr w:type="spellEnd"/>
      <w:r w:rsidRPr="00AE476C">
        <w:rPr>
          <w:rFonts w:hint="cs"/>
          <w:b/>
          <w:bCs/>
          <w:rtl/>
        </w:rPr>
        <w:t xml:space="preserve"> נ' מפקד כוחות צה"ל</w:t>
      </w:r>
      <w:r w:rsidRPr="00AE476C">
        <w:rPr>
          <w:rFonts w:hint="cs"/>
          <w:rtl/>
        </w:rPr>
        <w:t xml:space="preserve">, פ"ד </w:t>
      </w:r>
      <w:proofErr w:type="spellStart"/>
      <w:r w:rsidRPr="00AE476C">
        <w:rPr>
          <w:rFonts w:hint="cs"/>
          <w:rtl/>
        </w:rPr>
        <w:t>נה</w:t>
      </w:r>
      <w:proofErr w:type="spellEnd"/>
      <w:r w:rsidRPr="00AE476C">
        <w:rPr>
          <w:rFonts w:hint="cs"/>
          <w:rtl/>
        </w:rPr>
        <w:t>(1) 913, 916</w:t>
      </w:r>
      <w:r>
        <w:rPr>
          <w:rFonts w:hint="cs"/>
          <w:rtl/>
        </w:rPr>
        <w:t xml:space="preserve">. </w:t>
      </w:r>
    </w:p>
  </w:footnote>
  <w:footnote w:id="72">
    <w:p w:rsidR="00974DC7" w:rsidRDefault="00974DC7" w:rsidP="00524724">
      <w:pPr>
        <w:pStyle w:val="af0"/>
        <w:bidi/>
      </w:pPr>
      <w:r>
        <w:rPr>
          <w:rStyle w:val="af2"/>
        </w:rPr>
        <w:footnoteRef/>
      </w:r>
      <w:r>
        <w:t xml:space="preserve"> </w:t>
      </w:r>
      <w:r>
        <w:rPr>
          <w:rFonts w:hint="cs"/>
          <w:rtl/>
        </w:rPr>
        <w:t>שם</w:t>
      </w:r>
      <w:r>
        <w:t>,</w:t>
      </w:r>
      <w:r w:rsidRPr="00B91A87">
        <w:rPr>
          <w:rFonts w:hint="cs"/>
          <w:rtl/>
        </w:rPr>
        <w:t xml:space="preserve"> </w:t>
      </w:r>
      <w:r w:rsidRPr="00F87C19">
        <w:rPr>
          <w:rFonts w:hint="cs"/>
          <w:b/>
          <w:bCs/>
          <w:rtl/>
        </w:rPr>
        <w:t>ענין</w:t>
      </w:r>
      <w:r w:rsidRPr="00F87C19">
        <w:rPr>
          <w:b/>
          <w:bCs/>
          <w:rtl/>
        </w:rPr>
        <w:t xml:space="preserve"> </w:t>
      </w:r>
      <w:r w:rsidRPr="00F87C19">
        <w:rPr>
          <w:rFonts w:hint="cs"/>
          <w:b/>
          <w:bCs/>
          <w:rtl/>
        </w:rPr>
        <w:t>בית</w:t>
      </w:r>
      <w:r w:rsidRPr="00F87C19">
        <w:rPr>
          <w:b/>
          <w:bCs/>
          <w:rtl/>
        </w:rPr>
        <w:t xml:space="preserve"> </w:t>
      </w:r>
      <w:proofErr w:type="spellStart"/>
      <w:r w:rsidRPr="00F87C19">
        <w:rPr>
          <w:rFonts w:hint="cs"/>
          <w:b/>
          <w:bCs/>
          <w:rtl/>
        </w:rPr>
        <w:t>סוריק</w:t>
      </w:r>
      <w:proofErr w:type="spellEnd"/>
      <w:r>
        <w:rPr>
          <w:rFonts w:hint="cs"/>
          <w:rtl/>
        </w:rPr>
        <w:t xml:space="preserve"> 831-832.</w:t>
      </w:r>
    </w:p>
  </w:footnote>
  <w:footnote w:id="73">
    <w:p w:rsidR="00974DC7" w:rsidRDefault="00974DC7" w:rsidP="003D251C">
      <w:pPr>
        <w:pStyle w:val="af0"/>
        <w:bidi/>
        <w:rPr>
          <w:rtl/>
        </w:rPr>
      </w:pPr>
      <w:r>
        <w:rPr>
          <w:rStyle w:val="af2"/>
        </w:rPr>
        <w:footnoteRef/>
      </w:r>
      <w:r>
        <w:rPr>
          <w:rtl/>
        </w:rPr>
        <w:t xml:space="preserve"> </w:t>
      </w:r>
      <w:r>
        <w:rPr>
          <w:rFonts w:hint="cs"/>
          <w:b/>
          <w:bCs/>
          <w:rtl/>
        </w:rPr>
        <w:t xml:space="preserve">ענין </w:t>
      </w:r>
      <w:proofErr w:type="spellStart"/>
      <w:r>
        <w:rPr>
          <w:rFonts w:hint="cs"/>
          <w:b/>
          <w:bCs/>
          <w:rtl/>
        </w:rPr>
        <w:t>דויקאת</w:t>
      </w:r>
      <w:proofErr w:type="spellEnd"/>
      <w:r>
        <w:rPr>
          <w:rFonts w:hint="cs"/>
          <w:b/>
          <w:bCs/>
          <w:rtl/>
        </w:rPr>
        <w:t xml:space="preserve">, </w:t>
      </w:r>
      <w:proofErr w:type="spellStart"/>
      <w:r>
        <w:rPr>
          <w:rFonts w:hint="cs"/>
          <w:rtl/>
        </w:rPr>
        <w:t>ה"ש</w:t>
      </w:r>
      <w:proofErr w:type="spellEnd"/>
      <w:r>
        <w:rPr>
          <w:rFonts w:hint="cs"/>
          <w:rtl/>
        </w:rPr>
        <w:t xml:space="preserve"> 14 לעיל. </w:t>
      </w:r>
    </w:p>
  </w:footnote>
  <w:footnote w:id="74">
    <w:p w:rsidR="00974DC7" w:rsidRPr="00AD4F18" w:rsidRDefault="00974DC7" w:rsidP="005F42E6">
      <w:pPr>
        <w:pStyle w:val="af0"/>
        <w:bidi/>
      </w:pPr>
      <w:r>
        <w:rPr>
          <w:rStyle w:val="af2"/>
        </w:rPr>
        <w:footnoteRef/>
      </w:r>
      <w:r>
        <w:rPr>
          <w:rtl/>
        </w:rPr>
        <w:t xml:space="preserve"> </w:t>
      </w:r>
      <w:r>
        <w:rPr>
          <w:rFonts w:hint="cs"/>
          <w:b/>
          <w:bCs/>
          <w:rtl/>
        </w:rPr>
        <w:t xml:space="preserve">ענין </w:t>
      </w:r>
      <w:proofErr w:type="spellStart"/>
      <w:r>
        <w:rPr>
          <w:rFonts w:hint="cs"/>
          <w:b/>
          <w:bCs/>
          <w:rtl/>
        </w:rPr>
        <w:t>דויקאת</w:t>
      </w:r>
      <w:proofErr w:type="spellEnd"/>
      <w:r>
        <w:rPr>
          <w:rFonts w:hint="cs"/>
          <w:b/>
          <w:bCs/>
          <w:rtl/>
        </w:rPr>
        <w:t xml:space="preserve">, </w:t>
      </w:r>
      <w:proofErr w:type="spellStart"/>
      <w:r>
        <w:rPr>
          <w:rFonts w:hint="cs"/>
          <w:rtl/>
        </w:rPr>
        <w:t>ה"ש</w:t>
      </w:r>
      <w:proofErr w:type="spellEnd"/>
      <w:r>
        <w:rPr>
          <w:rFonts w:hint="cs"/>
          <w:rtl/>
        </w:rPr>
        <w:t xml:space="preserve"> 14 לעיל.</w:t>
      </w:r>
    </w:p>
  </w:footnote>
  <w:footnote w:id="75">
    <w:p w:rsidR="00974DC7" w:rsidRPr="006547AE" w:rsidRDefault="00974DC7" w:rsidP="006547AE">
      <w:pPr>
        <w:pStyle w:val="af0"/>
        <w:bidi/>
        <w:rPr>
          <w:rtl/>
        </w:rPr>
      </w:pPr>
      <w:r>
        <w:rPr>
          <w:rStyle w:val="af2"/>
        </w:rPr>
        <w:footnoteRef/>
      </w:r>
      <w:r>
        <w:rPr>
          <w:rFonts w:hint="cs"/>
          <w:b/>
          <w:bCs/>
          <w:rtl/>
        </w:rPr>
        <w:t xml:space="preserve"> </w:t>
      </w:r>
      <w:r w:rsidRPr="00AE476C">
        <w:rPr>
          <w:rFonts w:hint="cs"/>
          <w:b/>
          <w:bCs/>
          <w:rtl/>
        </w:rPr>
        <w:t xml:space="preserve">עניין </w:t>
      </w:r>
      <w:proofErr w:type="spellStart"/>
      <w:r w:rsidRPr="00AE476C">
        <w:rPr>
          <w:rFonts w:hint="cs"/>
          <w:b/>
          <w:bCs/>
          <w:rtl/>
        </w:rPr>
        <w:t>אסכאן</w:t>
      </w:r>
      <w:proofErr w:type="spellEnd"/>
      <w:r w:rsidRPr="00AE476C">
        <w:rPr>
          <w:rFonts w:hint="cs"/>
          <w:rtl/>
        </w:rPr>
        <w:t xml:space="preserve">, </w:t>
      </w:r>
      <w:proofErr w:type="spellStart"/>
      <w:r>
        <w:rPr>
          <w:rFonts w:hint="cs"/>
          <w:rtl/>
        </w:rPr>
        <w:t>ה"ש</w:t>
      </w:r>
      <w:proofErr w:type="spellEnd"/>
      <w:r>
        <w:rPr>
          <w:rFonts w:hint="cs"/>
          <w:rtl/>
        </w:rPr>
        <w:t xml:space="preserve"> 14 לעיל, </w:t>
      </w:r>
      <w:r w:rsidRPr="00AE476C">
        <w:rPr>
          <w:rFonts w:hint="cs"/>
          <w:rtl/>
        </w:rPr>
        <w:t xml:space="preserve">בעמ' </w:t>
      </w:r>
      <w:r>
        <w:rPr>
          <w:rFonts w:hint="cs"/>
          <w:rtl/>
        </w:rPr>
        <w:t>809</w:t>
      </w:r>
      <w:r w:rsidRPr="00AE476C">
        <w:rPr>
          <w:rFonts w:hint="cs"/>
          <w:rtl/>
        </w:rPr>
        <w:t>.</w:t>
      </w:r>
    </w:p>
  </w:footnote>
  <w:footnote w:id="76">
    <w:p w:rsidR="00974DC7" w:rsidRPr="00AE476C" w:rsidRDefault="00974DC7" w:rsidP="006547AE">
      <w:pPr>
        <w:pStyle w:val="af0"/>
        <w:bidi/>
        <w:contextualSpacing/>
      </w:pPr>
      <w:r w:rsidRPr="00AE476C">
        <w:rPr>
          <w:rStyle w:val="af2"/>
        </w:rPr>
        <w:footnoteRef/>
      </w:r>
      <w:r w:rsidRPr="00AE476C">
        <w:rPr>
          <w:rtl/>
        </w:rPr>
        <w:t xml:space="preserve"> </w:t>
      </w:r>
      <w:r w:rsidRPr="006547AE">
        <w:rPr>
          <w:rFonts w:hint="cs"/>
          <w:rtl/>
        </w:rPr>
        <w:t>שם</w:t>
      </w:r>
      <w:r>
        <w:rPr>
          <w:rFonts w:hint="cs"/>
          <w:rtl/>
        </w:rPr>
        <w:t xml:space="preserve">, </w:t>
      </w:r>
      <w:r w:rsidRPr="00AE476C">
        <w:rPr>
          <w:rFonts w:hint="cs"/>
          <w:rtl/>
        </w:rPr>
        <w:t>בעמ'</w:t>
      </w:r>
      <w:r>
        <w:rPr>
          <w:rFonts w:hint="cs"/>
          <w:rtl/>
        </w:rPr>
        <w:t xml:space="preserve"> 809-</w:t>
      </w:r>
      <w:r w:rsidRPr="00AE476C">
        <w:rPr>
          <w:rFonts w:hint="cs"/>
          <w:rtl/>
        </w:rPr>
        <w:t>810.</w:t>
      </w:r>
    </w:p>
  </w:footnote>
  <w:footnote w:id="77">
    <w:p w:rsidR="00974DC7" w:rsidRPr="00AE476C" w:rsidRDefault="00974DC7" w:rsidP="00464AE9">
      <w:pPr>
        <w:pStyle w:val="af0"/>
        <w:tabs>
          <w:tab w:val="left" w:pos="5471"/>
        </w:tabs>
        <w:bidi/>
        <w:contextualSpacing/>
        <w:rPr>
          <w:rtl/>
        </w:rPr>
      </w:pPr>
      <w:r w:rsidRPr="00AE476C">
        <w:rPr>
          <w:rStyle w:val="af2"/>
        </w:rPr>
        <w:footnoteRef/>
      </w:r>
      <w:r w:rsidRPr="00AE476C">
        <w:rPr>
          <w:rtl/>
        </w:rPr>
        <w:t xml:space="preserve"> </w:t>
      </w:r>
      <w:r w:rsidRPr="00AE476C">
        <w:rPr>
          <w:rFonts w:hint="cs"/>
          <w:rtl/>
        </w:rPr>
        <w:t xml:space="preserve"> בג"ץ </w:t>
      </w:r>
      <w:r w:rsidRPr="00AE476C">
        <w:rPr>
          <w:rtl/>
        </w:rPr>
        <w:t>606/78</w:t>
      </w:r>
      <w:r w:rsidRPr="00AE476C">
        <w:rPr>
          <w:rFonts w:hint="cs"/>
          <w:rtl/>
        </w:rPr>
        <w:t xml:space="preserve"> </w:t>
      </w:r>
      <w:r w:rsidRPr="00AE476C">
        <w:rPr>
          <w:rFonts w:hint="cs"/>
          <w:b/>
          <w:bCs/>
          <w:rtl/>
        </w:rPr>
        <w:t>אויב</w:t>
      </w:r>
      <w:r w:rsidRPr="00AE476C">
        <w:rPr>
          <w:b/>
          <w:bCs/>
          <w:rtl/>
        </w:rPr>
        <w:t xml:space="preserve"> שר הביטחון</w:t>
      </w:r>
      <w:r w:rsidRPr="00AE476C">
        <w:rPr>
          <w:rtl/>
        </w:rPr>
        <w:t>, פ"ד לג(2) 113</w:t>
      </w:r>
      <w:r w:rsidRPr="00AE476C">
        <w:rPr>
          <w:rFonts w:hint="cs"/>
          <w:rtl/>
        </w:rPr>
        <w:t xml:space="preserve">, 130; </w:t>
      </w:r>
      <w:r w:rsidRPr="00AE476C">
        <w:rPr>
          <w:rFonts w:hint="cs"/>
          <w:b/>
          <w:bCs/>
          <w:rtl/>
        </w:rPr>
        <w:t xml:space="preserve">עניין בית </w:t>
      </w:r>
      <w:proofErr w:type="spellStart"/>
      <w:r w:rsidRPr="00AE476C">
        <w:rPr>
          <w:rFonts w:hint="cs"/>
          <w:b/>
          <w:bCs/>
          <w:rtl/>
        </w:rPr>
        <w:t>איכסא</w:t>
      </w:r>
      <w:proofErr w:type="spellEnd"/>
      <w:r w:rsidRPr="00AE476C">
        <w:rPr>
          <w:rFonts w:hint="cs"/>
          <w:rtl/>
        </w:rPr>
        <w:t>, בפס'  26</w:t>
      </w:r>
    </w:p>
  </w:footnote>
  <w:footnote w:id="78">
    <w:p w:rsidR="00974DC7" w:rsidRPr="00AE476C" w:rsidRDefault="00974DC7" w:rsidP="00464AE9">
      <w:pPr>
        <w:pStyle w:val="af0"/>
        <w:bidi/>
        <w:contextualSpacing/>
      </w:pPr>
      <w:r w:rsidRPr="00AE476C">
        <w:rPr>
          <w:rStyle w:val="af2"/>
        </w:rPr>
        <w:footnoteRef/>
      </w:r>
      <w:r w:rsidRPr="00AE476C">
        <w:rPr>
          <w:rtl/>
        </w:rPr>
        <w:t xml:space="preserve"> </w:t>
      </w:r>
      <w:r w:rsidRPr="00AE476C">
        <w:rPr>
          <w:rFonts w:hint="cs"/>
          <w:b/>
          <w:bCs/>
          <w:rtl/>
        </w:rPr>
        <w:t xml:space="preserve">עניין בית </w:t>
      </w:r>
      <w:proofErr w:type="spellStart"/>
      <w:r w:rsidRPr="00AE476C">
        <w:rPr>
          <w:rFonts w:hint="cs"/>
          <w:b/>
          <w:bCs/>
          <w:rtl/>
        </w:rPr>
        <w:t>איכסא</w:t>
      </w:r>
      <w:proofErr w:type="spellEnd"/>
      <w:r w:rsidRPr="00AE476C">
        <w:rPr>
          <w:rFonts w:hint="cs"/>
          <w:rtl/>
        </w:rPr>
        <w:t>, בפס'  26</w:t>
      </w:r>
      <w:r>
        <w:rPr>
          <w:rFonts w:hint="cs"/>
          <w:rtl/>
        </w:rPr>
        <w:t>.</w:t>
      </w:r>
    </w:p>
  </w:footnote>
  <w:footnote w:id="79">
    <w:p w:rsidR="00974DC7" w:rsidRPr="00AE476C" w:rsidRDefault="00974DC7" w:rsidP="00DB541E">
      <w:pPr>
        <w:pStyle w:val="af0"/>
        <w:bidi/>
        <w:contextualSpacing/>
      </w:pPr>
      <w:r w:rsidRPr="00AE476C">
        <w:rPr>
          <w:rStyle w:val="af2"/>
        </w:rPr>
        <w:footnoteRef/>
      </w:r>
      <w:r w:rsidRPr="00AE476C">
        <w:rPr>
          <w:rtl/>
        </w:rPr>
        <w:t xml:space="preserve"> </w:t>
      </w:r>
      <w:r>
        <w:rPr>
          <w:rFonts w:hint="cs"/>
          <w:rtl/>
        </w:rPr>
        <w:t xml:space="preserve">ראו גם את </w:t>
      </w:r>
      <w:r w:rsidRPr="00AE476C">
        <w:rPr>
          <w:rFonts w:hint="cs"/>
          <w:rtl/>
        </w:rPr>
        <w:t xml:space="preserve">פסק הדין בעניין חוף עזה, אשר קבע כי עצם זכות השימוש בקרקע היא זכות קניינית, וכי נפגעה זכותם לקניין של התושבים הישראלים ברצועת עזה שנאלצו להתפנות מבתיהם. </w:t>
      </w:r>
      <w:r w:rsidRPr="00AE476C">
        <w:rPr>
          <w:rtl/>
        </w:rPr>
        <w:t xml:space="preserve">ראו </w:t>
      </w:r>
      <w:r w:rsidRPr="00AE476C">
        <w:rPr>
          <w:b/>
          <w:bCs/>
          <w:rtl/>
        </w:rPr>
        <w:t>עניין חוף עזה</w:t>
      </w:r>
      <w:r w:rsidRPr="00AE476C">
        <w:rPr>
          <w:rtl/>
        </w:rPr>
        <w:t xml:space="preserve">, לעיל </w:t>
      </w:r>
      <w:proofErr w:type="spellStart"/>
      <w:r w:rsidRPr="00AE476C">
        <w:rPr>
          <w:rtl/>
        </w:rPr>
        <w:t>ה"ש</w:t>
      </w:r>
      <w:proofErr w:type="spellEnd"/>
      <w:r w:rsidRPr="00AE476C">
        <w:rPr>
          <w:rtl/>
        </w:rPr>
        <w:t xml:space="preserve"> </w:t>
      </w:r>
      <w:r>
        <w:rPr>
          <w:rFonts w:hint="cs"/>
          <w:rtl/>
        </w:rPr>
        <w:t>15</w:t>
      </w:r>
      <w:r w:rsidRPr="00AE476C">
        <w:rPr>
          <w:rtl/>
        </w:rPr>
        <w:t xml:space="preserve">, </w:t>
      </w:r>
      <w:r>
        <w:rPr>
          <w:rFonts w:hint="cs"/>
          <w:rtl/>
        </w:rPr>
        <w:t>פס' 127</w:t>
      </w:r>
      <w:r w:rsidRPr="00AE476C">
        <w:rPr>
          <w:rFonts w:hint="cs"/>
          <w:rtl/>
        </w:rPr>
        <w:t xml:space="preserve"> </w:t>
      </w:r>
      <w:r>
        <w:rPr>
          <w:rFonts w:hint="cs"/>
          <w:rtl/>
        </w:rPr>
        <w:t>לפסק הדין.</w:t>
      </w:r>
    </w:p>
  </w:footnote>
  <w:footnote w:id="80">
    <w:p w:rsidR="008E6F21" w:rsidRPr="008E6F21" w:rsidRDefault="008E6F21" w:rsidP="008E6F21">
      <w:pPr>
        <w:pStyle w:val="af0"/>
        <w:bidi/>
        <w:rPr>
          <w:rFonts w:hint="cs"/>
          <w:rtl/>
        </w:rPr>
      </w:pPr>
      <w:r>
        <w:rPr>
          <w:rStyle w:val="af2"/>
        </w:rPr>
        <w:footnoteRef/>
      </w:r>
      <w:r>
        <w:rPr>
          <w:rFonts w:hint="cs"/>
          <w:rtl/>
        </w:rPr>
        <w:t xml:space="preserve"> </w:t>
      </w:r>
      <w:r>
        <w:rPr>
          <w:rFonts w:hint="cs"/>
          <w:rtl/>
        </w:rPr>
        <w:t xml:space="preserve">לא הרחבנו בעניין זה שכן הניתוח של הוראות החוק חורג ממשפט בין לאומי. </w:t>
      </w:r>
    </w:p>
  </w:footnote>
  <w:footnote w:id="81">
    <w:p w:rsidR="00974DC7" w:rsidRDefault="00974DC7" w:rsidP="000A4394">
      <w:pPr>
        <w:pStyle w:val="af0"/>
        <w:bidi/>
        <w:rPr>
          <w:rtl/>
        </w:rPr>
      </w:pPr>
      <w:r w:rsidRPr="00612605">
        <w:rPr>
          <w:rStyle w:val="af2"/>
          <w:highlight w:val="yellow"/>
        </w:rPr>
        <w:footnoteRef/>
      </w:r>
      <w:r w:rsidRPr="00612605">
        <w:rPr>
          <w:highlight w:val="yellow"/>
          <w:rtl/>
        </w:rPr>
        <w:t xml:space="preserve"> </w:t>
      </w:r>
      <w:r w:rsidRPr="00612605">
        <w:rPr>
          <w:rFonts w:hint="cs"/>
          <w:highlight w:val="yellow"/>
          <w:rtl/>
        </w:rPr>
        <w:t xml:space="preserve">6659/06 פלוני נ' מדינת ישראל 9 ביניש; בגץ 769/02 הוועד הציבורי נגד עינויים 20 ברק; 698/80 </w:t>
      </w:r>
      <w:proofErr w:type="spellStart"/>
      <w:r w:rsidRPr="00612605">
        <w:rPr>
          <w:rFonts w:hint="cs"/>
          <w:highlight w:val="yellow"/>
          <w:rtl/>
        </w:rPr>
        <w:t>קוואסמה</w:t>
      </w:r>
      <w:proofErr w:type="spellEnd"/>
      <w:r w:rsidRPr="00612605">
        <w:rPr>
          <w:rFonts w:hint="cs"/>
          <w:highlight w:val="yellow"/>
          <w:rtl/>
        </w:rPr>
        <w:t xml:space="preserve"> חיים כהן; </w:t>
      </w:r>
      <w:proofErr w:type="spellStart"/>
      <w:r w:rsidRPr="00612605">
        <w:rPr>
          <w:rFonts w:hint="cs"/>
          <w:highlight w:val="yellow"/>
          <w:rtl/>
        </w:rPr>
        <w:t>ג'מעית</w:t>
      </w:r>
      <w:proofErr w:type="spellEnd"/>
      <w:r w:rsidRPr="00612605">
        <w:rPr>
          <w:rFonts w:hint="cs"/>
          <w:highlight w:val="yellow"/>
          <w:rtl/>
        </w:rPr>
        <w:t xml:space="preserve"> </w:t>
      </w:r>
      <w:proofErr w:type="spellStart"/>
      <w:r w:rsidRPr="00612605">
        <w:rPr>
          <w:rFonts w:hint="cs"/>
          <w:highlight w:val="yellow"/>
          <w:rtl/>
        </w:rPr>
        <w:t>אסכאן</w:t>
      </w:r>
      <w:proofErr w:type="spellEnd"/>
      <w:r w:rsidRPr="00612605">
        <w:rPr>
          <w:rFonts w:hint="cs"/>
          <w:highlight w:val="yellow"/>
          <w:rtl/>
        </w:rPr>
        <w:t xml:space="preserve">; 7015/02 </w:t>
      </w:r>
      <w:proofErr w:type="spellStart"/>
      <w:r w:rsidRPr="00612605">
        <w:rPr>
          <w:rFonts w:hint="cs"/>
          <w:highlight w:val="yellow"/>
          <w:rtl/>
        </w:rPr>
        <w:t>עג'ורי</w:t>
      </w:r>
      <w:proofErr w:type="spellEnd"/>
      <w:r w:rsidRPr="00612605">
        <w:rPr>
          <w:rFonts w:hint="cs"/>
          <w:highlight w:val="yellow"/>
          <w:rtl/>
        </w:rPr>
        <w:t xml:space="preserve">.  3278/02 המוקד להגנת הפרט נ' מפקד כוחות צה"ל </w:t>
      </w:r>
      <w:proofErr w:type="spellStart"/>
      <w:r w:rsidRPr="00612605">
        <w:rPr>
          <w:rFonts w:hint="cs"/>
          <w:highlight w:val="yellow"/>
          <w:rtl/>
        </w:rPr>
        <w:t>באיזור</w:t>
      </w:r>
      <w:proofErr w:type="spellEnd"/>
      <w:r w:rsidRPr="00612605">
        <w:rPr>
          <w:rFonts w:hint="cs"/>
          <w:highlight w:val="yellow"/>
          <w:rtl/>
        </w:rPr>
        <w:t xml:space="preserve"> הגדה המערבית. 1661/05 המועצה האזורית חוף עזה; בג"ץ 201/09 רופאים לזכויות אדם ביניש 7.</w:t>
      </w:r>
    </w:p>
  </w:footnote>
  <w:footnote w:id="82">
    <w:p w:rsidR="00974DC7" w:rsidRPr="00612605" w:rsidRDefault="00974DC7" w:rsidP="006604A5">
      <w:pPr>
        <w:pStyle w:val="af0"/>
        <w:bidi/>
        <w:rPr>
          <w:highlight w:val="yellow"/>
        </w:rPr>
      </w:pPr>
      <w:r w:rsidRPr="00612605">
        <w:rPr>
          <w:rStyle w:val="af2"/>
          <w:highlight w:val="yellow"/>
        </w:rPr>
        <w:footnoteRef/>
      </w:r>
      <w:r w:rsidRPr="00612605">
        <w:rPr>
          <w:highlight w:val="yellow"/>
          <w:rtl/>
        </w:rPr>
        <w:t xml:space="preserve"> </w:t>
      </w:r>
      <w:r w:rsidRPr="00612605">
        <w:rPr>
          <w:rFonts w:hint="cs"/>
          <w:highlight w:val="yellow"/>
          <w:rtl/>
        </w:rPr>
        <w:t xml:space="preserve">בית </w:t>
      </w:r>
      <w:proofErr w:type="spellStart"/>
      <w:r w:rsidRPr="00612605">
        <w:rPr>
          <w:rFonts w:hint="cs"/>
          <w:highlight w:val="yellow"/>
          <w:rtl/>
        </w:rPr>
        <w:t>סוריק</w:t>
      </w:r>
      <w:proofErr w:type="spellEnd"/>
      <w:r w:rsidRPr="00612605">
        <w:rPr>
          <w:rFonts w:hint="cs"/>
          <w:highlight w:val="yellow"/>
          <w:rtl/>
        </w:rPr>
        <w:t xml:space="preserve"> 23 ברק; </w:t>
      </w:r>
      <w:proofErr w:type="spellStart"/>
      <w:r w:rsidRPr="00612605">
        <w:rPr>
          <w:rFonts w:hint="cs"/>
          <w:highlight w:val="yellow"/>
          <w:rtl/>
        </w:rPr>
        <w:t>מראעבה</w:t>
      </w:r>
      <w:proofErr w:type="spellEnd"/>
      <w:r w:rsidRPr="00612605">
        <w:rPr>
          <w:rFonts w:hint="cs"/>
          <w:highlight w:val="yellow"/>
          <w:rtl/>
        </w:rPr>
        <w:t xml:space="preserve"> ברק 26; בג"ץ 3239/02 מרעב;</w:t>
      </w:r>
      <w:r w:rsidRPr="00612605">
        <w:rPr>
          <w:highlight w:val="yellow"/>
        </w:rPr>
        <w:t xml:space="preserve"> </w:t>
      </w:r>
      <w:r w:rsidRPr="00612605">
        <w:rPr>
          <w:rFonts w:hint="cs"/>
          <w:highlight w:val="yellow"/>
          <w:rtl/>
        </w:rPr>
        <w:t xml:space="preserve"> 769/02 הוועד הציבורי נגד עינויים; 3278/02 המוקד להגנת הפרט</w:t>
      </w:r>
    </w:p>
  </w:footnote>
  <w:footnote w:id="83">
    <w:p w:rsidR="00974DC7" w:rsidRPr="00E33FE5" w:rsidRDefault="00974DC7" w:rsidP="00612605">
      <w:pPr>
        <w:pStyle w:val="af0"/>
        <w:bidi/>
        <w:rPr>
          <w:rtl/>
        </w:rPr>
      </w:pPr>
      <w:r>
        <w:rPr>
          <w:rStyle w:val="af2"/>
        </w:rPr>
        <w:footnoteRef/>
      </w:r>
      <w:r>
        <w:rPr>
          <w:rtl/>
        </w:rPr>
        <w:t xml:space="preserve"> </w:t>
      </w:r>
      <w:r>
        <w:t xml:space="preserve">J.S. </w:t>
      </w:r>
      <w:proofErr w:type="spellStart"/>
      <w:r>
        <w:t>Pictet</w:t>
      </w:r>
      <w:proofErr w:type="spellEnd"/>
      <w:r>
        <w:t xml:space="preserve"> </w:t>
      </w:r>
      <w:r>
        <w:rPr>
          <w:i/>
          <w:iCs/>
        </w:rPr>
        <w:t xml:space="preserve">Commentary: IV Geneva Convention – Relative to the Protection of </w:t>
      </w:r>
      <w:proofErr w:type="spellStart"/>
      <w:r>
        <w:rPr>
          <w:i/>
          <w:iCs/>
        </w:rPr>
        <w:t>Civilan</w:t>
      </w:r>
      <w:proofErr w:type="spellEnd"/>
      <w:r>
        <w:rPr>
          <w:i/>
          <w:iCs/>
        </w:rPr>
        <w:t xml:space="preserve"> </w:t>
      </w:r>
      <w:proofErr w:type="gramStart"/>
      <w:r>
        <w:rPr>
          <w:i/>
          <w:iCs/>
        </w:rPr>
        <w:t>Persons  in</w:t>
      </w:r>
      <w:proofErr w:type="gramEnd"/>
      <w:r>
        <w:rPr>
          <w:i/>
          <w:iCs/>
        </w:rPr>
        <w:t xml:space="preserve"> Time of War</w:t>
      </w:r>
      <w:r>
        <w:t xml:space="preserve"> [74], </w:t>
      </w:r>
      <w:r>
        <w:rPr>
          <w:i/>
          <w:iCs/>
        </w:rPr>
        <w:t>at pp. 199-201</w:t>
      </w:r>
      <w:r>
        <w:t>.</w:t>
      </w:r>
    </w:p>
  </w:footnote>
  <w:footnote w:id="84">
    <w:p w:rsidR="00974DC7" w:rsidRPr="0056751E" w:rsidRDefault="00974DC7" w:rsidP="003E1B0D">
      <w:pPr>
        <w:pStyle w:val="af0"/>
        <w:bidi/>
        <w:rPr>
          <w:rtl/>
        </w:rPr>
      </w:pPr>
      <w:r>
        <w:rPr>
          <w:rStyle w:val="af2"/>
        </w:rPr>
        <w:footnoteRef/>
      </w:r>
      <w:r>
        <w:t xml:space="preserve"> </w:t>
      </w:r>
      <w:proofErr w:type="spellStart"/>
      <w:r w:rsidRPr="0056751E">
        <w:rPr>
          <w:rFonts w:hint="cs"/>
          <w:highlight w:val="yellow"/>
          <w:rtl/>
        </w:rPr>
        <w:t>מראעבה</w:t>
      </w:r>
      <w:proofErr w:type="spellEnd"/>
      <w:r w:rsidRPr="0056751E">
        <w:rPr>
          <w:rFonts w:hint="cs"/>
          <w:highlight w:val="yellow"/>
          <w:rtl/>
        </w:rPr>
        <w:t>, ברק 26</w:t>
      </w:r>
    </w:p>
  </w:footnote>
  <w:footnote w:id="85">
    <w:p w:rsidR="00974DC7" w:rsidRDefault="00974DC7" w:rsidP="003E1B0D">
      <w:pPr>
        <w:pStyle w:val="af0"/>
        <w:bidi/>
        <w:rPr>
          <w:rtl/>
        </w:rPr>
      </w:pPr>
      <w:r w:rsidRPr="00DB509F">
        <w:rPr>
          <w:rStyle w:val="af2"/>
          <w:highlight w:val="yellow"/>
        </w:rPr>
        <w:footnoteRef/>
      </w:r>
      <w:r w:rsidRPr="00DB509F">
        <w:rPr>
          <w:highlight w:val="yellow"/>
          <w:rtl/>
        </w:rPr>
        <w:t xml:space="preserve"> </w:t>
      </w:r>
      <w:r w:rsidRPr="00DB509F">
        <w:rPr>
          <w:rFonts w:hint="cs"/>
          <w:highlight w:val="yellow"/>
          <w:rtl/>
        </w:rPr>
        <w:t>בגץ  201/09 רופאים לזכויות אדם, ביניש 16.</w:t>
      </w:r>
    </w:p>
  </w:footnote>
  <w:footnote w:id="86">
    <w:p w:rsidR="00974DC7" w:rsidRDefault="00974DC7" w:rsidP="00DB509F">
      <w:pPr>
        <w:pStyle w:val="af0"/>
        <w:bidi/>
        <w:rPr>
          <w:rtl/>
        </w:rPr>
      </w:pPr>
      <w:r w:rsidRPr="00DB509F">
        <w:rPr>
          <w:rStyle w:val="af2"/>
          <w:highlight w:val="yellow"/>
        </w:rPr>
        <w:footnoteRef/>
      </w:r>
      <w:r w:rsidRPr="00DB509F">
        <w:rPr>
          <w:highlight w:val="yellow"/>
        </w:rPr>
        <w:t xml:space="preserve"> </w:t>
      </w:r>
      <w:proofErr w:type="spellStart"/>
      <w:r w:rsidRPr="00DB509F">
        <w:rPr>
          <w:rFonts w:hint="cs"/>
          <w:highlight w:val="yellow"/>
          <w:rtl/>
        </w:rPr>
        <w:t>מראעבה</w:t>
      </w:r>
      <w:proofErr w:type="spellEnd"/>
      <w:r w:rsidRPr="00DB509F">
        <w:rPr>
          <w:rFonts w:hint="cs"/>
          <w:highlight w:val="yellow"/>
          <w:rtl/>
        </w:rPr>
        <w:t xml:space="preserve"> 26</w:t>
      </w:r>
    </w:p>
  </w:footnote>
  <w:footnote w:id="87">
    <w:p w:rsidR="00974DC7" w:rsidRDefault="00974DC7" w:rsidP="00376A9E">
      <w:pPr>
        <w:pStyle w:val="af0"/>
        <w:bidi/>
      </w:pPr>
      <w:r w:rsidRPr="00376A9E">
        <w:rPr>
          <w:rStyle w:val="af2"/>
          <w:highlight w:val="yellow"/>
        </w:rPr>
        <w:footnoteRef/>
      </w:r>
      <w:r w:rsidRPr="00376A9E">
        <w:rPr>
          <w:highlight w:val="yellow"/>
          <w:rtl/>
        </w:rPr>
        <w:t xml:space="preserve"> </w:t>
      </w:r>
      <w:r w:rsidRPr="00376A9E">
        <w:rPr>
          <w:rFonts w:hint="cs"/>
          <w:highlight w:val="yellow"/>
          <w:rtl/>
        </w:rPr>
        <w:t>6659/06 פלוני נ' מדינת ישראל 17 ביניש; להוסיף רופאים לזכויות אדם.</w:t>
      </w:r>
    </w:p>
  </w:footnote>
  <w:footnote w:id="88">
    <w:p w:rsidR="00974DC7" w:rsidRPr="00DB509F" w:rsidRDefault="00974DC7" w:rsidP="00DB509F">
      <w:pPr>
        <w:pStyle w:val="af0"/>
        <w:bidi/>
        <w:rPr>
          <w:highlight w:val="yellow"/>
          <w:rtl/>
        </w:rPr>
      </w:pPr>
      <w:r w:rsidRPr="00DB509F">
        <w:rPr>
          <w:rStyle w:val="af2"/>
          <w:highlight w:val="yellow"/>
        </w:rPr>
        <w:footnoteRef/>
      </w:r>
      <w:r w:rsidRPr="00DB509F">
        <w:rPr>
          <w:rFonts w:hint="cs"/>
          <w:highlight w:val="yellow"/>
          <w:rtl/>
        </w:rPr>
        <w:t xml:space="preserve"> </w:t>
      </w:r>
      <w:proofErr w:type="spellStart"/>
      <w:proofErr w:type="gramStart"/>
      <w:r w:rsidRPr="00DB509F">
        <w:rPr>
          <w:highlight w:val="yellow"/>
        </w:rPr>
        <w:t>Pictet</w:t>
      </w:r>
      <w:proofErr w:type="spellEnd"/>
      <w:r w:rsidRPr="00DB509F">
        <w:rPr>
          <w:rFonts w:hint="cs"/>
          <w:highlight w:val="yellow"/>
          <w:rtl/>
        </w:rPr>
        <w:t>, בעמ' 207.</w:t>
      </w:r>
      <w:proofErr w:type="gramEnd"/>
      <w:r w:rsidRPr="00DB509F">
        <w:rPr>
          <w:rFonts w:hint="cs"/>
          <w:highlight w:val="yellow"/>
          <w:rtl/>
        </w:rPr>
        <w:t xml:space="preserve"> </w:t>
      </w:r>
    </w:p>
  </w:footnote>
  <w:footnote w:id="89">
    <w:p w:rsidR="00974DC7" w:rsidRPr="00DB509F" w:rsidRDefault="00974DC7" w:rsidP="00DB509F">
      <w:pPr>
        <w:pStyle w:val="af8"/>
        <w:spacing w:after="0"/>
        <w:ind w:left="0"/>
        <w:jc w:val="left"/>
        <w:rPr>
          <w:highlight w:val="yellow"/>
          <w:rtl/>
        </w:rPr>
      </w:pPr>
      <w:r w:rsidRPr="00DB509F">
        <w:rPr>
          <w:rStyle w:val="af2"/>
          <w:highlight w:val="yellow"/>
        </w:rPr>
        <w:footnoteRef/>
      </w:r>
      <w:r w:rsidRPr="00DB509F">
        <w:rPr>
          <w:highlight w:val="yellow"/>
          <w:rtl/>
        </w:rPr>
        <w:t xml:space="preserve"> </w:t>
      </w:r>
      <w:proofErr w:type="spellStart"/>
      <w:proofErr w:type="gramStart"/>
      <w:r w:rsidRPr="00DB509F">
        <w:rPr>
          <w:highlight w:val="yellow"/>
        </w:rPr>
        <w:t>Pictet</w:t>
      </w:r>
      <w:proofErr w:type="spellEnd"/>
      <w:r w:rsidRPr="00DB509F">
        <w:rPr>
          <w:rFonts w:eastAsia="Calibri" w:cs="David" w:hint="cs"/>
          <w:szCs w:val="20"/>
          <w:highlight w:val="yellow"/>
          <w:rtl/>
          <w:lang w:eastAsia="en-US"/>
        </w:rPr>
        <w:t>, בעמ' 220.</w:t>
      </w:r>
      <w:proofErr w:type="gramEnd"/>
      <w:r w:rsidRPr="00DB509F">
        <w:rPr>
          <w:rFonts w:eastAsia="Calibri" w:cs="David" w:hint="cs"/>
          <w:szCs w:val="20"/>
          <w:highlight w:val="yellow"/>
          <w:rtl/>
          <w:lang w:eastAsia="en-US"/>
        </w:rPr>
        <w:t xml:space="preserve"> </w:t>
      </w:r>
    </w:p>
  </w:footnote>
  <w:footnote w:id="90">
    <w:p w:rsidR="00974DC7" w:rsidRPr="00DB509F" w:rsidRDefault="00974DC7" w:rsidP="00BB1E63">
      <w:pPr>
        <w:pStyle w:val="af0"/>
        <w:bidi/>
        <w:rPr>
          <w:highlight w:val="yellow"/>
          <w:rtl/>
        </w:rPr>
      </w:pPr>
      <w:r w:rsidRPr="00DB509F">
        <w:rPr>
          <w:rStyle w:val="af2"/>
          <w:highlight w:val="yellow"/>
        </w:rPr>
        <w:footnoteRef/>
      </w:r>
      <w:r w:rsidRPr="00DB509F">
        <w:rPr>
          <w:rFonts w:hint="cs"/>
          <w:highlight w:val="yellow"/>
          <w:rtl/>
        </w:rPr>
        <w:t xml:space="preserve"> </w:t>
      </w:r>
      <w:r w:rsidR="009A31AF">
        <w:rPr>
          <w:rFonts w:hint="cs"/>
          <w:rtl/>
        </w:rPr>
        <w:t>הסוגיה היחידה בה בית המשפט העליון בחן את פעולת המפקד הצבאי לאור סעיף 27 בנפרד מתקנה 46, היא בפסקי דין שעסקו בכבוד המת</w:t>
      </w:r>
      <w:r w:rsidR="001922CF">
        <w:rPr>
          <w:rFonts w:hint="cs"/>
          <w:rtl/>
        </w:rPr>
        <w:t>,</w:t>
      </w:r>
      <w:r w:rsidR="001922CF" w:rsidRPr="001922CF">
        <w:rPr>
          <w:rFonts w:hint="cs"/>
          <w:rtl/>
        </w:rPr>
        <w:t xml:space="preserve"> </w:t>
      </w:r>
      <w:r w:rsidR="001922CF">
        <w:rPr>
          <w:rFonts w:hint="cs"/>
          <w:rtl/>
        </w:rPr>
        <w:t>שם נקבע כי סעיף 27 מטיל "חובה להגן על כבודם של התושבים המקומיים", וזו כוללת גם את כבוד המתים</w:t>
      </w:r>
      <w:r w:rsidR="009A31AF">
        <w:rPr>
          <w:rFonts w:hint="cs"/>
          <w:highlight w:val="yellow"/>
          <w:rtl/>
        </w:rPr>
        <w:t xml:space="preserve">. </w:t>
      </w:r>
      <w:r w:rsidRPr="00DB509F">
        <w:rPr>
          <w:rFonts w:hint="cs"/>
          <w:highlight w:val="yellow"/>
          <w:rtl/>
        </w:rPr>
        <w:t xml:space="preserve">ראו </w:t>
      </w:r>
      <w:r w:rsidRPr="00DB509F">
        <w:rPr>
          <w:highlight w:val="yellow"/>
          <w:rtl/>
        </w:rPr>
        <w:t xml:space="preserve">בג"צ 4764/04 </w:t>
      </w:r>
      <w:r w:rsidRPr="00DB509F">
        <w:rPr>
          <w:b/>
          <w:bCs/>
          <w:highlight w:val="yellow"/>
          <w:rtl/>
        </w:rPr>
        <w:t>רופאים לזכויות אדם נ' מפקד כוחות צה"ל בעזה</w:t>
      </w:r>
      <w:r w:rsidRPr="00DB509F">
        <w:rPr>
          <w:highlight w:val="yellow"/>
          <w:rtl/>
        </w:rPr>
        <w:t xml:space="preserve">, </w:t>
      </w:r>
      <w:proofErr w:type="spellStart"/>
      <w:r w:rsidRPr="00DB509F">
        <w:rPr>
          <w:highlight w:val="yellow"/>
          <w:rtl/>
        </w:rPr>
        <w:t>פד"י</w:t>
      </w:r>
      <w:proofErr w:type="spellEnd"/>
      <w:r w:rsidRPr="00DB509F">
        <w:rPr>
          <w:highlight w:val="yellow"/>
          <w:rtl/>
        </w:rPr>
        <w:t xml:space="preserve"> נח</w:t>
      </w:r>
      <w:r w:rsidRPr="00DB509F">
        <w:rPr>
          <w:rFonts w:hint="cs"/>
          <w:highlight w:val="yellow"/>
          <w:rtl/>
        </w:rPr>
        <w:t xml:space="preserve"> (5) 385 (2004), פסקה 27 לפסק דינו של הנשיא (בדימוס) ברק; בגץ 52/06 </w:t>
      </w:r>
      <w:r w:rsidRPr="00DB509F">
        <w:rPr>
          <w:rFonts w:hint="cs"/>
          <w:b/>
          <w:bCs/>
          <w:highlight w:val="yellow"/>
          <w:rtl/>
        </w:rPr>
        <w:t xml:space="preserve">חברת </w:t>
      </w:r>
      <w:proofErr w:type="spellStart"/>
      <w:r w:rsidRPr="00DB509F">
        <w:rPr>
          <w:rFonts w:hint="cs"/>
          <w:b/>
          <w:bCs/>
          <w:highlight w:val="yellow"/>
          <w:rtl/>
        </w:rPr>
        <w:t>אלאקסא</w:t>
      </w:r>
      <w:proofErr w:type="spellEnd"/>
      <w:r w:rsidRPr="00DB509F">
        <w:rPr>
          <w:rFonts w:hint="cs"/>
          <w:b/>
          <w:bCs/>
          <w:highlight w:val="yellow"/>
          <w:rtl/>
        </w:rPr>
        <w:t xml:space="preserve"> לפיתוח נכסי ההקדש המוסלמי בא"י בע"מ</w:t>
      </w:r>
      <w:r w:rsidRPr="00DB509F">
        <w:rPr>
          <w:rFonts w:hint="cs"/>
          <w:highlight w:val="yellow"/>
          <w:rtl/>
        </w:rPr>
        <w:t xml:space="preserve">, סעיף 190 לפסק דינה של השופטת </w:t>
      </w:r>
      <w:proofErr w:type="spellStart"/>
      <w:r w:rsidRPr="00DB509F">
        <w:rPr>
          <w:rFonts w:hint="cs"/>
          <w:highlight w:val="yellow"/>
          <w:rtl/>
        </w:rPr>
        <w:t>פרוקצ'יה</w:t>
      </w:r>
      <w:proofErr w:type="spellEnd"/>
      <w:r w:rsidRPr="00DB509F">
        <w:rPr>
          <w:rFonts w:hint="cs"/>
          <w:highlight w:val="yellow"/>
          <w:rtl/>
        </w:rPr>
        <w:t>.</w:t>
      </w:r>
    </w:p>
  </w:footnote>
  <w:footnote w:id="91">
    <w:p w:rsidR="00974DC7" w:rsidRPr="00DB509F" w:rsidRDefault="00974DC7" w:rsidP="0056751E">
      <w:pPr>
        <w:pStyle w:val="af0"/>
        <w:bidi/>
        <w:rPr>
          <w:highlight w:val="yellow"/>
          <w:rtl/>
        </w:rPr>
      </w:pPr>
      <w:r w:rsidRPr="00DB509F">
        <w:rPr>
          <w:rStyle w:val="af2"/>
          <w:highlight w:val="yellow"/>
        </w:rPr>
        <w:footnoteRef/>
      </w:r>
      <w:r w:rsidRPr="00DB509F">
        <w:rPr>
          <w:highlight w:val="yellow"/>
          <w:rtl/>
        </w:rPr>
        <w:t xml:space="preserve"> </w:t>
      </w:r>
      <w:r w:rsidRPr="00DB509F">
        <w:rPr>
          <w:rFonts w:hint="cs"/>
          <w:highlight w:val="yellow"/>
          <w:rtl/>
        </w:rPr>
        <w:t xml:space="preserve">בית </w:t>
      </w:r>
      <w:proofErr w:type="spellStart"/>
      <w:r w:rsidRPr="00DB509F">
        <w:rPr>
          <w:rFonts w:hint="cs"/>
          <w:highlight w:val="yellow"/>
          <w:rtl/>
        </w:rPr>
        <w:t>סוריק</w:t>
      </w:r>
      <w:proofErr w:type="spellEnd"/>
      <w:r w:rsidRPr="00DB509F">
        <w:rPr>
          <w:rFonts w:hint="cs"/>
          <w:highlight w:val="yellow"/>
          <w:rtl/>
        </w:rPr>
        <w:t xml:space="preserve"> סעיף 34 ברק.</w:t>
      </w:r>
    </w:p>
  </w:footnote>
  <w:footnote w:id="92">
    <w:p w:rsidR="00974DC7" w:rsidRPr="00AE476C" w:rsidRDefault="00974DC7" w:rsidP="0056751E">
      <w:pPr>
        <w:pStyle w:val="af0"/>
        <w:bidi/>
        <w:contextualSpacing/>
        <w:rPr>
          <w:rtl/>
        </w:rPr>
      </w:pPr>
      <w:r w:rsidRPr="00DB509F">
        <w:rPr>
          <w:rStyle w:val="af2"/>
          <w:highlight w:val="yellow"/>
        </w:rPr>
        <w:footnoteRef/>
      </w:r>
      <w:r w:rsidRPr="00DB509F">
        <w:rPr>
          <w:highlight w:val="yellow"/>
          <w:rtl/>
        </w:rPr>
        <w:t xml:space="preserve"> </w:t>
      </w:r>
      <w:r w:rsidRPr="00DB509F">
        <w:rPr>
          <w:rFonts w:hint="cs"/>
          <w:b/>
          <w:bCs/>
          <w:highlight w:val="yellow"/>
          <w:rtl/>
        </w:rPr>
        <w:t xml:space="preserve">עניין בית </w:t>
      </w:r>
      <w:proofErr w:type="spellStart"/>
      <w:r w:rsidRPr="00DB509F">
        <w:rPr>
          <w:rFonts w:hint="cs"/>
          <w:b/>
          <w:bCs/>
          <w:highlight w:val="yellow"/>
          <w:rtl/>
        </w:rPr>
        <w:t>סוריק</w:t>
      </w:r>
      <w:proofErr w:type="spellEnd"/>
      <w:r w:rsidRPr="00DB509F">
        <w:rPr>
          <w:rFonts w:hint="cs"/>
          <w:highlight w:val="yellow"/>
          <w:rtl/>
        </w:rPr>
        <w:t>, פסקה 35, בעמ' 836.</w:t>
      </w:r>
    </w:p>
  </w:footnote>
  <w:footnote w:id="93">
    <w:p w:rsidR="00974DC7" w:rsidRPr="00FC1DED" w:rsidRDefault="00974DC7" w:rsidP="00FC1DED">
      <w:pPr>
        <w:pStyle w:val="af0"/>
        <w:bidi/>
        <w:rPr>
          <w:rtl/>
        </w:rPr>
      </w:pPr>
      <w:r>
        <w:rPr>
          <w:rStyle w:val="af2"/>
        </w:rPr>
        <w:footnoteRef/>
      </w:r>
      <w:r>
        <w:t xml:space="preserve"> </w:t>
      </w:r>
      <w:r>
        <w:rPr>
          <w:rFonts w:hint="cs"/>
          <w:rtl/>
        </w:rPr>
        <w:t xml:space="preserve"> </w:t>
      </w:r>
      <w:r>
        <w:rPr>
          <w:rFonts w:hint="cs"/>
          <w:rtl/>
        </w:rPr>
        <w:t xml:space="preserve">לעניין זה, אין גם משמעות לעובדה כי הסעיף לא כולל הבחנה על בסיס לאום, שכן לא מדובר ברשימה סגורה. מעבר לצורך יצוין כי </w:t>
      </w:r>
      <w:r w:rsidRPr="00D47D7E">
        <w:rPr>
          <w:rFonts w:hint="cs"/>
          <w:rtl/>
        </w:rPr>
        <w:t>עולה מעבודות ההכנה של האמנה כי לא הייתה כוונה לכלול מאפיין זה ברשימה המאפיינים שאסור להפלות בגינם</w:t>
      </w:r>
      <w:r>
        <w:rPr>
          <w:rFonts w:hint="cs"/>
          <w:rtl/>
        </w:rPr>
        <w:t xml:space="preserve">, וזאת על מנת לאפשר מעצר והגבלת חירותו של האויב, כמו גם על מנת לשמר הטבות הנובעות מהסכמים בילטראליים עבור אלה שעלולים להיפגע מהכללת "לאום" כבסיס לאפליה פסולה. ראה </w:t>
      </w:r>
      <w:r w:rsidRPr="00BA2B2C">
        <w:rPr>
          <w:i/>
          <w:iCs/>
        </w:rPr>
        <w:t xml:space="preserve">See Final Record of the Diplomatic </w:t>
      </w:r>
      <w:proofErr w:type="spellStart"/>
      <w:r w:rsidRPr="00BA2B2C">
        <w:rPr>
          <w:i/>
          <w:iCs/>
        </w:rPr>
        <w:t>Confference</w:t>
      </w:r>
      <w:proofErr w:type="spellEnd"/>
      <w:r w:rsidRPr="00BA2B2C">
        <w:rPr>
          <w:i/>
          <w:iCs/>
        </w:rPr>
        <w:t xml:space="preserve"> of Geneva of 1949</w:t>
      </w:r>
      <w:r>
        <w:t xml:space="preserve">, Vol. </w:t>
      </w:r>
      <w:proofErr w:type="gramStart"/>
      <w:r>
        <w:rPr>
          <w:rFonts w:ascii="Arial" w:hAnsi="Arial" w:cs="Arial"/>
          <w:color w:val="000000"/>
          <w:sz w:val="21"/>
          <w:szCs w:val="21"/>
          <w:shd w:val="clear" w:color="auto" w:fill="F8F9FA"/>
        </w:rPr>
        <w:t>II-A pp.640-642</w:t>
      </w:r>
      <w:r>
        <w:rPr>
          <w:rFonts w:hint="cs"/>
          <w:rtl/>
        </w:rPr>
        <w:t>.</w:t>
      </w:r>
      <w:proofErr w:type="gramEnd"/>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4DC7" w:rsidRDefault="00974DC7" w:rsidP="00F8371B">
    <w:pPr>
      <w:pStyle w:val="a3"/>
    </w:pPr>
    <w:r>
      <w:rPr>
        <w:noProof/>
      </w:rPr>
      <w:drawing>
        <wp:inline distT="0" distB="0" distL="0" distR="0" wp14:anchorId="134BD762" wp14:editId="5F927708">
          <wp:extent cx="5749925" cy="343535"/>
          <wp:effectExtent l="0" t="0" r="3175"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49925" cy="343535"/>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4DC7" w:rsidRPr="00632C66" w:rsidRDefault="00974DC7" w:rsidP="00A55E09">
    <w:pPr>
      <w:pStyle w:val="a3"/>
      <w:jc w:val="center"/>
    </w:pPr>
    <w:r>
      <w:rPr>
        <w:noProof/>
      </w:rPr>
      <w:drawing>
        <wp:inline distT="0" distB="0" distL="0" distR="0" wp14:anchorId="4AFFDEEE" wp14:editId="55183457">
          <wp:extent cx="5771515" cy="1134110"/>
          <wp:effectExtent l="0" t="0" r="635" b="8890"/>
          <wp:docPr id="3"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71515" cy="113411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510B55"/>
    <w:multiLevelType w:val="hybridMultilevel"/>
    <w:tmpl w:val="5614D378"/>
    <w:lvl w:ilvl="0" w:tplc="5E2E9AB4">
      <w:start w:val="1"/>
      <w:numFmt w:val="bullet"/>
      <w:lvlText w:val="-"/>
      <w:lvlJc w:val="left"/>
      <w:pPr>
        <w:ind w:left="720" w:hanging="360"/>
      </w:pPr>
      <w:rPr>
        <w:rFonts w:ascii="Calibri" w:eastAsia="Calibri" w:hAnsi="Calibri" w:cs="David"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4E25C4B"/>
    <w:multiLevelType w:val="hybridMultilevel"/>
    <w:tmpl w:val="30128226"/>
    <w:lvl w:ilvl="0" w:tplc="7F403B8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6AF6E90"/>
    <w:multiLevelType w:val="hybridMultilevel"/>
    <w:tmpl w:val="DE002D68"/>
    <w:lvl w:ilvl="0" w:tplc="3508D46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03711D3"/>
    <w:multiLevelType w:val="hybridMultilevel"/>
    <w:tmpl w:val="CC1CDF9C"/>
    <w:lvl w:ilvl="0" w:tplc="AB18560E">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1F2676D"/>
    <w:multiLevelType w:val="hybridMultilevel"/>
    <w:tmpl w:val="218C51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nsid w:val="22E6781B"/>
    <w:multiLevelType w:val="multilevel"/>
    <w:tmpl w:val="6BB46256"/>
    <w:styleLink w:val="DepartmentStandardHebrew"/>
    <w:lvl w:ilvl="0">
      <w:start w:val="1"/>
      <w:numFmt w:val="decimal"/>
      <w:lvlText w:val="%1."/>
      <w:lvlJc w:val="left"/>
      <w:pPr>
        <w:ind w:left="360" w:hanging="360"/>
      </w:pPr>
      <w:rPr>
        <w:rFonts w:ascii="Times New Roman" w:hAnsi="Times New Roman" w:hint="default"/>
        <w:sz w:val="24"/>
      </w:rPr>
    </w:lvl>
    <w:lvl w:ilvl="1">
      <w:start w:val="1"/>
      <w:numFmt w:val="hebrew1"/>
      <w:lvlText w:val="%2."/>
      <w:lvlJc w:val="left"/>
      <w:pPr>
        <w:ind w:left="720" w:hanging="360"/>
      </w:pPr>
      <w:rPr>
        <w:rFonts w:hint="default"/>
      </w:rPr>
    </w:lvl>
    <w:lvl w:ilvl="2">
      <w:start w:val="1"/>
      <w:numFmt w:val="hebrew1"/>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nsid w:val="27AA54A0"/>
    <w:multiLevelType w:val="hybridMultilevel"/>
    <w:tmpl w:val="89108D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F8B2B07"/>
    <w:multiLevelType w:val="hybridMultilevel"/>
    <w:tmpl w:val="9640B94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08E6192"/>
    <w:multiLevelType w:val="multilevel"/>
    <w:tmpl w:val="B0BC88B8"/>
    <w:styleLink w:val="DepartmentStandard"/>
    <w:lvl w:ilvl="0">
      <w:start w:val="1"/>
      <w:numFmt w:val="decimal"/>
      <w:lvlText w:val="%1."/>
      <w:lvlJc w:val="left"/>
      <w:pPr>
        <w:ind w:left="360" w:hanging="360"/>
      </w:pPr>
      <w:rPr>
        <w:rFonts w:ascii="Times New Roman" w:hAnsi="Times New Roman" w:hint="default"/>
        <w:sz w:val="24"/>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nsid w:val="329408A1"/>
    <w:multiLevelType w:val="hybridMultilevel"/>
    <w:tmpl w:val="7EFA9B0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40B43D4"/>
    <w:multiLevelType w:val="hybridMultilevel"/>
    <w:tmpl w:val="98D4AA2C"/>
    <w:lvl w:ilvl="0" w:tplc="F5F0AB40">
      <w:start w:val="1"/>
      <w:numFmt w:val="bullet"/>
      <w:pStyle w:val="Bulleted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6B611F4"/>
    <w:multiLevelType w:val="hybridMultilevel"/>
    <w:tmpl w:val="9640B94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8D57BCE"/>
    <w:multiLevelType w:val="hybridMultilevel"/>
    <w:tmpl w:val="D5A24420"/>
    <w:lvl w:ilvl="0" w:tplc="06E83DA6">
      <w:start w:val="1"/>
      <w:numFmt w:val="decimal"/>
      <w:lvlText w:val="%1."/>
      <w:lvlJc w:val="left"/>
      <w:pPr>
        <w:ind w:left="720" w:hanging="360"/>
      </w:pPr>
      <w:rPr>
        <w:rFonts w:asciiTheme="minorHAnsi" w:eastAsiaTheme="minorHAnsi" w:hAnsiTheme="minorHAnsi" w:cs="David"/>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A260082"/>
    <w:multiLevelType w:val="multilevel"/>
    <w:tmpl w:val="B0BC88B8"/>
    <w:numStyleLink w:val="DepartmentStandard"/>
  </w:abstractNum>
  <w:abstractNum w:abstractNumId="14">
    <w:nsid w:val="3D3F57FE"/>
    <w:multiLevelType w:val="hybridMultilevel"/>
    <w:tmpl w:val="0548ED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F4871D9"/>
    <w:multiLevelType w:val="hybridMultilevel"/>
    <w:tmpl w:val="B17EDA30"/>
    <w:lvl w:ilvl="0" w:tplc="04090013">
      <w:start w:val="1"/>
      <w:numFmt w:val="hebrew1"/>
      <w:lvlText w:val="%1."/>
      <w:lvlJc w:val="center"/>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FEB5B42"/>
    <w:multiLevelType w:val="hybridMultilevel"/>
    <w:tmpl w:val="167273D8"/>
    <w:lvl w:ilvl="0" w:tplc="0409000F">
      <w:start w:val="1"/>
      <w:numFmt w:val="decimal"/>
      <w:lvlText w:val="%1."/>
      <w:lvlJc w:val="left"/>
      <w:pPr>
        <w:ind w:left="720" w:hanging="360"/>
      </w:pPr>
    </w:lvl>
    <w:lvl w:ilvl="1" w:tplc="04090013">
      <w:start w:val="1"/>
      <w:numFmt w:val="hebrew1"/>
      <w:lvlText w:val="%2."/>
      <w:lvlJc w:val="center"/>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4F53F5A"/>
    <w:multiLevelType w:val="hybridMultilevel"/>
    <w:tmpl w:val="2DECFE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DAD2CA1"/>
    <w:multiLevelType w:val="hybridMultilevel"/>
    <w:tmpl w:val="9EC436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E1C57A9"/>
    <w:multiLevelType w:val="hybridMultilevel"/>
    <w:tmpl w:val="8266E6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71E6996"/>
    <w:multiLevelType w:val="multilevel"/>
    <w:tmpl w:val="6BB46256"/>
    <w:numStyleLink w:val="DepartmentStandardHebrew"/>
  </w:abstractNum>
  <w:abstractNum w:abstractNumId="21">
    <w:nsid w:val="6BE576A8"/>
    <w:multiLevelType w:val="hybridMultilevel"/>
    <w:tmpl w:val="4A02AD06"/>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nsid w:val="6FCB1866"/>
    <w:multiLevelType w:val="hybridMultilevel"/>
    <w:tmpl w:val="CCCE9E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06A6E28"/>
    <w:multiLevelType w:val="hybridMultilevel"/>
    <w:tmpl w:val="485AF144"/>
    <w:lvl w:ilvl="0" w:tplc="0409000F">
      <w:start w:val="1"/>
      <w:numFmt w:val="decimal"/>
      <w:lvlText w:val="%1."/>
      <w:lvlJc w:val="left"/>
      <w:pPr>
        <w:ind w:left="721" w:hanging="360"/>
      </w:pPr>
    </w:lvl>
    <w:lvl w:ilvl="1" w:tplc="04090013">
      <w:start w:val="1"/>
      <w:numFmt w:val="hebrew1"/>
      <w:lvlText w:val="%2."/>
      <w:lvlJc w:val="center"/>
      <w:pPr>
        <w:ind w:left="1441" w:hanging="360"/>
      </w:pPr>
    </w:lvl>
    <w:lvl w:ilvl="2" w:tplc="0409001B" w:tentative="1">
      <w:start w:val="1"/>
      <w:numFmt w:val="lowerRoman"/>
      <w:lvlText w:val="%3."/>
      <w:lvlJc w:val="right"/>
      <w:pPr>
        <w:ind w:left="2161" w:hanging="180"/>
      </w:pPr>
    </w:lvl>
    <w:lvl w:ilvl="3" w:tplc="0409000F" w:tentative="1">
      <w:start w:val="1"/>
      <w:numFmt w:val="decimal"/>
      <w:lvlText w:val="%4."/>
      <w:lvlJc w:val="left"/>
      <w:pPr>
        <w:ind w:left="2881" w:hanging="360"/>
      </w:pPr>
    </w:lvl>
    <w:lvl w:ilvl="4" w:tplc="04090019" w:tentative="1">
      <w:start w:val="1"/>
      <w:numFmt w:val="lowerLetter"/>
      <w:lvlText w:val="%5."/>
      <w:lvlJc w:val="left"/>
      <w:pPr>
        <w:ind w:left="3601" w:hanging="360"/>
      </w:pPr>
    </w:lvl>
    <w:lvl w:ilvl="5" w:tplc="0409001B" w:tentative="1">
      <w:start w:val="1"/>
      <w:numFmt w:val="lowerRoman"/>
      <w:lvlText w:val="%6."/>
      <w:lvlJc w:val="right"/>
      <w:pPr>
        <w:ind w:left="4321" w:hanging="180"/>
      </w:pPr>
    </w:lvl>
    <w:lvl w:ilvl="6" w:tplc="0409000F" w:tentative="1">
      <w:start w:val="1"/>
      <w:numFmt w:val="decimal"/>
      <w:lvlText w:val="%7."/>
      <w:lvlJc w:val="left"/>
      <w:pPr>
        <w:ind w:left="5041" w:hanging="360"/>
      </w:pPr>
    </w:lvl>
    <w:lvl w:ilvl="7" w:tplc="04090019" w:tentative="1">
      <w:start w:val="1"/>
      <w:numFmt w:val="lowerLetter"/>
      <w:lvlText w:val="%8."/>
      <w:lvlJc w:val="left"/>
      <w:pPr>
        <w:ind w:left="5761" w:hanging="360"/>
      </w:pPr>
    </w:lvl>
    <w:lvl w:ilvl="8" w:tplc="0409001B" w:tentative="1">
      <w:start w:val="1"/>
      <w:numFmt w:val="lowerRoman"/>
      <w:lvlText w:val="%9."/>
      <w:lvlJc w:val="right"/>
      <w:pPr>
        <w:ind w:left="6481" w:hanging="180"/>
      </w:pPr>
    </w:lvl>
  </w:abstractNum>
  <w:abstractNum w:abstractNumId="24">
    <w:nsid w:val="73443C2A"/>
    <w:multiLevelType w:val="multilevel"/>
    <w:tmpl w:val="6BB46256"/>
    <w:numStyleLink w:val="DepartmentStandardHebrew"/>
  </w:abstractNum>
  <w:abstractNum w:abstractNumId="25">
    <w:nsid w:val="75E51BA2"/>
    <w:multiLevelType w:val="hybridMultilevel"/>
    <w:tmpl w:val="75C695F0"/>
    <w:lvl w:ilvl="0" w:tplc="0409000F">
      <w:start w:val="1"/>
      <w:numFmt w:val="decimal"/>
      <w:lvlText w:val="%1."/>
      <w:lvlJc w:val="left"/>
      <w:pPr>
        <w:ind w:left="720" w:hanging="360"/>
      </w:pPr>
    </w:lvl>
    <w:lvl w:ilvl="1" w:tplc="04090013">
      <w:start w:val="1"/>
      <w:numFmt w:val="hebrew1"/>
      <w:lvlText w:val="%2."/>
      <w:lvlJc w:val="center"/>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3"/>
  </w:num>
  <w:num w:numId="2">
    <w:abstractNumId w:val="8"/>
  </w:num>
  <w:num w:numId="3">
    <w:abstractNumId w:val="24"/>
  </w:num>
  <w:num w:numId="4">
    <w:abstractNumId w:val="5"/>
  </w:num>
  <w:num w:numId="5">
    <w:abstractNumId w:val="20"/>
  </w:num>
  <w:num w:numId="6">
    <w:abstractNumId w:val="10"/>
  </w:num>
  <w:num w:numId="7">
    <w:abstractNumId w:val="10"/>
  </w:num>
  <w:num w:numId="8">
    <w:abstractNumId w:val="4"/>
  </w:num>
  <w:num w:numId="9">
    <w:abstractNumId w:val="23"/>
  </w:num>
  <w:num w:numId="10">
    <w:abstractNumId w:val="6"/>
  </w:num>
  <w:num w:numId="11">
    <w:abstractNumId w:val="16"/>
  </w:num>
  <w:num w:numId="12">
    <w:abstractNumId w:val="25"/>
  </w:num>
  <w:num w:numId="13">
    <w:abstractNumId w:val="1"/>
  </w:num>
  <w:num w:numId="14">
    <w:abstractNumId w:val="3"/>
  </w:num>
  <w:num w:numId="15">
    <w:abstractNumId w:val="2"/>
  </w:num>
  <w:num w:numId="16">
    <w:abstractNumId w:val="0"/>
  </w:num>
  <w:num w:numId="17">
    <w:abstractNumId w:val="18"/>
  </w:num>
  <w:num w:numId="18">
    <w:abstractNumId w:val="11"/>
  </w:num>
  <w:num w:numId="19">
    <w:abstractNumId w:val="15"/>
  </w:num>
  <w:num w:numId="20">
    <w:abstractNumId w:val="19"/>
  </w:num>
  <w:num w:numId="21">
    <w:abstractNumId w:val="12"/>
  </w:num>
  <w:num w:numId="22">
    <w:abstractNumId w:val="17"/>
  </w:num>
  <w:num w:numId="23">
    <w:abstractNumId w:val="14"/>
  </w:num>
  <w:num w:numId="24">
    <w:abstractNumId w:val="22"/>
  </w:num>
  <w:num w:numId="25">
    <w:abstractNumId w:val="21"/>
  </w:num>
  <w:num w:numId="26">
    <w:abstractNumId w:val="9"/>
  </w:num>
  <w:num w:numId="2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02ED"/>
    <w:rsid w:val="000103AA"/>
    <w:rsid w:val="0001044D"/>
    <w:rsid w:val="000152A4"/>
    <w:rsid w:val="00016FDD"/>
    <w:rsid w:val="00027C78"/>
    <w:rsid w:val="000434E0"/>
    <w:rsid w:val="00050B2D"/>
    <w:rsid w:val="00056ED4"/>
    <w:rsid w:val="00061308"/>
    <w:rsid w:val="00061AA5"/>
    <w:rsid w:val="00064BF0"/>
    <w:rsid w:val="000676A3"/>
    <w:rsid w:val="00073447"/>
    <w:rsid w:val="00074451"/>
    <w:rsid w:val="000842AE"/>
    <w:rsid w:val="0008466F"/>
    <w:rsid w:val="000A0691"/>
    <w:rsid w:val="000A15F4"/>
    <w:rsid w:val="000A35B8"/>
    <w:rsid w:val="000A4394"/>
    <w:rsid w:val="000A634D"/>
    <w:rsid w:val="000A66B6"/>
    <w:rsid w:val="000C39DF"/>
    <w:rsid w:val="000C5CE3"/>
    <w:rsid w:val="000D1CDC"/>
    <w:rsid w:val="000E1040"/>
    <w:rsid w:val="000E2A6E"/>
    <w:rsid w:val="000E604D"/>
    <w:rsid w:val="001004D9"/>
    <w:rsid w:val="00100EC7"/>
    <w:rsid w:val="001104A4"/>
    <w:rsid w:val="0011094D"/>
    <w:rsid w:val="0011172C"/>
    <w:rsid w:val="00114A23"/>
    <w:rsid w:val="001204BC"/>
    <w:rsid w:val="0012577A"/>
    <w:rsid w:val="001270D9"/>
    <w:rsid w:val="001300B9"/>
    <w:rsid w:val="00151A7C"/>
    <w:rsid w:val="00153440"/>
    <w:rsid w:val="0016062E"/>
    <w:rsid w:val="00160FAF"/>
    <w:rsid w:val="00170973"/>
    <w:rsid w:val="0017167A"/>
    <w:rsid w:val="00173529"/>
    <w:rsid w:val="00175D74"/>
    <w:rsid w:val="00184CCD"/>
    <w:rsid w:val="00187A98"/>
    <w:rsid w:val="001922CF"/>
    <w:rsid w:val="001947FD"/>
    <w:rsid w:val="00195B00"/>
    <w:rsid w:val="001A5F0E"/>
    <w:rsid w:val="001A671F"/>
    <w:rsid w:val="001B3459"/>
    <w:rsid w:val="001D0C12"/>
    <w:rsid w:val="001D4728"/>
    <w:rsid w:val="001D76A5"/>
    <w:rsid w:val="001E0C3B"/>
    <w:rsid w:val="001E7F0C"/>
    <w:rsid w:val="001F68C4"/>
    <w:rsid w:val="00201859"/>
    <w:rsid w:val="002056E7"/>
    <w:rsid w:val="00211CA5"/>
    <w:rsid w:val="00221182"/>
    <w:rsid w:val="00222B94"/>
    <w:rsid w:val="00225E01"/>
    <w:rsid w:val="00226AF6"/>
    <w:rsid w:val="00230666"/>
    <w:rsid w:val="0023159A"/>
    <w:rsid w:val="002319F7"/>
    <w:rsid w:val="002340BD"/>
    <w:rsid w:val="0023722A"/>
    <w:rsid w:val="002433AE"/>
    <w:rsid w:val="00255C72"/>
    <w:rsid w:val="00260B53"/>
    <w:rsid w:val="002611A9"/>
    <w:rsid w:val="00262675"/>
    <w:rsid w:val="00274223"/>
    <w:rsid w:val="00280A01"/>
    <w:rsid w:val="00280C4B"/>
    <w:rsid w:val="002810E8"/>
    <w:rsid w:val="00286B00"/>
    <w:rsid w:val="002A032D"/>
    <w:rsid w:val="002A1168"/>
    <w:rsid w:val="002A48BC"/>
    <w:rsid w:val="002A72CF"/>
    <w:rsid w:val="002B416B"/>
    <w:rsid w:val="002B7E20"/>
    <w:rsid w:val="002C1223"/>
    <w:rsid w:val="002D53DE"/>
    <w:rsid w:val="002E6230"/>
    <w:rsid w:val="002F2418"/>
    <w:rsid w:val="002F41BD"/>
    <w:rsid w:val="0030571C"/>
    <w:rsid w:val="00311364"/>
    <w:rsid w:val="00315464"/>
    <w:rsid w:val="00332E4D"/>
    <w:rsid w:val="00334319"/>
    <w:rsid w:val="00342D27"/>
    <w:rsid w:val="00345695"/>
    <w:rsid w:val="00347861"/>
    <w:rsid w:val="00351CC5"/>
    <w:rsid w:val="003554E4"/>
    <w:rsid w:val="00361CFC"/>
    <w:rsid w:val="00376A9E"/>
    <w:rsid w:val="0038079E"/>
    <w:rsid w:val="003A2846"/>
    <w:rsid w:val="003A64DA"/>
    <w:rsid w:val="003B4787"/>
    <w:rsid w:val="003B752E"/>
    <w:rsid w:val="003C0E06"/>
    <w:rsid w:val="003D251C"/>
    <w:rsid w:val="003E1B0D"/>
    <w:rsid w:val="003E4D6C"/>
    <w:rsid w:val="003F3C38"/>
    <w:rsid w:val="00400270"/>
    <w:rsid w:val="00403A53"/>
    <w:rsid w:val="00405286"/>
    <w:rsid w:val="004113D8"/>
    <w:rsid w:val="004120D4"/>
    <w:rsid w:val="00414618"/>
    <w:rsid w:val="00414877"/>
    <w:rsid w:val="00415737"/>
    <w:rsid w:val="004229B1"/>
    <w:rsid w:val="00433549"/>
    <w:rsid w:val="00436992"/>
    <w:rsid w:val="004414BF"/>
    <w:rsid w:val="0045289C"/>
    <w:rsid w:val="00454607"/>
    <w:rsid w:val="00457972"/>
    <w:rsid w:val="00460CF7"/>
    <w:rsid w:val="00461775"/>
    <w:rsid w:val="00464AE9"/>
    <w:rsid w:val="0047680A"/>
    <w:rsid w:val="00480141"/>
    <w:rsid w:val="00483AC9"/>
    <w:rsid w:val="004844EB"/>
    <w:rsid w:val="00490D1F"/>
    <w:rsid w:val="0049112B"/>
    <w:rsid w:val="00492EDE"/>
    <w:rsid w:val="004A0997"/>
    <w:rsid w:val="004A1435"/>
    <w:rsid w:val="004A4462"/>
    <w:rsid w:val="004B02FD"/>
    <w:rsid w:val="004B5C94"/>
    <w:rsid w:val="004C0D5D"/>
    <w:rsid w:val="004D1C8E"/>
    <w:rsid w:val="004D5B75"/>
    <w:rsid w:val="004D6974"/>
    <w:rsid w:val="004E0D55"/>
    <w:rsid w:val="004F2E70"/>
    <w:rsid w:val="004F41F3"/>
    <w:rsid w:val="00501AA2"/>
    <w:rsid w:val="00505C06"/>
    <w:rsid w:val="00506578"/>
    <w:rsid w:val="005075E5"/>
    <w:rsid w:val="00507957"/>
    <w:rsid w:val="00511131"/>
    <w:rsid w:val="005162B8"/>
    <w:rsid w:val="00524724"/>
    <w:rsid w:val="00526272"/>
    <w:rsid w:val="005402ED"/>
    <w:rsid w:val="0054359F"/>
    <w:rsid w:val="005605AA"/>
    <w:rsid w:val="00563CBB"/>
    <w:rsid w:val="00567344"/>
    <w:rsid w:val="0056751E"/>
    <w:rsid w:val="0056767F"/>
    <w:rsid w:val="00570800"/>
    <w:rsid w:val="005724B8"/>
    <w:rsid w:val="00572F47"/>
    <w:rsid w:val="00586047"/>
    <w:rsid w:val="00590CD7"/>
    <w:rsid w:val="00594D88"/>
    <w:rsid w:val="005A37FB"/>
    <w:rsid w:val="005A5EC9"/>
    <w:rsid w:val="005B5DC5"/>
    <w:rsid w:val="005B6DB8"/>
    <w:rsid w:val="005C3123"/>
    <w:rsid w:val="005C6F5C"/>
    <w:rsid w:val="005D3323"/>
    <w:rsid w:val="005D6682"/>
    <w:rsid w:val="005E2436"/>
    <w:rsid w:val="005E742F"/>
    <w:rsid w:val="005F42E6"/>
    <w:rsid w:val="006036F5"/>
    <w:rsid w:val="00611845"/>
    <w:rsid w:val="00612605"/>
    <w:rsid w:val="00614198"/>
    <w:rsid w:val="00615E9E"/>
    <w:rsid w:val="0062372E"/>
    <w:rsid w:val="00632C66"/>
    <w:rsid w:val="00641271"/>
    <w:rsid w:val="0064231E"/>
    <w:rsid w:val="00653DCE"/>
    <w:rsid w:val="006547AE"/>
    <w:rsid w:val="00660176"/>
    <w:rsid w:val="006604A5"/>
    <w:rsid w:val="00660F91"/>
    <w:rsid w:val="00663ADB"/>
    <w:rsid w:val="00664F60"/>
    <w:rsid w:val="00683601"/>
    <w:rsid w:val="00686F8D"/>
    <w:rsid w:val="006930B8"/>
    <w:rsid w:val="00696F7F"/>
    <w:rsid w:val="006A2CD9"/>
    <w:rsid w:val="006C12F5"/>
    <w:rsid w:val="006C1F00"/>
    <w:rsid w:val="006C283C"/>
    <w:rsid w:val="006C4A7E"/>
    <w:rsid w:val="006E0A3A"/>
    <w:rsid w:val="006E40D4"/>
    <w:rsid w:val="006E4470"/>
    <w:rsid w:val="0070657C"/>
    <w:rsid w:val="00706E77"/>
    <w:rsid w:val="0071093C"/>
    <w:rsid w:val="00713AFC"/>
    <w:rsid w:val="007328BC"/>
    <w:rsid w:val="007331E9"/>
    <w:rsid w:val="007337E1"/>
    <w:rsid w:val="00741031"/>
    <w:rsid w:val="00750772"/>
    <w:rsid w:val="0075335D"/>
    <w:rsid w:val="0076154F"/>
    <w:rsid w:val="00762B39"/>
    <w:rsid w:val="0077134F"/>
    <w:rsid w:val="00771F9B"/>
    <w:rsid w:val="00777F55"/>
    <w:rsid w:val="007844E3"/>
    <w:rsid w:val="00784F07"/>
    <w:rsid w:val="00790936"/>
    <w:rsid w:val="007954FF"/>
    <w:rsid w:val="007A09DA"/>
    <w:rsid w:val="007A6582"/>
    <w:rsid w:val="007B3390"/>
    <w:rsid w:val="007C1189"/>
    <w:rsid w:val="007C413B"/>
    <w:rsid w:val="007C61D9"/>
    <w:rsid w:val="007D6ED2"/>
    <w:rsid w:val="007E1D71"/>
    <w:rsid w:val="007E6141"/>
    <w:rsid w:val="007F315E"/>
    <w:rsid w:val="007F78B7"/>
    <w:rsid w:val="00805E1C"/>
    <w:rsid w:val="0080673E"/>
    <w:rsid w:val="008209C6"/>
    <w:rsid w:val="00823669"/>
    <w:rsid w:val="0082480D"/>
    <w:rsid w:val="00831101"/>
    <w:rsid w:val="0083143F"/>
    <w:rsid w:val="00831CEC"/>
    <w:rsid w:val="00840562"/>
    <w:rsid w:val="008449FC"/>
    <w:rsid w:val="008515AE"/>
    <w:rsid w:val="008533E3"/>
    <w:rsid w:val="00855628"/>
    <w:rsid w:val="00861419"/>
    <w:rsid w:val="008859ED"/>
    <w:rsid w:val="008916A5"/>
    <w:rsid w:val="00894C95"/>
    <w:rsid w:val="008A7B11"/>
    <w:rsid w:val="008B170B"/>
    <w:rsid w:val="008B3242"/>
    <w:rsid w:val="008C2743"/>
    <w:rsid w:val="008D2678"/>
    <w:rsid w:val="008D39C8"/>
    <w:rsid w:val="008E1484"/>
    <w:rsid w:val="008E6F21"/>
    <w:rsid w:val="008F0100"/>
    <w:rsid w:val="008F4517"/>
    <w:rsid w:val="00903E38"/>
    <w:rsid w:val="00905F19"/>
    <w:rsid w:val="0090748C"/>
    <w:rsid w:val="009153FD"/>
    <w:rsid w:val="00922BB0"/>
    <w:rsid w:val="009329DB"/>
    <w:rsid w:val="009413E8"/>
    <w:rsid w:val="00944293"/>
    <w:rsid w:val="0095019E"/>
    <w:rsid w:val="00954A57"/>
    <w:rsid w:val="0096093C"/>
    <w:rsid w:val="009654BD"/>
    <w:rsid w:val="00965B39"/>
    <w:rsid w:val="0097082F"/>
    <w:rsid w:val="00970CA4"/>
    <w:rsid w:val="00974888"/>
    <w:rsid w:val="00974DC7"/>
    <w:rsid w:val="00975534"/>
    <w:rsid w:val="00977923"/>
    <w:rsid w:val="00977FEA"/>
    <w:rsid w:val="009819DB"/>
    <w:rsid w:val="0098271F"/>
    <w:rsid w:val="0098422B"/>
    <w:rsid w:val="0098632B"/>
    <w:rsid w:val="00987D9C"/>
    <w:rsid w:val="00990050"/>
    <w:rsid w:val="00992380"/>
    <w:rsid w:val="00993594"/>
    <w:rsid w:val="009956C5"/>
    <w:rsid w:val="009A0066"/>
    <w:rsid w:val="009A31AF"/>
    <w:rsid w:val="009A60FE"/>
    <w:rsid w:val="009B18D8"/>
    <w:rsid w:val="009B213C"/>
    <w:rsid w:val="009B6425"/>
    <w:rsid w:val="009C59D9"/>
    <w:rsid w:val="009D43D9"/>
    <w:rsid w:val="009D4D7C"/>
    <w:rsid w:val="009D68DA"/>
    <w:rsid w:val="009E4116"/>
    <w:rsid w:val="009E7FE9"/>
    <w:rsid w:val="009F5025"/>
    <w:rsid w:val="009F5598"/>
    <w:rsid w:val="00A01791"/>
    <w:rsid w:val="00A01B93"/>
    <w:rsid w:val="00A058F5"/>
    <w:rsid w:val="00A15214"/>
    <w:rsid w:val="00A223BF"/>
    <w:rsid w:val="00A25584"/>
    <w:rsid w:val="00A340A5"/>
    <w:rsid w:val="00A353C1"/>
    <w:rsid w:val="00A41A64"/>
    <w:rsid w:val="00A43BEA"/>
    <w:rsid w:val="00A47B99"/>
    <w:rsid w:val="00A53A6F"/>
    <w:rsid w:val="00A55C59"/>
    <w:rsid w:val="00A55E09"/>
    <w:rsid w:val="00A64A65"/>
    <w:rsid w:val="00A671A1"/>
    <w:rsid w:val="00A73147"/>
    <w:rsid w:val="00A74F5E"/>
    <w:rsid w:val="00A80E53"/>
    <w:rsid w:val="00A82556"/>
    <w:rsid w:val="00A85105"/>
    <w:rsid w:val="00A85523"/>
    <w:rsid w:val="00A94BFE"/>
    <w:rsid w:val="00AA153B"/>
    <w:rsid w:val="00AA78A6"/>
    <w:rsid w:val="00AB2801"/>
    <w:rsid w:val="00AB2A8A"/>
    <w:rsid w:val="00AB2ED6"/>
    <w:rsid w:val="00AB7431"/>
    <w:rsid w:val="00AD0767"/>
    <w:rsid w:val="00AD1525"/>
    <w:rsid w:val="00AD308A"/>
    <w:rsid w:val="00AE242F"/>
    <w:rsid w:val="00AE476C"/>
    <w:rsid w:val="00AE6D0A"/>
    <w:rsid w:val="00AE794B"/>
    <w:rsid w:val="00AE7DCC"/>
    <w:rsid w:val="00AF49E8"/>
    <w:rsid w:val="00AF5F1B"/>
    <w:rsid w:val="00B149EF"/>
    <w:rsid w:val="00B153BF"/>
    <w:rsid w:val="00B15CF5"/>
    <w:rsid w:val="00B17151"/>
    <w:rsid w:val="00B23F0B"/>
    <w:rsid w:val="00B40032"/>
    <w:rsid w:val="00B4089E"/>
    <w:rsid w:val="00B50FF1"/>
    <w:rsid w:val="00B57EAB"/>
    <w:rsid w:val="00B657A3"/>
    <w:rsid w:val="00B67CCE"/>
    <w:rsid w:val="00B76B7D"/>
    <w:rsid w:val="00B93F03"/>
    <w:rsid w:val="00B95AC1"/>
    <w:rsid w:val="00B97C1D"/>
    <w:rsid w:val="00BA3116"/>
    <w:rsid w:val="00BA5D06"/>
    <w:rsid w:val="00BA66D8"/>
    <w:rsid w:val="00BB1E63"/>
    <w:rsid w:val="00BD3002"/>
    <w:rsid w:val="00BF4EDE"/>
    <w:rsid w:val="00BF520C"/>
    <w:rsid w:val="00BF5C23"/>
    <w:rsid w:val="00C12836"/>
    <w:rsid w:val="00C17534"/>
    <w:rsid w:val="00C21C40"/>
    <w:rsid w:val="00C26461"/>
    <w:rsid w:val="00C31D22"/>
    <w:rsid w:val="00C4485D"/>
    <w:rsid w:val="00C45314"/>
    <w:rsid w:val="00C57A32"/>
    <w:rsid w:val="00C74055"/>
    <w:rsid w:val="00C7719B"/>
    <w:rsid w:val="00C82637"/>
    <w:rsid w:val="00C83119"/>
    <w:rsid w:val="00C83AFB"/>
    <w:rsid w:val="00C84724"/>
    <w:rsid w:val="00C9014F"/>
    <w:rsid w:val="00CA31B5"/>
    <w:rsid w:val="00CB6516"/>
    <w:rsid w:val="00CC21C7"/>
    <w:rsid w:val="00CC5447"/>
    <w:rsid w:val="00CD02AF"/>
    <w:rsid w:val="00CD74EA"/>
    <w:rsid w:val="00CD7620"/>
    <w:rsid w:val="00CD7AB9"/>
    <w:rsid w:val="00CE3E57"/>
    <w:rsid w:val="00CE4C5A"/>
    <w:rsid w:val="00CE567B"/>
    <w:rsid w:val="00CE72DF"/>
    <w:rsid w:val="00CF3AFB"/>
    <w:rsid w:val="00CF797C"/>
    <w:rsid w:val="00D1120F"/>
    <w:rsid w:val="00D20486"/>
    <w:rsid w:val="00D2414D"/>
    <w:rsid w:val="00D266ED"/>
    <w:rsid w:val="00D3281D"/>
    <w:rsid w:val="00D40F4A"/>
    <w:rsid w:val="00D423CF"/>
    <w:rsid w:val="00D42B30"/>
    <w:rsid w:val="00D43772"/>
    <w:rsid w:val="00D50F04"/>
    <w:rsid w:val="00D51C84"/>
    <w:rsid w:val="00D54A9B"/>
    <w:rsid w:val="00D704BC"/>
    <w:rsid w:val="00D7519A"/>
    <w:rsid w:val="00D75E3D"/>
    <w:rsid w:val="00D773A3"/>
    <w:rsid w:val="00D803DA"/>
    <w:rsid w:val="00D8167E"/>
    <w:rsid w:val="00D825A5"/>
    <w:rsid w:val="00D9066E"/>
    <w:rsid w:val="00D90C06"/>
    <w:rsid w:val="00D94F60"/>
    <w:rsid w:val="00DA0551"/>
    <w:rsid w:val="00DB257B"/>
    <w:rsid w:val="00DB385F"/>
    <w:rsid w:val="00DB388D"/>
    <w:rsid w:val="00DB3F8C"/>
    <w:rsid w:val="00DB509F"/>
    <w:rsid w:val="00DB541E"/>
    <w:rsid w:val="00DC2AE5"/>
    <w:rsid w:val="00DC51C8"/>
    <w:rsid w:val="00DC5258"/>
    <w:rsid w:val="00DC64C5"/>
    <w:rsid w:val="00DD23A9"/>
    <w:rsid w:val="00DD78BF"/>
    <w:rsid w:val="00DE6210"/>
    <w:rsid w:val="00DF5BD4"/>
    <w:rsid w:val="00E018A8"/>
    <w:rsid w:val="00E033C9"/>
    <w:rsid w:val="00E04406"/>
    <w:rsid w:val="00E0773E"/>
    <w:rsid w:val="00E21E25"/>
    <w:rsid w:val="00E223FB"/>
    <w:rsid w:val="00E251EF"/>
    <w:rsid w:val="00E31F20"/>
    <w:rsid w:val="00E3322B"/>
    <w:rsid w:val="00E34F72"/>
    <w:rsid w:val="00E35115"/>
    <w:rsid w:val="00E370F8"/>
    <w:rsid w:val="00E41F44"/>
    <w:rsid w:val="00E466C4"/>
    <w:rsid w:val="00E61D3F"/>
    <w:rsid w:val="00E64A84"/>
    <w:rsid w:val="00E9062A"/>
    <w:rsid w:val="00E93B47"/>
    <w:rsid w:val="00E9518C"/>
    <w:rsid w:val="00EA22D1"/>
    <w:rsid w:val="00EB044D"/>
    <w:rsid w:val="00EB218A"/>
    <w:rsid w:val="00EB34C4"/>
    <w:rsid w:val="00EB4315"/>
    <w:rsid w:val="00EB567F"/>
    <w:rsid w:val="00ED55E1"/>
    <w:rsid w:val="00EE1929"/>
    <w:rsid w:val="00EE3C46"/>
    <w:rsid w:val="00EF0370"/>
    <w:rsid w:val="00EF044B"/>
    <w:rsid w:val="00EF1266"/>
    <w:rsid w:val="00EF351A"/>
    <w:rsid w:val="00F03CD1"/>
    <w:rsid w:val="00F07A4B"/>
    <w:rsid w:val="00F10599"/>
    <w:rsid w:val="00F115BA"/>
    <w:rsid w:val="00F15C6B"/>
    <w:rsid w:val="00F16787"/>
    <w:rsid w:val="00F413DB"/>
    <w:rsid w:val="00F54D9F"/>
    <w:rsid w:val="00F56947"/>
    <w:rsid w:val="00F613EB"/>
    <w:rsid w:val="00F627BB"/>
    <w:rsid w:val="00F651BD"/>
    <w:rsid w:val="00F70D44"/>
    <w:rsid w:val="00F70ECE"/>
    <w:rsid w:val="00F770D9"/>
    <w:rsid w:val="00F83261"/>
    <w:rsid w:val="00F8371B"/>
    <w:rsid w:val="00F84112"/>
    <w:rsid w:val="00F87110"/>
    <w:rsid w:val="00F943E6"/>
    <w:rsid w:val="00F94491"/>
    <w:rsid w:val="00FA1B39"/>
    <w:rsid w:val="00FA3399"/>
    <w:rsid w:val="00FB0E14"/>
    <w:rsid w:val="00FB319C"/>
    <w:rsid w:val="00FC1DED"/>
    <w:rsid w:val="00FC22F5"/>
    <w:rsid w:val="00FC6073"/>
    <w:rsid w:val="00FD4E4F"/>
    <w:rsid w:val="00FD6F09"/>
    <w:rsid w:val="00FE1005"/>
    <w:rsid w:val="00FF11BC"/>
    <w:rsid w:val="00FF1C85"/>
    <w:rsid w:val="00FF2592"/>
    <w:rsid w:val="00FF4645"/>
    <w:rsid w:val="00FF5F96"/>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David"/>
        <w:lang w:val="en-US" w:eastAsia="en-US"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
    <w:name w:val="Normal"/>
    <w:qFormat/>
    <w:rsid w:val="00CB6516"/>
    <w:pPr>
      <w:spacing w:after="200" w:line="276" w:lineRule="auto"/>
      <w:jc w:val="both"/>
    </w:pPr>
    <w:rPr>
      <w:sz w:val="24"/>
      <w:szCs w:val="24"/>
    </w:rPr>
  </w:style>
  <w:style w:type="paragraph" w:styleId="1">
    <w:name w:val="heading 1"/>
    <w:basedOn w:val="a"/>
    <w:next w:val="a"/>
    <w:link w:val="10"/>
    <w:uiPriority w:val="9"/>
    <w:qFormat/>
    <w:rsid w:val="00CB6516"/>
    <w:pPr>
      <w:keepNext/>
      <w:spacing w:before="240" w:after="60"/>
      <w:outlineLvl w:val="0"/>
    </w:pPr>
    <w:rPr>
      <w:rFonts w:eastAsia="Times New Roman"/>
      <w:b/>
      <w:bCs/>
      <w:kern w:val="32"/>
      <w:sz w:val="28"/>
      <w:szCs w:val="32"/>
    </w:rPr>
  </w:style>
  <w:style w:type="paragraph" w:styleId="2">
    <w:name w:val="heading 2"/>
    <w:basedOn w:val="a"/>
    <w:next w:val="a"/>
    <w:link w:val="20"/>
    <w:uiPriority w:val="9"/>
    <w:semiHidden/>
    <w:unhideWhenUsed/>
    <w:qFormat/>
    <w:rsid w:val="00CB6516"/>
    <w:pPr>
      <w:keepNext/>
      <w:spacing w:before="240" w:after="60"/>
      <w:outlineLvl w:val="1"/>
    </w:pPr>
    <w:rPr>
      <w:rFonts w:eastAsia="Times New Roman"/>
      <w:b/>
      <w:bCs/>
      <w:iCs/>
      <w:szCs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95AC1"/>
    <w:pPr>
      <w:tabs>
        <w:tab w:val="center" w:pos="4320"/>
        <w:tab w:val="right" w:pos="8640"/>
      </w:tabs>
    </w:pPr>
  </w:style>
  <w:style w:type="character" w:customStyle="1" w:styleId="a4">
    <w:name w:val="כותרת עליונה תו"/>
    <w:link w:val="a3"/>
    <w:uiPriority w:val="99"/>
    <w:rsid w:val="00B95AC1"/>
    <w:rPr>
      <w:sz w:val="22"/>
      <w:szCs w:val="22"/>
    </w:rPr>
  </w:style>
  <w:style w:type="paragraph" w:styleId="a5">
    <w:name w:val="footer"/>
    <w:basedOn w:val="a"/>
    <w:link w:val="a6"/>
    <w:uiPriority w:val="99"/>
    <w:unhideWhenUsed/>
    <w:rsid w:val="00B95AC1"/>
    <w:pPr>
      <w:tabs>
        <w:tab w:val="center" w:pos="4320"/>
        <w:tab w:val="right" w:pos="8640"/>
      </w:tabs>
    </w:pPr>
  </w:style>
  <w:style w:type="character" w:customStyle="1" w:styleId="a6">
    <w:name w:val="כותרת תחתונה תו"/>
    <w:link w:val="a5"/>
    <w:uiPriority w:val="99"/>
    <w:rsid w:val="00B95AC1"/>
    <w:rPr>
      <w:sz w:val="22"/>
      <w:szCs w:val="22"/>
    </w:rPr>
  </w:style>
  <w:style w:type="paragraph" w:styleId="a7">
    <w:name w:val="Balloon Text"/>
    <w:basedOn w:val="a"/>
    <w:link w:val="a8"/>
    <w:uiPriority w:val="99"/>
    <w:semiHidden/>
    <w:unhideWhenUsed/>
    <w:rsid w:val="00AA153B"/>
    <w:pPr>
      <w:spacing w:after="0" w:line="240" w:lineRule="auto"/>
    </w:pPr>
    <w:rPr>
      <w:rFonts w:ascii="Tahoma" w:hAnsi="Tahoma" w:cs="Tahoma"/>
      <w:sz w:val="16"/>
      <w:szCs w:val="16"/>
    </w:rPr>
  </w:style>
  <w:style w:type="character" w:customStyle="1" w:styleId="a8">
    <w:name w:val="טקסט בלונים תו"/>
    <w:link w:val="a7"/>
    <w:uiPriority w:val="99"/>
    <w:semiHidden/>
    <w:rsid w:val="00AA153B"/>
    <w:rPr>
      <w:rFonts w:ascii="Tahoma" w:hAnsi="Tahoma" w:cs="Tahoma"/>
      <w:sz w:val="16"/>
      <w:szCs w:val="16"/>
    </w:rPr>
  </w:style>
  <w:style w:type="character" w:customStyle="1" w:styleId="10">
    <w:name w:val="כותרת 1 תו"/>
    <w:link w:val="1"/>
    <w:uiPriority w:val="9"/>
    <w:rsid w:val="00CB6516"/>
    <w:rPr>
      <w:rFonts w:eastAsia="Times New Roman"/>
      <w:b/>
      <w:bCs/>
      <w:kern w:val="32"/>
      <w:sz w:val="28"/>
      <w:szCs w:val="32"/>
    </w:rPr>
  </w:style>
  <w:style w:type="paragraph" w:styleId="a9">
    <w:name w:val="Title"/>
    <w:basedOn w:val="a"/>
    <w:next w:val="a"/>
    <w:link w:val="aa"/>
    <w:uiPriority w:val="10"/>
    <w:qFormat/>
    <w:rsid w:val="00CB6516"/>
    <w:pPr>
      <w:spacing w:before="240" w:after="60"/>
      <w:jc w:val="center"/>
      <w:outlineLvl w:val="0"/>
    </w:pPr>
    <w:rPr>
      <w:rFonts w:eastAsia="Times New Roman"/>
      <w:b/>
      <w:bCs/>
      <w:kern w:val="28"/>
      <w:sz w:val="32"/>
      <w:szCs w:val="32"/>
      <w:u w:val="single"/>
    </w:rPr>
  </w:style>
  <w:style w:type="character" w:customStyle="1" w:styleId="aa">
    <w:name w:val="כותרת טקסט תו"/>
    <w:link w:val="a9"/>
    <w:uiPriority w:val="10"/>
    <w:rsid w:val="00CB6516"/>
    <w:rPr>
      <w:rFonts w:eastAsia="Times New Roman"/>
      <w:b/>
      <w:bCs/>
      <w:kern w:val="28"/>
      <w:sz w:val="32"/>
      <w:szCs w:val="32"/>
      <w:u w:val="single"/>
    </w:rPr>
  </w:style>
  <w:style w:type="character" w:customStyle="1" w:styleId="20">
    <w:name w:val="כותרת 2 תו"/>
    <w:link w:val="2"/>
    <w:uiPriority w:val="9"/>
    <w:semiHidden/>
    <w:rsid w:val="00CB6516"/>
    <w:rPr>
      <w:rFonts w:eastAsia="Times New Roman"/>
      <w:b/>
      <w:bCs/>
      <w:iCs/>
      <w:sz w:val="24"/>
      <w:szCs w:val="28"/>
    </w:rPr>
  </w:style>
  <w:style w:type="paragraph" w:customStyle="1" w:styleId="Hebrew-Normal">
    <w:name w:val="Hebrew - Normal"/>
    <w:basedOn w:val="a"/>
    <w:link w:val="Hebrew-NormalChar"/>
    <w:rsid w:val="00696F7F"/>
  </w:style>
  <w:style w:type="character" w:customStyle="1" w:styleId="Hebrew-NormalChar">
    <w:name w:val="Hebrew - Normal Char"/>
    <w:link w:val="Hebrew-Normal"/>
    <w:rsid w:val="00696F7F"/>
    <w:rPr>
      <w:rFonts w:ascii="Times New Roman" w:hAnsi="Times New Roman" w:cs="David"/>
      <w:sz w:val="24"/>
      <w:szCs w:val="24"/>
    </w:rPr>
  </w:style>
  <w:style w:type="character" w:styleId="ab">
    <w:name w:val="Book Title"/>
    <w:uiPriority w:val="33"/>
    <w:rsid w:val="00A41A64"/>
    <w:rPr>
      <w:b/>
      <w:bCs/>
      <w:smallCaps/>
      <w:spacing w:val="5"/>
    </w:rPr>
  </w:style>
  <w:style w:type="paragraph" w:styleId="ac">
    <w:name w:val="Subtitle"/>
    <w:basedOn w:val="a"/>
    <w:next w:val="a"/>
    <w:link w:val="ad"/>
    <w:uiPriority w:val="11"/>
    <w:qFormat/>
    <w:rsid w:val="00CB6516"/>
    <w:pPr>
      <w:spacing w:after="60"/>
      <w:jc w:val="center"/>
      <w:outlineLvl w:val="1"/>
    </w:pPr>
    <w:rPr>
      <w:rFonts w:eastAsia="Times New Roman"/>
      <w:bCs/>
      <w:sz w:val="32"/>
    </w:rPr>
  </w:style>
  <w:style w:type="character" w:customStyle="1" w:styleId="ad">
    <w:name w:val="כותרת משנה תו"/>
    <w:link w:val="ac"/>
    <w:uiPriority w:val="11"/>
    <w:rsid w:val="00CB6516"/>
    <w:rPr>
      <w:rFonts w:eastAsia="Times New Roman"/>
      <w:bCs/>
      <w:sz w:val="32"/>
      <w:szCs w:val="24"/>
    </w:rPr>
  </w:style>
  <w:style w:type="numbering" w:customStyle="1" w:styleId="DepartmentStandard">
    <w:name w:val="Department Standard"/>
    <w:uiPriority w:val="99"/>
    <w:rsid w:val="000A35B8"/>
    <w:pPr>
      <w:numPr>
        <w:numId w:val="2"/>
      </w:numPr>
    </w:pPr>
  </w:style>
  <w:style w:type="numbering" w:customStyle="1" w:styleId="DepartmentStandardHebrew">
    <w:name w:val="Department Standard Hebrew"/>
    <w:uiPriority w:val="99"/>
    <w:rsid w:val="000A35B8"/>
    <w:pPr>
      <w:numPr>
        <w:numId w:val="4"/>
      </w:numPr>
    </w:pPr>
  </w:style>
  <w:style w:type="paragraph" w:customStyle="1" w:styleId="BulletedList">
    <w:name w:val="Bulleted List"/>
    <w:basedOn w:val="a"/>
    <w:qFormat/>
    <w:rsid w:val="00CB6516"/>
    <w:pPr>
      <w:numPr>
        <w:numId w:val="7"/>
      </w:numPr>
      <w:bidi/>
      <w:spacing w:after="0"/>
    </w:pPr>
  </w:style>
  <w:style w:type="paragraph" w:styleId="ae">
    <w:name w:val="No Spacing"/>
    <w:uiPriority w:val="1"/>
    <w:qFormat/>
    <w:rsid w:val="00CB6516"/>
    <w:pPr>
      <w:jc w:val="both"/>
    </w:pPr>
    <w:rPr>
      <w:sz w:val="24"/>
      <w:szCs w:val="24"/>
    </w:rPr>
  </w:style>
  <w:style w:type="paragraph" w:styleId="af">
    <w:name w:val="List Paragraph"/>
    <w:basedOn w:val="a"/>
    <w:uiPriority w:val="34"/>
    <w:qFormat/>
    <w:rsid w:val="00AD0767"/>
    <w:pPr>
      <w:ind w:left="720"/>
      <w:contextualSpacing/>
    </w:pPr>
  </w:style>
  <w:style w:type="paragraph" w:styleId="af0">
    <w:name w:val="footnote text"/>
    <w:basedOn w:val="a"/>
    <w:link w:val="af1"/>
    <w:uiPriority w:val="99"/>
    <w:unhideWhenUsed/>
    <w:rsid w:val="000434E0"/>
    <w:pPr>
      <w:spacing w:after="0" w:line="240" w:lineRule="auto"/>
    </w:pPr>
    <w:rPr>
      <w:sz w:val="20"/>
      <w:szCs w:val="20"/>
    </w:rPr>
  </w:style>
  <w:style w:type="character" w:customStyle="1" w:styleId="af1">
    <w:name w:val="טקסט הערת שוליים תו"/>
    <w:basedOn w:val="a0"/>
    <w:link w:val="af0"/>
    <w:uiPriority w:val="99"/>
    <w:rsid w:val="000434E0"/>
  </w:style>
  <w:style w:type="character" w:styleId="af2">
    <w:name w:val="footnote reference"/>
    <w:basedOn w:val="a0"/>
    <w:uiPriority w:val="99"/>
    <w:unhideWhenUsed/>
    <w:rsid w:val="000434E0"/>
    <w:rPr>
      <w:vertAlign w:val="superscript"/>
    </w:rPr>
  </w:style>
  <w:style w:type="character" w:styleId="Hyperlink">
    <w:name w:val="Hyperlink"/>
    <w:uiPriority w:val="99"/>
    <w:unhideWhenUsed/>
    <w:rsid w:val="00E64A84"/>
    <w:rPr>
      <w:color w:val="0000FF"/>
      <w:u w:val="single"/>
    </w:rPr>
  </w:style>
  <w:style w:type="character" w:styleId="af3">
    <w:name w:val="annotation reference"/>
    <w:basedOn w:val="a0"/>
    <w:uiPriority w:val="99"/>
    <w:semiHidden/>
    <w:unhideWhenUsed/>
    <w:rsid w:val="00D7519A"/>
    <w:rPr>
      <w:sz w:val="16"/>
      <w:szCs w:val="16"/>
    </w:rPr>
  </w:style>
  <w:style w:type="paragraph" w:styleId="af4">
    <w:name w:val="annotation text"/>
    <w:basedOn w:val="a"/>
    <w:link w:val="af5"/>
    <w:uiPriority w:val="99"/>
    <w:semiHidden/>
    <w:unhideWhenUsed/>
    <w:rsid w:val="00D7519A"/>
    <w:pPr>
      <w:bidi/>
      <w:spacing w:line="240" w:lineRule="auto"/>
      <w:jc w:val="left"/>
    </w:pPr>
    <w:rPr>
      <w:rFonts w:eastAsiaTheme="minorHAnsi"/>
      <w:sz w:val="20"/>
      <w:szCs w:val="20"/>
    </w:rPr>
  </w:style>
  <w:style w:type="character" w:customStyle="1" w:styleId="af5">
    <w:name w:val="טקסט הערה תו"/>
    <w:basedOn w:val="a0"/>
    <w:link w:val="af4"/>
    <w:uiPriority w:val="99"/>
    <w:semiHidden/>
    <w:rsid w:val="00D7519A"/>
    <w:rPr>
      <w:rFonts w:eastAsiaTheme="minorHAnsi"/>
    </w:rPr>
  </w:style>
  <w:style w:type="character" w:customStyle="1" w:styleId="apple-style-span">
    <w:name w:val="apple-style-span"/>
    <w:rsid w:val="00195B00"/>
  </w:style>
  <w:style w:type="character" w:customStyle="1" w:styleId="af6">
    <w:name w:val="כללי תו"/>
    <w:basedOn w:val="a0"/>
    <w:link w:val="af7"/>
    <w:locked/>
    <w:rsid w:val="00195B00"/>
    <w:rPr>
      <w:rFonts w:cs="FrankRuehl"/>
      <w:lang w:eastAsia="he-IL"/>
    </w:rPr>
  </w:style>
  <w:style w:type="paragraph" w:customStyle="1" w:styleId="af7">
    <w:name w:val="כללי"/>
    <w:basedOn w:val="a"/>
    <w:link w:val="af6"/>
    <w:rsid w:val="00195B00"/>
    <w:pPr>
      <w:overflowPunct w:val="0"/>
      <w:autoSpaceDE w:val="0"/>
      <w:autoSpaceDN w:val="0"/>
      <w:bidi/>
      <w:spacing w:after="240" w:line="278" w:lineRule="exact"/>
      <w:ind w:left="113" w:firstLine="284"/>
    </w:pPr>
    <w:rPr>
      <w:rFonts w:cs="FrankRuehl"/>
      <w:sz w:val="20"/>
      <w:szCs w:val="20"/>
      <w:lang w:eastAsia="he-IL"/>
    </w:rPr>
  </w:style>
  <w:style w:type="character" w:customStyle="1" w:styleId="apple-converted-space">
    <w:name w:val="apple-converted-space"/>
    <w:rsid w:val="00464AE9"/>
  </w:style>
  <w:style w:type="paragraph" w:styleId="af8">
    <w:name w:val="Quote"/>
    <w:basedOn w:val="a"/>
    <w:link w:val="af9"/>
    <w:qFormat/>
    <w:rsid w:val="00B93F03"/>
    <w:pPr>
      <w:overflowPunct w:val="0"/>
      <w:autoSpaceDE w:val="0"/>
      <w:autoSpaceDN w:val="0"/>
      <w:bidi/>
      <w:adjustRightInd w:val="0"/>
      <w:spacing w:after="250" w:line="286" w:lineRule="exact"/>
      <w:ind w:left="454" w:right="454"/>
      <w:textAlignment w:val="baseline"/>
    </w:pPr>
    <w:rPr>
      <w:rFonts w:eastAsia="Times New Roman" w:cs="FrankRuehl"/>
      <w:sz w:val="20"/>
      <w:lang w:eastAsia="he-IL"/>
    </w:rPr>
  </w:style>
  <w:style w:type="character" w:customStyle="1" w:styleId="af9">
    <w:name w:val="ציטוט תו"/>
    <w:basedOn w:val="a0"/>
    <w:link w:val="af8"/>
    <w:rsid w:val="00B93F03"/>
    <w:rPr>
      <w:rFonts w:eastAsia="Times New Roman" w:cs="FrankRuehl"/>
      <w:szCs w:val="24"/>
      <w:lang w:eastAsia="he-IL"/>
    </w:rPr>
  </w:style>
  <w:style w:type="paragraph" w:styleId="afa">
    <w:name w:val="annotation subject"/>
    <w:basedOn w:val="af4"/>
    <w:next w:val="af4"/>
    <w:link w:val="afb"/>
    <w:uiPriority w:val="99"/>
    <w:semiHidden/>
    <w:unhideWhenUsed/>
    <w:rsid w:val="004A0997"/>
    <w:pPr>
      <w:bidi w:val="0"/>
      <w:jc w:val="both"/>
    </w:pPr>
    <w:rPr>
      <w:rFonts w:eastAsia="Calibri"/>
      <w:b/>
      <w:bCs/>
    </w:rPr>
  </w:style>
  <w:style w:type="character" w:customStyle="1" w:styleId="afb">
    <w:name w:val="נושא הערה תו"/>
    <w:basedOn w:val="af5"/>
    <w:link w:val="afa"/>
    <w:uiPriority w:val="99"/>
    <w:semiHidden/>
    <w:rsid w:val="004A0997"/>
    <w:rPr>
      <w:rFonts w:eastAsiaTheme="minorHAnsi"/>
      <w:b/>
      <w:bCs/>
    </w:rPr>
  </w:style>
  <w:style w:type="paragraph" w:customStyle="1" w:styleId="ruller4">
    <w:name w:val="ruller4"/>
    <w:basedOn w:val="a"/>
    <w:rsid w:val="00DB509F"/>
    <w:pPr>
      <w:spacing w:before="100" w:beforeAutospacing="1" w:after="100" w:afterAutospacing="1" w:line="240" w:lineRule="auto"/>
      <w:jc w:val="left"/>
    </w:pPr>
    <w:rPr>
      <w:rFonts w:eastAsia="Times New Roman" w:cs="Times New Roman"/>
    </w:rPr>
  </w:style>
  <w:style w:type="paragraph" w:customStyle="1" w:styleId="ruller5">
    <w:name w:val="ruller5"/>
    <w:basedOn w:val="a"/>
    <w:rsid w:val="00DB509F"/>
    <w:pPr>
      <w:spacing w:before="100" w:beforeAutospacing="1" w:after="100" w:afterAutospacing="1" w:line="240" w:lineRule="auto"/>
      <w:jc w:val="left"/>
    </w:pPr>
    <w:rPr>
      <w:rFonts w:eastAsia="Times New Roman" w:cs="Times New Roman"/>
    </w:rPr>
  </w:style>
  <w:style w:type="paragraph" w:styleId="afc">
    <w:name w:val="Plain Text"/>
    <w:basedOn w:val="a"/>
    <w:link w:val="afd"/>
    <w:uiPriority w:val="99"/>
    <w:unhideWhenUsed/>
    <w:rsid w:val="00BB1E63"/>
    <w:pPr>
      <w:bidi/>
      <w:spacing w:after="0" w:line="240" w:lineRule="auto"/>
      <w:jc w:val="left"/>
    </w:pPr>
    <w:rPr>
      <w:rFonts w:ascii="Calibri" w:eastAsiaTheme="minorHAnsi" w:hAnsi="Calibri" w:cs="Consolas"/>
      <w:sz w:val="22"/>
      <w:szCs w:val="21"/>
    </w:rPr>
  </w:style>
  <w:style w:type="character" w:customStyle="1" w:styleId="afd">
    <w:name w:val="טקסט רגיל תו"/>
    <w:basedOn w:val="a0"/>
    <w:link w:val="afc"/>
    <w:uiPriority w:val="99"/>
    <w:rsid w:val="00BB1E63"/>
    <w:rPr>
      <w:rFonts w:ascii="Calibri" w:eastAsiaTheme="minorHAnsi" w:hAnsi="Calibri" w:cs="Consolas"/>
      <w:sz w:val="22"/>
      <w:szCs w:val="21"/>
    </w:rPr>
  </w:style>
  <w:style w:type="character" w:customStyle="1" w:styleId="Ruller40">
    <w:name w:val="Ruller4 תו"/>
    <w:link w:val="Ruller41"/>
    <w:locked/>
    <w:rsid w:val="00B17151"/>
    <w:rPr>
      <w:rFonts w:ascii="Arial TUR" w:hAnsi="Arial TUR" w:cs="FrankRuehl"/>
      <w:spacing w:val="10"/>
      <w:sz w:val="22"/>
      <w:szCs w:val="28"/>
    </w:rPr>
  </w:style>
  <w:style w:type="paragraph" w:customStyle="1" w:styleId="Ruller41">
    <w:name w:val="Ruller4"/>
    <w:basedOn w:val="a"/>
    <w:link w:val="Ruller40"/>
    <w:rsid w:val="00B17151"/>
    <w:pPr>
      <w:tabs>
        <w:tab w:val="left" w:pos="800"/>
      </w:tabs>
      <w:overflowPunct w:val="0"/>
      <w:autoSpaceDE w:val="0"/>
      <w:autoSpaceDN w:val="0"/>
      <w:bidi/>
      <w:adjustRightInd w:val="0"/>
      <w:spacing w:after="0" w:line="360" w:lineRule="auto"/>
    </w:pPr>
    <w:rPr>
      <w:rFonts w:ascii="Arial TUR" w:hAnsi="Arial TUR" w:cs="FrankRuehl"/>
      <w:spacing w:val="10"/>
      <w:sz w:val="22"/>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David"/>
        <w:lang w:val="en-US" w:eastAsia="en-US"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
    <w:name w:val="Normal"/>
    <w:qFormat/>
    <w:rsid w:val="00CB6516"/>
    <w:pPr>
      <w:spacing w:after="200" w:line="276" w:lineRule="auto"/>
      <w:jc w:val="both"/>
    </w:pPr>
    <w:rPr>
      <w:sz w:val="24"/>
      <w:szCs w:val="24"/>
    </w:rPr>
  </w:style>
  <w:style w:type="paragraph" w:styleId="1">
    <w:name w:val="heading 1"/>
    <w:basedOn w:val="a"/>
    <w:next w:val="a"/>
    <w:link w:val="10"/>
    <w:uiPriority w:val="9"/>
    <w:qFormat/>
    <w:rsid w:val="00CB6516"/>
    <w:pPr>
      <w:keepNext/>
      <w:spacing w:before="240" w:after="60"/>
      <w:outlineLvl w:val="0"/>
    </w:pPr>
    <w:rPr>
      <w:rFonts w:eastAsia="Times New Roman"/>
      <w:b/>
      <w:bCs/>
      <w:kern w:val="32"/>
      <w:sz w:val="28"/>
      <w:szCs w:val="32"/>
    </w:rPr>
  </w:style>
  <w:style w:type="paragraph" w:styleId="2">
    <w:name w:val="heading 2"/>
    <w:basedOn w:val="a"/>
    <w:next w:val="a"/>
    <w:link w:val="20"/>
    <w:uiPriority w:val="9"/>
    <w:semiHidden/>
    <w:unhideWhenUsed/>
    <w:qFormat/>
    <w:rsid w:val="00CB6516"/>
    <w:pPr>
      <w:keepNext/>
      <w:spacing w:before="240" w:after="60"/>
      <w:outlineLvl w:val="1"/>
    </w:pPr>
    <w:rPr>
      <w:rFonts w:eastAsia="Times New Roman"/>
      <w:b/>
      <w:bCs/>
      <w:iCs/>
      <w:szCs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95AC1"/>
    <w:pPr>
      <w:tabs>
        <w:tab w:val="center" w:pos="4320"/>
        <w:tab w:val="right" w:pos="8640"/>
      </w:tabs>
    </w:pPr>
  </w:style>
  <w:style w:type="character" w:customStyle="1" w:styleId="a4">
    <w:name w:val="כותרת עליונה תו"/>
    <w:link w:val="a3"/>
    <w:uiPriority w:val="99"/>
    <w:rsid w:val="00B95AC1"/>
    <w:rPr>
      <w:sz w:val="22"/>
      <w:szCs w:val="22"/>
    </w:rPr>
  </w:style>
  <w:style w:type="paragraph" w:styleId="a5">
    <w:name w:val="footer"/>
    <w:basedOn w:val="a"/>
    <w:link w:val="a6"/>
    <w:uiPriority w:val="99"/>
    <w:unhideWhenUsed/>
    <w:rsid w:val="00B95AC1"/>
    <w:pPr>
      <w:tabs>
        <w:tab w:val="center" w:pos="4320"/>
        <w:tab w:val="right" w:pos="8640"/>
      </w:tabs>
    </w:pPr>
  </w:style>
  <w:style w:type="character" w:customStyle="1" w:styleId="a6">
    <w:name w:val="כותרת תחתונה תו"/>
    <w:link w:val="a5"/>
    <w:uiPriority w:val="99"/>
    <w:rsid w:val="00B95AC1"/>
    <w:rPr>
      <w:sz w:val="22"/>
      <w:szCs w:val="22"/>
    </w:rPr>
  </w:style>
  <w:style w:type="paragraph" w:styleId="a7">
    <w:name w:val="Balloon Text"/>
    <w:basedOn w:val="a"/>
    <w:link w:val="a8"/>
    <w:uiPriority w:val="99"/>
    <w:semiHidden/>
    <w:unhideWhenUsed/>
    <w:rsid w:val="00AA153B"/>
    <w:pPr>
      <w:spacing w:after="0" w:line="240" w:lineRule="auto"/>
    </w:pPr>
    <w:rPr>
      <w:rFonts w:ascii="Tahoma" w:hAnsi="Tahoma" w:cs="Tahoma"/>
      <w:sz w:val="16"/>
      <w:szCs w:val="16"/>
    </w:rPr>
  </w:style>
  <w:style w:type="character" w:customStyle="1" w:styleId="a8">
    <w:name w:val="טקסט בלונים תו"/>
    <w:link w:val="a7"/>
    <w:uiPriority w:val="99"/>
    <w:semiHidden/>
    <w:rsid w:val="00AA153B"/>
    <w:rPr>
      <w:rFonts w:ascii="Tahoma" w:hAnsi="Tahoma" w:cs="Tahoma"/>
      <w:sz w:val="16"/>
      <w:szCs w:val="16"/>
    </w:rPr>
  </w:style>
  <w:style w:type="character" w:customStyle="1" w:styleId="10">
    <w:name w:val="כותרת 1 תו"/>
    <w:link w:val="1"/>
    <w:uiPriority w:val="9"/>
    <w:rsid w:val="00CB6516"/>
    <w:rPr>
      <w:rFonts w:eastAsia="Times New Roman"/>
      <w:b/>
      <w:bCs/>
      <w:kern w:val="32"/>
      <w:sz w:val="28"/>
      <w:szCs w:val="32"/>
    </w:rPr>
  </w:style>
  <w:style w:type="paragraph" w:styleId="a9">
    <w:name w:val="Title"/>
    <w:basedOn w:val="a"/>
    <w:next w:val="a"/>
    <w:link w:val="aa"/>
    <w:uiPriority w:val="10"/>
    <w:qFormat/>
    <w:rsid w:val="00CB6516"/>
    <w:pPr>
      <w:spacing w:before="240" w:after="60"/>
      <w:jc w:val="center"/>
      <w:outlineLvl w:val="0"/>
    </w:pPr>
    <w:rPr>
      <w:rFonts w:eastAsia="Times New Roman"/>
      <w:b/>
      <w:bCs/>
      <w:kern w:val="28"/>
      <w:sz w:val="32"/>
      <w:szCs w:val="32"/>
      <w:u w:val="single"/>
    </w:rPr>
  </w:style>
  <w:style w:type="character" w:customStyle="1" w:styleId="aa">
    <w:name w:val="כותרת טקסט תו"/>
    <w:link w:val="a9"/>
    <w:uiPriority w:val="10"/>
    <w:rsid w:val="00CB6516"/>
    <w:rPr>
      <w:rFonts w:eastAsia="Times New Roman"/>
      <w:b/>
      <w:bCs/>
      <w:kern w:val="28"/>
      <w:sz w:val="32"/>
      <w:szCs w:val="32"/>
      <w:u w:val="single"/>
    </w:rPr>
  </w:style>
  <w:style w:type="character" w:customStyle="1" w:styleId="20">
    <w:name w:val="כותרת 2 תו"/>
    <w:link w:val="2"/>
    <w:uiPriority w:val="9"/>
    <w:semiHidden/>
    <w:rsid w:val="00CB6516"/>
    <w:rPr>
      <w:rFonts w:eastAsia="Times New Roman"/>
      <w:b/>
      <w:bCs/>
      <w:iCs/>
      <w:sz w:val="24"/>
      <w:szCs w:val="28"/>
    </w:rPr>
  </w:style>
  <w:style w:type="paragraph" w:customStyle="1" w:styleId="Hebrew-Normal">
    <w:name w:val="Hebrew - Normal"/>
    <w:basedOn w:val="a"/>
    <w:link w:val="Hebrew-NormalChar"/>
    <w:rsid w:val="00696F7F"/>
  </w:style>
  <w:style w:type="character" w:customStyle="1" w:styleId="Hebrew-NormalChar">
    <w:name w:val="Hebrew - Normal Char"/>
    <w:link w:val="Hebrew-Normal"/>
    <w:rsid w:val="00696F7F"/>
    <w:rPr>
      <w:rFonts w:ascii="Times New Roman" w:hAnsi="Times New Roman" w:cs="David"/>
      <w:sz w:val="24"/>
      <w:szCs w:val="24"/>
    </w:rPr>
  </w:style>
  <w:style w:type="character" w:styleId="ab">
    <w:name w:val="Book Title"/>
    <w:uiPriority w:val="33"/>
    <w:rsid w:val="00A41A64"/>
    <w:rPr>
      <w:b/>
      <w:bCs/>
      <w:smallCaps/>
      <w:spacing w:val="5"/>
    </w:rPr>
  </w:style>
  <w:style w:type="paragraph" w:styleId="ac">
    <w:name w:val="Subtitle"/>
    <w:basedOn w:val="a"/>
    <w:next w:val="a"/>
    <w:link w:val="ad"/>
    <w:uiPriority w:val="11"/>
    <w:qFormat/>
    <w:rsid w:val="00CB6516"/>
    <w:pPr>
      <w:spacing w:after="60"/>
      <w:jc w:val="center"/>
      <w:outlineLvl w:val="1"/>
    </w:pPr>
    <w:rPr>
      <w:rFonts w:eastAsia="Times New Roman"/>
      <w:bCs/>
      <w:sz w:val="32"/>
    </w:rPr>
  </w:style>
  <w:style w:type="character" w:customStyle="1" w:styleId="ad">
    <w:name w:val="כותרת משנה תו"/>
    <w:link w:val="ac"/>
    <w:uiPriority w:val="11"/>
    <w:rsid w:val="00CB6516"/>
    <w:rPr>
      <w:rFonts w:eastAsia="Times New Roman"/>
      <w:bCs/>
      <w:sz w:val="32"/>
      <w:szCs w:val="24"/>
    </w:rPr>
  </w:style>
  <w:style w:type="numbering" w:customStyle="1" w:styleId="DepartmentStandard">
    <w:name w:val="Department Standard"/>
    <w:uiPriority w:val="99"/>
    <w:rsid w:val="000A35B8"/>
    <w:pPr>
      <w:numPr>
        <w:numId w:val="2"/>
      </w:numPr>
    </w:pPr>
  </w:style>
  <w:style w:type="numbering" w:customStyle="1" w:styleId="DepartmentStandardHebrew">
    <w:name w:val="Department Standard Hebrew"/>
    <w:uiPriority w:val="99"/>
    <w:rsid w:val="000A35B8"/>
    <w:pPr>
      <w:numPr>
        <w:numId w:val="4"/>
      </w:numPr>
    </w:pPr>
  </w:style>
  <w:style w:type="paragraph" w:customStyle="1" w:styleId="BulletedList">
    <w:name w:val="Bulleted List"/>
    <w:basedOn w:val="a"/>
    <w:qFormat/>
    <w:rsid w:val="00CB6516"/>
    <w:pPr>
      <w:numPr>
        <w:numId w:val="7"/>
      </w:numPr>
      <w:bidi/>
      <w:spacing w:after="0"/>
    </w:pPr>
  </w:style>
  <w:style w:type="paragraph" w:styleId="ae">
    <w:name w:val="No Spacing"/>
    <w:uiPriority w:val="1"/>
    <w:qFormat/>
    <w:rsid w:val="00CB6516"/>
    <w:pPr>
      <w:jc w:val="both"/>
    </w:pPr>
    <w:rPr>
      <w:sz w:val="24"/>
      <w:szCs w:val="24"/>
    </w:rPr>
  </w:style>
  <w:style w:type="paragraph" w:styleId="af">
    <w:name w:val="List Paragraph"/>
    <w:basedOn w:val="a"/>
    <w:uiPriority w:val="34"/>
    <w:qFormat/>
    <w:rsid w:val="00AD0767"/>
    <w:pPr>
      <w:ind w:left="720"/>
      <w:contextualSpacing/>
    </w:pPr>
  </w:style>
  <w:style w:type="paragraph" w:styleId="af0">
    <w:name w:val="footnote text"/>
    <w:basedOn w:val="a"/>
    <w:link w:val="af1"/>
    <w:uiPriority w:val="99"/>
    <w:unhideWhenUsed/>
    <w:rsid w:val="000434E0"/>
    <w:pPr>
      <w:spacing w:after="0" w:line="240" w:lineRule="auto"/>
    </w:pPr>
    <w:rPr>
      <w:sz w:val="20"/>
      <w:szCs w:val="20"/>
    </w:rPr>
  </w:style>
  <w:style w:type="character" w:customStyle="1" w:styleId="af1">
    <w:name w:val="טקסט הערת שוליים תו"/>
    <w:basedOn w:val="a0"/>
    <w:link w:val="af0"/>
    <w:uiPriority w:val="99"/>
    <w:rsid w:val="000434E0"/>
  </w:style>
  <w:style w:type="character" w:styleId="af2">
    <w:name w:val="footnote reference"/>
    <w:basedOn w:val="a0"/>
    <w:uiPriority w:val="99"/>
    <w:unhideWhenUsed/>
    <w:rsid w:val="000434E0"/>
    <w:rPr>
      <w:vertAlign w:val="superscript"/>
    </w:rPr>
  </w:style>
  <w:style w:type="character" w:styleId="Hyperlink">
    <w:name w:val="Hyperlink"/>
    <w:uiPriority w:val="99"/>
    <w:unhideWhenUsed/>
    <w:rsid w:val="00E64A84"/>
    <w:rPr>
      <w:color w:val="0000FF"/>
      <w:u w:val="single"/>
    </w:rPr>
  </w:style>
  <w:style w:type="character" w:styleId="af3">
    <w:name w:val="annotation reference"/>
    <w:basedOn w:val="a0"/>
    <w:uiPriority w:val="99"/>
    <w:semiHidden/>
    <w:unhideWhenUsed/>
    <w:rsid w:val="00D7519A"/>
    <w:rPr>
      <w:sz w:val="16"/>
      <w:szCs w:val="16"/>
    </w:rPr>
  </w:style>
  <w:style w:type="paragraph" w:styleId="af4">
    <w:name w:val="annotation text"/>
    <w:basedOn w:val="a"/>
    <w:link w:val="af5"/>
    <w:uiPriority w:val="99"/>
    <w:semiHidden/>
    <w:unhideWhenUsed/>
    <w:rsid w:val="00D7519A"/>
    <w:pPr>
      <w:bidi/>
      <w:spacing w:line="240" w:lineRule="auto"/>
      <w:jc w:val="left"/>
    </w:pPr>
    <w:rPr>
      <w:rFonts w:eastAsiaTheme="minorHAnsi"/>
      <w:sz w:val="20"/>
      <w:szCs w:val="20"/>
    </w:rPr>
  </w:style>
  <w:style w:type="character" w:customStyle="1" w:styleId="af5">
    <w:name w:val="טקסט הערה תו"/>
    <w:basedOn w:val="a0"/>
    <w:link w:val="af4"/>
    <w:uiPriority w:val="99"/>
    <w:semiHidden/>
    <w:rsid w:val="00D7519A"/>
    <w:rPr>
      <w:rFonts w:eastAsiaTheme="minorHAnsi"/>
    </w:rPr>
  </w:style>
  <w:style w:type="character" w:customStyle="1" w:styleId="apple-style-span">
    <w:name w:val="apple-style-span"/>
    <w:rsid w:val="00195B00"/>
  </w:style>
  <w:style w:type="character" w:customStyle="1" w:styleId="af6">
    <w:name w:val="כללי תו"/>
    <w:basedOn w:val="a0"/>
    <w:link w:val="af7"/>
    <w:locked/>
    <w:rsid w:val="00195B00"/>
    <w:rPr>
      <w:rFonts w:cs="FrankRuehl"/>
      <w:lang w:eastAsia="he-IL"/>
    </w:rPr>
  </w:style>
  <w:style w:type="paragraph" w:customStyle="1" w:styleId="af7">
    <w:name w:val="כללי"/>
    <w:basedOn w:val="a"/>
    <w:link w:val="af6"/>
    <w:rsid w:val="00195B00"/>
    <w:pPr>
      <w:overflowPunct w:val="0"/>
      <w:autoSpaceDE w:val="0"/>
      <w:autoSpaceDN w:val="0"/>
      <w:bidi/>
      <w:spacing w:after="240" w:line="278" w:lineRule="exact"/>
      <w:ind w:left="113" w:firstLine="284"/>
    </w:pPr>
    <w:rPr>
      <w:rFonts w:cs="FrankRuehl"/>
      <w:sz w:val="20"/>
      <w:szCs w:val="20"/>
      <w:lang w:eastAsia="he-IL"/>
    </w:rPr>
  </w:style>
  <w:style w:type="character" w:customStyle="1" w:styleId="apple-converted-space">
    <w:name w:val="apple-converted-space"/>
    <w:rsid w:val="00464AE9"/>
  </w:style>
  <w:style w:type="paragraph" w:styleId="af8">
    <w:name w:val="Quote"/>
    <w:basedOn w:val="a"/>
    <w:link w:val="af9"/>
    <w:qFormat/>
    <w:rsid w:val="00B93F03"/>
    <w:pPr>
      <w:overflowPunct w:val="0"/>
      <w:autoSpaceDE w:val="0"/>
      <w:autoSpaceDN w:val="0"/>
      <w:bidi/>
      <w:adjustRightInd w:val="0"/>
      <w:spacing w:after="250" w:line="286" w:lineRule="exact"/>
      <w:ind w:left="454" w:right="454"/>
      <w:textAlignment w:val="baseline"/>
    </w:pPr>
    <w:rPr>
      <w:rFonts w:eastAsia="Times New Roman" w:cs="FrankRuehl"/>
      <w:sz w:val="20"/>
      <w:lang w:eastAsia="he-IL"/>
    </w:rPr>
  </w:style>
  <w:style w:type="character" w:customStyle="1" w:styleId="af9">
    <w:name w:val="ציטוט תו"/>
    <w:basedOn w:val="a0"/>
    <w:link w:val="af8"/>
    <w:rsid w:val="00B93F03"/>
    <w:rPr>
      <w:rFonts w:eastAsia="Times New Roman" w:cs="FrankRuehl"/>
      <w:szCs w:val="24"/>
      <w:lang w:eastAsia="he-IL"/>
    </w:rPr>
  </w:style>
  <w:style w:type="paragraph" w:styleId="afa">
    <w:name w:val="annotation subject"/>
    <w:basedOn w:val="af4"/>
    <w:next w:val="af4"/>
    <w:link w:val="afb"/>
    <w:uiPriority w:val="99"/>
    <w:semiHidden/>
    <w:unhideWhenUsed/>
    <w:rsid w:val="004A0997"/>
    <w:pPr>
      <w:bidi w:val="0"/>
      <w:jc w:val="both"/>
    </w:pPr>
    <w:rPr>
      <w:rFonts w:eastAsia="Calibri"/>
      <w:b/>
      <w:bCs/>
    </w:rPr>
  </w:style>
  <w:style w:type="character" w:customStyle="1" w:styleId="afb">
    <w:name w:val="נושא הערה תו"/>
    <w:basedOn w:val="af5"/>
    <w:link w:val="afa"/>
    <w:uiPriority w:val="99"/>
    <w:semiHidden/>
    <w:rsid w:val="004A0997"/>
    <w:rPr>
      <w:rFonts w:eastAsiaTheme="minorHAnsi"/>
      <w:b/>
      <w:bCs/>
    </w:rPr>
  </w:style>
  <w:style w:type="paragraph" w:customStyle="1" w:styleId="ruller4">
    <w:name w:val="ruller4"/>
    <w:basedOn w:val="a"/>
    <w:rsid w:val="00DB509F"/>
    <w:pPr>
      <w:spacing w:before="100" w:beforeAutospacing="1" w:after="100" w:afterAutospacing="1" w:line="240" w:lineRule="auto"/>
      <w:jc w:val="left"/>
    </w:pPr>
    <w:rPr>
      <w:rFonts w:eastAsia="Times New Roman" w:cs="Times New Roman"/>
    </w:rPr>
  </w:style>
  <w:style w:type="paragraph" w:customStyle="1" w:styleId="ruller5">
    <w:name w:val="ruller5"/>
    <w:basedOn w:val="a"/>
    <w:rsid w:val="00DB509F"/>
    <w:pPr>
      <w:spacing w:before="100" w:beforeAutospacing="1" w:after="100" w:afterAutospacing="1" w:line="240" w:lineRule="auto"/>
      <w:jc w:val="left"/>
    </w:pPr>
    <w:rPr>
      <w:rFonts w:eastAsia="Times New Roman" w:cs="Times New Roman"/>
    </w:rPr>
  </w:style>
  <w:style w:type="paragraph" w:styleId="afc">
    <w:name w:val="Plain Text"/>
    <w:basedOn w:val="a"/>
    <w:link w:val="afd"/>
    <w:uiPriority w:val="99"/>
    <w:unhideWhenUsed/>
    <w:rsid w:val="00BB1E63"/>
    <w:pPr>
      <w:bidi/>
      <w:spacing w:after="0" w:line="240" w:lineRule="auto"/>
      <w:jc w:val="left"/>
    </w:pPr>
    <w:rPr>
      <w:rFonts w:ascii="Calibri" w:eastAsiaTheme="minorHAnsi" w:hAnsi="Calibri" w:cs="Consolas"/>
      <w:sz w:val="22"/>
      <w:szCs w:val="21"/>
    </w:rPr>
  </w:style>
  <w:style w:type="character" w:customStyle="1" w:styleId="afd">
    <w:name w:val="טקסט רגיל תו"/>
    <w:basedOn w:val="a0"/>
    <w:link w:val="afc"/>
    <w:uiPriority w:val="99"/>
    <w:rsid w:val="00BB1E63"/>
    <w:rPr>
      <w:rFonts w:ascii="Calibri" w:eastAsiaTheme="minorHAnsi" w:hAnsi="Calibri" w:cs="Consolas"/>
      <w:sz w:val="22"/>
      <w:szCs w:val="21"/>
    </w:rPr>
  </w:style>
  <w:style w:type="character" w:customStyle="1" w:styleId="Ruller40">
    <w:name w:val="Ruller4 תו"/>
    <w:link w:val="Ruller41"/>
    <w:locked/>
    <w:rsid w:val="00B17151"/>
    <w:rPr>
      <w:rFonts w:ascii="Arial TUR" w:hAnsi="Arial TUR" w:cs="FrankRuehl"/>
      <w:spacing w:val="10"/>
      <w:sz w:val="22"/>
      <w:szCs w:val="28"/>
    </w:rPr>
  </w:style>
  <w:style w:type="paragraph" w:customStyle="1" w:styleId="Ruller41">
    <w:name w:val="Ruller4"/>
    <w:basedOn w:val="a"/>
    <w:link w:val="Ruller40"/>
    <w:rsid w:val="00B17151"/>
    <w:pPr>
      <w:tabs>
        <w:tab w:val="left" w:pos="800"/>
      </w:tabs>
      <w:overflowPunct w:val="0"/>
      <w:autoSpaceDE w:val="0"/>
      <w:autoSpaceDN w:val="0"/>
      <w:bidi/>
      <w:adjustRightInd w:val="0"/>
      <w:spacing w:after="0" w:line="360" w:lineRule="auto"/>
    </w:pPr>
    <w:rPr>
      <w:rFonts w:ascii="Arial TUR" w:hAnsi="Arial TUR" w:cs="FrankRuehl"/>
      <w:spacing w:val="10"/>
      <w:sz w:val="22"/>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1169707">
      <w:bodyDiv w:val="1"/>
      <w:marLeft w:val="0"/>
      <w:marRight w:val="0"/>
      <w:marTop w:val="0"/>
      <w:marBottom w:val="0"/>
      <w:divBdr>
        <w:top w:val="none" w:sz="0" w:space="0" w:color="auto"/>
        <w:left w:val="none" w:sz="0" w:space="0" w:color="auto"/>
        <w:bottom w:val="none" w:sz="0" w:space="0" w:color="auto"/>
        <w:right w:val="none" w:sz="0" w:space="0" w:color="auto"/>
      </w:divBdr>
    </w:div>
    <w:div w:id="1199196749">
      <w:bodyDiv w:val="1"/>
      <w:marLeft w:val="0"/>
      <w:marRight w:val="0"/>
      <w:marTop w:val="0"/>
      <w:marBottom w:val="0"/>
      <w:divBdr>
        <w:top w:val="none" w:sz="0" w:space="0" w:color="auto"/>
        <w:left w:val="none" w:sz="0" w:space="0" w:color="auto"/>
        <w:bottom w:val="none" w:sz="0" w:space="0" w:color="auto"/>
        <w:right w:val="none" w:sz="0" w:space="0" w:color="auto"/>
      </w:divBdr>
    </w:div>
    <w:div w:id="1501578514">
      <w:bodyDiv w:val="1"/>
      <w:marLeft w:val="0"/>
      <w:marRight w:val="0"/>
      <w:marTop w:val="0"/>
      <w:marBottom w:val="0"/>
      <w:divBdr>
        <w:top w:val="none" w:sz="0" w:space="0" w:color="auto"/>
        <w:left w:val="none" w:sz="0" w:space="0" w:color="auto"/>
        <w:bottom w:val="none" w:sz="0" w:space="0" w:color="auto"/>
        <w:right w:val="none" w:sz="0" w:space="0" w:color="auto"/>
      </w:divBdr>
    </w:div>
    <w:div w:id="1564682148">
      <w:bodyDiv w:val="1"/>
      <w:marLeft w:val="0"/>
      <w:marRight w:val="0"/>
      <w:marTop w:val="0"/>
      <w:marBottom w:val="0"/>
      <w:divBdr>
        <w:top w:val="none" w:sz="0" w:space="0" w:color="auto"/>
        <w:left w:val="none" w:sz="0" w:space="0" w:color="auto"/>
        <w:bottom w:val="none" w:sz="0" w:space="0" w:color="auto"/>
        <w:right w:val="none" w:sz="0" w:space="0" w:color="auto"/>
      </w:divBdr>
    </w:div>
    <w:div w:id="1622877794">
      <w:bodyDiv w:val="1"/>
      <w:marLeft w:val="0"/>
      <w:marRight w:val="0"/>
      <w:marTop w:val="0"/>
      <w:marBottom w:val="0"/>
      <w:divBdr>
        <w:top w:val="none" w:sz="0" w:space="0" w:color="auto"/>
        <w:left w:val="none" w:sz="0" w:space="0" w:color="auto"/>
        <w:bottom w:val="none" w:sz="0" w:space="0" w:color="auto"/>
        <w:right w:val="none" w:sz="0" w:space="0" w:color="auto"/>
      </w:divBdr>
    </w:div>
    <w:div w:id="2049183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nevo.co.il/case/5952240" TargetMode="External"/><Relationship Id="rId18" Type="http://schemas.openxmlformats.org/officeDocument/2006/relationships/hyperlink" Target="http://www.nevo.co.il/case/5910190" TargetMode="Externa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footnotes" Target="footnotes.xml"/><Relationship Id="rId12" Type="http://schemas.openxmlformats.org/officeDocument/2006/relationships/hyperlink" Target="http://www.nevo.co.il/case/6061137" TargetMode="External"/><Relationship Id="rId17" Type="http://schemas.openxmlformats.org/officeDocument/2006/relationships/hyperlink" Target="http://www.nevo.co.il/case/6156150" TargetMode="External"/><Relationship Id="rId2" Type="http://schemas.openxmlformats.org/officeDocument/2006/relationships/numbering" Target="numbering.xml"/><Relationship Id="rId16" Type="http://schemas.openxmlformats.org/officeDocument/2006/relationships/hyperlink" Target="http://www.nevo.co.il/case/5716153"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nevo.co.il/case/5753825"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www.nevo.co.il/case/5757513" TargetMode="External"/><Relationship Id="rId23" Type="http://schemas.openxmlformats.org/officeDocument/2006/relationships/fontTable" Target="fontTable.xml"/><Relationship Id="rId10" Type="http://schemas.openxmlformats.org/officeDocument/2006/relationships/hyperlink" Target="http://www.nevo.co.il/case/5763234" TargetMode="External"/><Relationship Id="rId19"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comments" Target="comments.xml"/><Relationship Id="rId14" Type="http://schemas.openxmlformats.org/officeDocument/2006/relationships/hyperlink" Target="http://www.nevo.co.il/case/5944733" TargetMode="External"/><Relationship Id="rId22"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2.emf"/></Relationships>
</file>

<file path=word/_rels/footer2.xml.rels><?xml version="1.0" encoding="UTF-8" standalone="yes"?>
<Relationships xmlns="http://schemas.openxmlformats.org/package/2006/relationships"><Relationship Id="rId1" Type="http://schemas.openxmlformats.org/officeDocument/2006/relationships/image" Target="media/image4.emf"/></Relationships>
</file>

<file path=word/_rels/footnotes.xml.rels><?xml version="1.0" encoding="UTF-8" standalone="yes"?>
<Relationships xmlns="http://schemas.openxmlformats.org/package/2006/relationships"><Relationship Id="rId3" Type="http://schemas.openxmlformats.org/officeDocument/2006/relationships/hyperlink" Target="http://www.nevo.co.il/case/5743465" TargetMode="External"/><Relationship Id="rId2" Type="http://schemas.openxmlformats.org/officeDocument/2006/relationships/hyperlink" Target="http://www.nevo.co.il/case/17916642" TargetMode="External"/><Relationship Id="rId1" Type="http://schemas.openxmlformats.org/officeDocument/2006/relationships/hyperlink" Target="http://www.nevo.co.il/case/5814286"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A55BEF-4D97-4946-8D8D-E0BE6C1BD6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504</TotalTime>
  <Pages>14</Pages>
  <Words>4279</Words>
  <Characters>21398</Characters>
  <Application>Microsoft Office Word</Application>
  <DocSecurity>0</DocSecurity>
  <Lines>178</Lines>
  <Paragraphs>51</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MOJ</Company>
  <LinksUpToDate>false</LinksUpToDate>
  <CharactersWithSpaces>25626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Michal Amram</dc:creator>
  <cp:lastModifiedBy>Sharon Gefen</cp:lastModifiedBy>
  <cp:revision>56</cp:revision>
  <cp:lastPrinted>2017-04-20T14:48:00Z</cp:lastPrinted>
  <dcterms:created xsi:type="dcterms:W3CDTF">2017-04-23T11:39:00Z</dcterms:created>
  <dcterms:modified xsi:type="dcterms:W3CDTF">2017-04-26T12:50:00Z</dcterms:modified>
</cp:coreProperties>
</file>