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02" w:rsidRPr="00F342B1" w:rsidRDefault="00996302" w:rsidP="00996302">
      <w:pPr>
        <w:keepLines w:val="0"/>
        <w:tabs>
          <w:tab w:val="left" w:pos="5388"/>
          <w:tab w:val="left" w:pos="5899"/>
        </w:tabs>
        <w:spacing w:line="240" w:lineRule="auto"/>
        <w:rPr>
          <w:b/>
          <w:bCs/>
          <w:sz w:val="28"/>
          <w:szCs w:val="28"/>
          <w:rtl/>
        </w:rPr>
      </w:pPr>
      <w:r w:rsidRPr="000561EF">
        <w:rPr>
          <w:b/>
          <w:bCs/>
          <w:spacing w:val="-4"/>
          <w:sz w:val="28"/>
          <w:szCs w:val="28"/>
          <w:u w:val="single"/>
          <w:rtl/>
        </w:rPr>
        <w:t>בבית המשפט המחוזי בתל אביב יפו</w:t>
      </w:r>
      <w:r>
        <w:rPr>
          <w:b/>
          <w:bCs/>
          <w:sz w:val="24"/>
          <w:rtl/>
        </w:rPr>
        <w:t xml:space="preserve"> </w:t>
      </w:r>
      <w:r>
        <w:rPr>
          <w:b/>
          <w:bCs/>
          <w:sz w:val="24"/>
          <w:rtl/>
        </w:rPr>
        <w:tab/>
      </w:r>
      <w:r>
        <w:rPr>
          <w:rFonts w:hint="cs"/>
          <w:b/>
          <w:bCs/>
          <w:sz w:val="24"/>
          <w:rtl/>
        </w:rPr>
        <w:tab/>
        <w:t xml:space="preserve">   </w:t>
      </w:r>
      <w:r>
        <w:rPr>
          <w:b/>
          <w:bCs/>
          <w:sz w:val="24"/>
          <w:rtl/>
        </w:rPr>
        <w:tab/>
      </w:r>
      <w:r>
        <w:rPr>
          <w:b/>
          <w:bCs/>
          <w:sz w:val="28"/>
          <w:szCs w:val="28"/>
          <w:rtl/>
        </w:rPr>
        <w:tab/>
      </w:r>
      <w:r>
        <w:rPr>
          <w:rFonts w:hint="cs"/>
          <w:b/>
          <w:bCs/>
          <w:sz w:val="28"/>
          <w:szCs w:val="28"/>
          <w:rtl/>
        </w:rPr>
        <w:t xml:space="preserve">   </w:t>
      </w:r>
      <w:r>
        <w:rPr>
          <w:b/>
          <w:bCs/>
          <w:sz w:val="28"/>
          <w:szCs w:val="28"/>
          <w:rtl/>
        </w:rPr>
        <w:t xml:space="preserve">ע"מ </w:t>
      </w:r>
      <w:r>
        <w:rPr>
          <w:rFonts w:hint="cs"/>
          <w:b/>
          <w:bCs/>
          <w:sz w:val="28"/>
          <w:szCs w:val="28"/>
          <w:rtl/>
        </w:rPr>
        <w:t>66420-01-18</w:t>
      </w:r>
    </w:p>
    <w:p w:rsidR="00996302" w:rsidRPr="00F342B1" w:rsidRDefault="00996302" w:rsidP="00996302">
      <w:pPr>
        <w:keepLines w:val="0"/>
        <w:tabs>
          <w:tab w:val="left" w:pos="5388"/>
          <w:tab w:val="left" w:pos="5757"/>
          <w:tab w:val="left" w:pos="5899"/>
        </w:tabs>
        <w:spacing w:line="240" w:lineRule="auto"/>
        <w:ind w:left="5040"/>
        <w:rPr>
          <w:b/>
          <w:bCs/>
          <w:sz w:val="28"/>
          <w:szCs w:val="28"/>
          <w:rtl/>
        </w:rPr>
      </w:pPr>
      <w:r>
        <w:rPr>
          <w:rFonts w:hint="cs"/>
          <w:b/>
          <w:bCs/>
          <w:spacing w:val="14"/>
          <w:sz w:val="28"/>
          <w:szCs w:val="28"/>
          <w:rtl/>
        </w:rPr>
        <w:tab/>
      </w:r>
      <w:r w:rsidRPr="00CE5849">
        <w:rPr>
          <w:b/>
          <w:bCs/>
          <w:spacing w:val="14"/>
          <w:sz w:val="28"/>
          <w:szCs w:val="28"/>
          <w:rtl/>
        </w:rPr>
        <w:t>לפני כבוד השופט</w:t>
      </w:r>
      <w:r>
        <w:rPr>
          <w:rFonts w:hint="cs"/>
          <w:b/>
          <w:bCs/>
          <w:spacing w:val="14"/>
          <w:sz w:val="28"/>
          <w:szCs w:val="28"/>
          <w:rtl/>
        </w:rPr>
        <w:t>ת ירדנה סרוסי</w:t>
      </w:r>
      <w:r>
        <w:rPr>
          <w:rFonts w:hint="cs"/>
          <w:b/>
          <w:bCs/>
          <w:sz w:val="28"/>
          <w:szCs w:val="28"/>
          <w:rtl/>
        </w:rPr>
        <w:t xml:space="preserve">      קבוע להוכחות ל- 27.1.19 ו- 29.1.19</w:t>
      </w:r>
      <w:r>
        <w:rPr>
          <w:b/>
          <w:bCs/>
          <w:sz w:val="28"/>
          <w:szCs w:val="28"/>
          <w:rtl/>
        </w:rPr>
        <w:tab/>
      </w:r>
      <w:r>
        <w:rPr>
          <w:b/>
          <w:bCs/>
          <w:sz w:val="28"/>
          <w:szCs w:val="28"/>
          <w:rtl/>
        </w:rPr>
        <w:tab/>
      </w:r>
      <w:r>
        <w:rPr>
          <w:b/>
          <w:bCs/>
          <w:sz w:val="28"/>
          <w:szCs w:val="28"/>
          <w:rtl/>
        </w:rPr>
        <w:tab/>
      </w:r>
      <w:r>
        <w:rPr>
          <w:b/>
          <w:bCs/>
          <w:sz w:val="28"/>
          <w:szCs w:val="28"/>
          <w:rtl/>
        </w:rPr>
        <w:tab/>
      </w:r>
    </w:p>
    <w:p w:rsidR="00996302" w:rsidRPr="00DF7806" w:rsidRDefault="00996302" w:rsidP="00996302">
      <w:pPr>
        <w:keepLines w:val="0"/>
        <w:tabs>
          <w:tab w:val="left" w:pos="5388"/>
          <w:tab w:val="left" w:pos="5899"/>
        </w:tabs>
        <w:spacing w:line="240" w:lineRule="auto"/>
        <w:rPr>
          <w:b/>
          <w:bCs/>
          <w:sz w:val="28"/>
          <w:szCs w:val="28"/>
          <w:u w:val="single"/>
          <w:rtl/>
        </w:rPr>
      </w:pPr>
      <w:r>
        <w:rPr>
          <w:b/>
          <w:bCs/>
          <w:sz w:val="28"/>
          <w:szCs w:val="28"/>
          <w:rtl/>
        </w:rPr>
        <w:tab/>
      </w:r>
    </w:p>
    <w:p w:rsidR="00996302" w:rsidRPr="00DF7806" w:rsidRDefault="00996302" w:rsidP="00996302">
      <w:pPr>
        <w:keepLines w:val="0"/>
        <w:tabs>
          <w:tab w:val="left" w:pos="5388"/>
          <w:tab w:val="left" w:pos="5899"/>
        </w:tabs>
        <w:spacing w:line="240" w:lineRule="auto"/>
        <w:rPr>
          <w:b/>
          <w:bCs/>
          <w:sz w:val="28"/>
          <w:szCs w:val="28"/>
          <w:rtl/>
        </w:rPr>
      </w:pPr>
      <w:r w:rsidRPr="00DF7806">
        <w:rPr>
          <w:b/>
          <w:bCs/>
          <w:sz w:val="28"/>
          <w:szCs w:val="28"/>
          <w:rtl/>
        </w:rPr>
        <w:tab/>
      </w:r>
      <w:r w:rsidRPr="00DF7806">
        <w:rPr>
          <w:b/>
          <w:bCs/>
          <w:sz w:val="28"/>
          <w:szCs w:val="28"/>
          <w:rtl/>
        </w:rPr>
        <w:tab/>
      </w:r>
      <w:r w:rsidRPr="00DF7806">
        <w:rPr>
          <w:b/>
          <w:bCs/>
          <w:sz w:val="28"/>
          <w:szCs w:val="28"/>
          <w:rtl/>
        </w:rPr>
        <w:tab/>
      </w:r>
      <w:r w:rsidRPr="00DF7806">
        <w:rPr>
          <w:b/>
          <w:bCs/>
          <w:sz w:val="28"/>
          <w:szCs w:val="28"/>
          <w:rtl/>
        </w:rPr>
        <w:tab/>
      </w:r>
      <w:r w:rsidRPr="00DF7806">
        <w:rPr>
          <w:b/>
          <w:bCs/>
          <w:sz w:val="28"/>
          <w:szCs w:val="28"/>
          <w:rtl/>
        </w:rPr>
        <w:tab/>
      </w:r>
    </w:p>
    <w:p w:rsidR="00996302" w:rsidRDefault="00996302" w:rsidP="00996302">
      <w:pPr>
        <w:keepLines w:val="0"/>
        <w:tabs>
          <w:tab w:val="left" w:pos="1466"/>
          <w:tab w:val="left" w:pos="2186"/>
        </w:tabs>
        <w:spacing w:line="240" w:lineRule="auto"/>
        <w:rPr>
          <w:b/>
          <w:bCs/>
          <w:rtl/>
        </w:rPr>
      </w:pPr>
      <w:r w:rsidRPr="00D96EF8">
        <w:rPr>
          <w:b/>
          <w:bCs/>
          <w:u w:val="single"/>
          <w:rtl/>
        </w:rPr>
        <w:t>המערער</w:t>
      </w:r>
      <w:r>
        <w:rPr>
          <w:b/>
          <w:bCs/>
          <w:rtl/>
        </w:rPr>
        <w:t>:</w:t>
      </w:r>
      <w:r>
        <w:rPr>
          <w:b/>
          <w:bCs/>
          <w:rtl/>
        </w:rPr>
        <w:tab/>
      </w:r>
      <w:r>
        <w:rPr>
          <w:b/>
          <w:bCs/>
          <w:rtl/>
        </w:rPr>
        <w:tab/>
      </w:r>
      <w:r>
        <w:rPr>
          <w:b/>
          <w:bCs/>
          <w:rtl/>
        </w:rPr>
        <w:tab/>
      </w:r>
      <w:r>
        <w:rPr>
          <w:rFonts w:hint="cs"/>
          <w:b/>
          <w:bCs/>
          <w:rtl/>
        </w:rPr>
        <w:t>יוסף חיים הרוש</w:t>
      </w:r>
    </w:p>
    <w:p w:rsidR="00996302" w:rsidRDefault="00996302" w:rsidP="00996302">
      <w:pPr>
        <w:keepLines w:val="0"/>
        <w:tabs>
          <w:tab w:val="left" w:pos="1466"/>
          <w:tab w:val="left" w:pos="2186"/>
        </w:tabs>
        <w:spacing w:line="240" w:lineRule="auto"/>
        <w:rPr>
          <w:rtl/>
        </w:rPr>
      </w:pPr>
      <w:r>
        <w:rPr>
          <w:b/>
          <w:bCs/>
          <w:rtl/>
        </w:rPr>
        <w:tab/>
      </w:r>
      <w:r>
        <w:rPr>
          <w:rtl/>
        </w:rPr>
        <w:tab/>
      </w:r>
      <w:r>
        <w:rPr>
          <w:rtl/>
        </w:rPr>
        <w:tab/>
        <w:t xml:space="preserve">ע"י ב"כ עוה"ד </w:t>
      </w:r>
      <w:r>
        <w:rPr>
          <w:rFonts w:hint="cs"/>
          <w:rtl/>
        </w:rPr>
        <w:t xml:space="preserve">דרור נאור ו/או מוטי </w:t>
      </w:r>
      <w:proofErr w:type="spellStart"/>
      <w:r>
        <w:rPr>
          <w:rFonts w:hint="cs"/>
          <w:rtl/>
        </w:rPr>
        <w:t>ארניה</w:t>
      </w:r>
      <w:proofErr w:type="spellEnd"/>
      <w:r>
        <w:rPr>
          <w:rFonts w:hint="cs"/>
          <w:rtl/>
        </w:rPr>
        <w:t xml:space="preserve"> ן/או צבי הר נבו ואח'</w:t>
      </w:r>
    </w:p>
    <w:p w:rsidR="00996302" w:rsidRDefault="00996302" w:rsidP="00996302">
      <w:pPr>
        <w:tabs>
          <w:tab w:val="left" w:pos="2186"/>
        </w:tabs>
        <w:spacing w:line="240" w:lineRule="auto"/>
        <w:rPr>
          <w:rtl/>
        </w:rPr>
      </w:pPr>
      <w:r>
        <w:rPr>
          <w:rtl/>
        </w:rPr>
        <w:tab/>
      </w:r>
      <w:r>
        <w:rPr>
          <w:rtl/>
        </w:rPr>
        <w:tab/>
      </w:r>
      <w:r>
        <w:rPr>
          <w:rFonts w:hint="cs"/>
          <w:rtl/>
        </w:rPr>
        <w:t xml:space="preserve">מדרך מנחם בגין 55 (קומה 5), </w:t>
      </w:r>
      <w:r>
        <w:rPr>
          <w:rtl/>
        </w:rPr>
        <w:t xml:space="preserve">תל אביב </w:t>
      </w:r>
      <w:r>
        <w:rPr>
          <w:rFonts w:hint="cs"/>
          <w:rtl/>
        </w:rPr>
        <w:t>6713813</w:t>
      </w:r>
    </w:p>
    <w:p w:rsidR="00996302" w:rsidRDefault="00996302" w:rsidP="00996302">
      <w:pPr>
        <w:tabs>
          <w:tab w:val="left" w:pos="2186"/>
        </w:tabs>
        <w:spacing w:line="240" w:lineRule="auto"/>
        <w:rPr>
          <w:rtl/>
        </w:rPr>
      </w:pPr>
      <w:r>
        <w:rPr>
          <w:rtl/>
        </w:rPr>
        <w:tab/>
      </w:r>
      <w:r>
        <w:rPr>
          <w:rtl/>
        </w:rPr>
        <w:tab/>
        <w:t>טל': 03-</w:t>
      </w:r>
      <w:r>
        <w:rPr>
          <w:rFonts w:hint="cs"/>
          <w:rtl/>
        </w:rPr>
        <w:t>5650000</w:t>
      </w:r>
      <w:r>
        <w:rPr>
          <w:rtl/>
        </w:rPr>
        <w:t xml:space="preserve"> ; פקס': 03-</w:t>
      </w:r>
      <w:r>
        <w:rPr>
          <w:rFonts w:hint="cs"/>
          <w:rtl/>
        </w:rPr>
        <w:t>5650001</w:t>
      </w:r>
    </w:p>
    <w:p w:rsidR="00996302" w:rsidRDefault="00996302" w:rsidP="00996302">
      <w:pPr>
        <w:keepLines w:val="0"/>
        <w:tabs>
          <w:tab w:val="left" w:pos="2186"/>
        </w:tabs>
        <w:spacing w:line="240" w:lineRule="auto"/>
        <w:rPr>
          <w:rtl/>
        </w:rPr>
      </w:pPr>
    </w:p>
    <w:p w:rsidR="00996302" w:rsidRDefault="00996302" w:rsidP="00996302">
      <w:pPr>
        <w:keepLines w:val="0"/>
        <w:tabs>
          <w:tab w:val="center" w:pos="3545"/>
        </w:tabs>
        <w:spacing w:line="240" w:lineRule="auto"/>
        <w:ind w:left="1440" w:firstLine="720"/>
        <w:rPr>
          <w:b/>
          <w:bCs/>
          <w:rtl/>
        </w:rPr>
      </w:pPr>
      <w:r>
        <w:rPr>
          <w:b/>
          <w:bCs/>
          <w:sz w:val="24"/>
          <w:rtl/>
        </w:rPr>
        <w:tab/>
        <w:t xml:space="preserve">                     </w:t>
      </w:r>
      <w:r w:rsidRPr="00841747">
        <w:rPr>
          <w:b/>
          <w:bCs/>
          <w:sz w:val="24"/>
          <w:rtl/>
        </w:rPr>
        <w:t>-   נ  ג  ד   -</w:t>
      </w:r>
    </w:p>
    <w:p w:rsidR="00996302" w:rsidRDefault="00996302" w:rsidP="00996302">
      <w:pPr>
        <w:keepLines w:val="0"/>
        <w:spacing w:line="240" w:lineRule="auto"/>
        <w:rPr>
          <w:rtl/>
        </w:rPr>
      </w:pPr>
    </w:p>
    <w:p w:rsidR="00996302" w:rsidRDefault="00996302" w:rsidP="00996302">
      <w:pPr>
        <w:keepLines w:val="0"/>
        <w:tabs>
          <w:tab w:val="left" w:pos="1466"/>
          <w:tab w:val="left" w:pos="2186"/>
        </w:tabs>
        <w:spacing w:line="240" w:lineRule="auto"/>
        <w:rPr>
          <w:b/>
          <w:bCs/>
          <w:rtl/>
        </w:rPr>
      </w:pPr>
      <w:r w:rsidRPr="00D96EF8">
        <w:rPr>
          <w:b/>
          <w:bCs/>
          <w:u w:val="single"/>
          <w:rtl/>
        </w:rPr>
        <w:t>המשיב</w:t>
      </w:r>
      <w:r>
        <w:rPr>
          <w:b/>
          <w:bCs/>
          <w:rtl/>
        </w:rPr>
        <w:t>:</w:t>
      </w:r>
      <w:r>
        <w:rPr>
          <w:b/>
          <w:bCs/>
          <w:rtl/>
        </w:rPr>
        <w:tab/>
      </w:r>
      <w:r>
        <w:rPr>
          <w:b/>
          <w:bCs/>
          <w:rtl/>
        </w:rPr>
        <w:tab/>
      </w:r>
      <w:r>
        <w:rPr>
          <w:b/>
          <w:bCs/>
          <w:rtl/>
        </w:rPr>
        <w:tab/>
        <w:t xml:space="preserve">פקיד שומה </w:t>
      </w:r>
      <w:r>
        <w:rPr>
          <w:rFonts w:hint="cs"/>
          <w:b/>
          <w:bCs/>
          <w:rtl/>
        </w:rPr>
        <w:t>חולון</w:t>
      </w:r>
    </w:p>
    <w:p w:rsidR="00996302" w:rsidRDefault="00996302" w:rsidP="00996302">
      <w:pPr>
        <w:keepLines w:val="0"/>
        <w:tabs>
          <w:tab w:val="left" w:pos="1466"/>
          <w:tab w:val="left" w:pos="2186"/>
        </w:tabs>
        <w:spacing w:line="240" w:lineRule="auto"/>
        <w:rPr>
          <w:rtl/>
        </w:rPr>
      </w:pPr>
      <w:r>
        <w:rPr>
          <w:b/>
          <w:bCs/>
          <w:rtl/>
        </w:rPr>
        <w:tab/>
      </w:r>
      <w:r>
        <w:rPr>
          <w:b/>
          <w:bCs/>
          <w:rtl/>
        </w:rPr>
        <w:tab/>
      </w:r>
      <w:r>
        <w:rPr>
          <w:b/>
          <w:bCs/>
          <w:rtl/>
        </w:rPr>
        <w:tab/>
      </w:r>
      <w:r>
        <w:rPr>
          <w:rtl/>
        </w:rPr>
        <w:t>ע"י ב"כ מפרקליטות מחוז תל אביב (אזרחי)</w:t>
      </w:r>
    </w:p>
    <w:p w:rsidR="00996302" w:rsidRDefault="00996302" w:rsidP="00996302">
      <w:pPr>
        <w:keepLines w:val="0"/>
        <w:tabs>
          <w:tab w:val="left" w:pos="1466"/>
          <w:tab w:val="left" w:pos="2186"/>
        </w:tabs>
        <w:spacing w:line="240" w:lineRule="auto"/>
        <w:rPr>
          <w:rtl/>
        </w:rPr>
      </w:pPr>
      <w:r>
        <w:rPr>
          <w:rtl/>
        </w:rPr>
        <w:tab/>
      </w:r>
      <w:r>
        <w:rPr>
          <w:rtl/>
        </w:rPr>
        <w:tab/>
      </w:r>
      <w:r>
        <w:rPr>
          <w:rtl/>
        </w:rPr>
        <w:tab/>
      </w:r>
      <w:r>
        <w:rPr>
          <w:rFonts w:hint="cs"/>
          <w:rtl/>
        </w:rPr>
        <w:t>מ</w:t>
      </w:r>
      <w:r>
        <w:rPr>
          <w:rtl/>
        </w:rPr>
        <w:t>דרך מנחם בגין 154, תל אביב</w:t>
      </w:r>
    </w:p>
    <w:p w:rsidR="00996302" w:rsidRPr="001A1F33" w:rsidRDefault="00996302" w:rsidP="00996302">
      <w:pPr>
        <w:keepLines w:val="0"/>
        <w:tabs>
          <w:tab w:val="left" w:pos="1466"/>
          <w:tab w:val="left" w:pos="2186"/>
        </w:tabs>
        <w:spacing w:line="240" w:lineRule="auto"/>
        <w:rPr>
          <w:rtl/>
        </w:rPr>
      </w:pPr>
      <w:r>
        <w:rPr>
          <w:rtl/>
        </w:rPr>
        <w:tab/>
      </w:r>
      <w:r>
        <w:rPr>
          <w:rtl/>
        </w:rPr>
        <w:tab/>
      </w:r>
      <w:r>
        <w:rPr>
          <w:rtl/>
        </w:rPr>
        <w:tab/>
        <w:t>טל': 073-3736416/7 ; פקס': 073-3736483</w:t>
      </w:r>
    </w:p>
    <w:p w:rsidR="00996302" w:rsidRPr="00497175" w:rsidRDefault="00996302" w:rsidP="00996302">
      <w:pPr>
        <w:keepLines w:val="0"/>
        <w:tabs>
          <w:tab w:val="left" w:pos="1466"/>
          <w:tab w:val="left" w:pos="2186"/>
        </w:tabs>
        <w:rPr>
          <w:b/>
          <w:bCs/>
          <w:rtl/>
        </w:rPr>
      </w:pPr>
    </w:p>
    <w:p w:rsidR="00996302" w:rsidRPr="005304E1" w:rsidRDefault="00996302" w:rsidP="00996302">
      <w:pPr>
        <w:keepLines w:val="0"/>
        <w:tabs>
          <w:tab w:val="left" w:pos="2186"/>
        </w:tabs>
        <w:jc w:val="center"/>
        <w:rPr>
          <w:b/>
          <w:bCs/>
          <w:sz w:val="30"/>
          <w:szCs w:val="30"/>
          <w:u w:val="single"/>
          <w:rtl/>
        </w:rPr>
      </w:pPr>
      <w:r w:rsidRPr="0097134B">
        <w:rPr>
          <w:b/>
          <w:bCs/>
          <w:sz w:val="30"/>
          <w:szCs w:val="30"/>
          <w:u w:val="single"/>
          <w:rtl/>
        </w:rPr>
        <w:t>בקשה לדחיית מועדים ולקביעת הערעור לתזכורת בחודש ינואר 2019</w:t>
      </w:r>
    </w:p>
    <w:p w:rsidR="00F91F34" w:rsidRDefault="00996302" w:rsidP="0068354F">
      <w:pPr>
        <w:keepLines w:val="0"/>
        <w:spacing w:before="120"/>
        <w:rPr>
          <w:rFonts w:hint="cs"/>
          <w:b/>
          <w:bCs/>
          <w:sz w:val="24"/>
          <w:rtl/>
        </w:rPr>
      </w:pPr>
      <w:r w:rsidRPr="009E16CE">
        <w:rPr>
          <w:b/>
          <w:bCs/>
          <w:sz w:val="24"/>
          <w:rtl/>
        </w:rPr>
        <w:t xml:space="preserve">בית המשפט הנכבד מתבקש </w:t>
      </w:r>
      <w:r>
        <w:rPr>
          <w:b/>
          <w:bCs/>
          <w:sz w:val="24"/>
          <w:rtl/>
        </w:rPr>
        <w:t>ל</w:t>
      </w:r>
      <w:r w:rsidR="00F91F34">
        <w:rPr>
          <w:rFonts w:hint="cs"/>
          <w:b/>
          <w:bCs/>
          <w:sz w:val="24"/>
          <w:rtl/>
        </w:rPr>
        <w:t>דחות את המועדים אשר נקבעו ב</w:t>
      </w:r>
      <w:r w:rsidR="0068354F">
        <w:rPr>
          <w:rFonts w:hint="cs"/>
          <w:b/>
          <w:bCs/>
          <w:sz w:val="24"/>
          <w:rtl/>
        </w:rPr>
        <w:t xml:space="preserve">מסגרת החלטתו מיום 13.6.2018, </w:t>
      </w:r>
      <w:r w:rsidR="00F91F34">
        <w:rPr>
          <w:rFonts w:hint="cs"/>
          <w:b/>
          <w:bCs/>
          <w:sz w:val="24"/>
          <w:rtl/>
        </w:rPr>
        <w:t xml:space="preserve">ולקבעו לתזכורת במעמד הצדדים בחודש ינואר 2019, בה יובהר לבית המשפט הנכבד </w:t>
      </w:r>
      <w:r w:rsidR="0068354F">
        <w:rPr>
          <w:rFonts w:hint="cs"/>
          <w:b/>
          <w:bCs/>
          <w:sz w:val="24"/>
          <w:rtl/>
        </w:rPr>
        <w:t>באיזה שלב מצויה</w:t>
      </w:r>
      <w:r w:rsidR="00F91F34">
        <w:rPr>
          <w:rFonts w:hint="cs"/>
          <w:b/>
          <w:bCs/>
          <w:sz w:val="24"/>
          <w:rtl/>
        </w:rPr>
        <w:t xml:space="preserve"> החקירה הפלילית בעניינו של המערער ובהתאם </w:t>
      </w:r>
      <w:r w:rsidR="0068354F">
        <w:rPr>
          <w:rFonts w:hint="cs"/>
          <w:b/>
          <w:bCs/>
          <w:sz w:val="24"/>
          <w:rtl/>
        </w:rPr>
        <w:t xml:space="preserve">לכך </w:t>
      </w:r>
      <w:r w:rsidR="00F91F34">
        <w:rPr>
          <w:rFonts w:hint="cs"/>
          <w:b/>
          <w:bCs/>
          <w:sz w:val="24"/>
          <w:rtl/>
        </w:rPr>
        <w:t xml:space="preserve">לקבוע מועדים חדשים לצורך בירור הערעור. </w:t>
      </w:r>
    </w:p>
    <w:p w:rsidR="00996302" w:rsidRDefault="00996302" w:rsidP="00F91F34">
      <w:pPr>
        <w:keepLines w:val="0"/>
        <w:spacing w:before="120"/>
        <w:rPr>
          <w:sz w:val="24"/>
        </w:rPr>
      </w:pPr>
      <w:r>
        <w:rPr>
          <w:sz w:val="24"/>
          <w:rtl/>
        </w:rPr>
        <w:t>כבר עתה יבקש המשיב להדגיש כי הוא ער ומודע היטב לכך שבקשתו זו היא חריגה ויוצאת דופן. עם זאת, בשל כך שעודנה מתנהלת חקירה פלילית בעניינו של המערער, סבור המשיב כי אין מנוס אלא לבקש את הארכת המועד</w:t>
      </w:r>
      <w:r w:rsidR="00F91F34">
        <w:rPr>
          <w:rFonts w:hint="cs"/>
          <w:sz w:val="24"/>
          <w:rtl/>
        </w:rPr>
        <w:t>ים</w:t>
      </w:r>
      <w:r>
        <w:rPr>
          <w:sz w:val="24"/>
          <w:rtl/>
        </w:rPr>
        <w:t xml:space="preserve">, כמוסבר להלן. </w:t>
      </w:r>
    </w:p>
    <w:p w:rsidR="00996302" w:rsidRDefault="007B73F7" w:rsidP="007B73F7">
      <w:pPr>
        <w:keepLines w:val="0"/>
        <w:numPr>
          <w:ilvl w:val="0"/>
          <w:numId w:val="1"/>
        </w:numPr>
        <w:tabs>
          <w:tab w:val="clear" w:pos="720"/>
          <w:tab w:val="left" w:pos="370"/>
          <w:tab w:val="left" w:pos="2160"/>
          <w:tab w:val="left" w:pos="2880"/>
        </w:tabs>
        <w:spacing w:before="240"/>
        <w:ind w:left="370" w:hanging="425"/>
        <w:rPr>
          <w:sz w:val="24"/>
        </w:rPr>
      </w:pPr>
      <w:r>
        <w:rPr>
          <w:rFonts w:hint="cs"/>
          <w:sz w:val="24"/>
          <w:rtl/>
        </w:rPr>
        <w:t>המועד הקבוע להגשת ת</w:t>
      </w:r>
      <w:r w:rsidR="00996302">
        <w:rPr>
          <w:rFonts w:hint="cs"/>
          <w:sz w:val="24"/>
          <w:rtl/>
        </w:rPr>
        <w:t>צהירי עדות ראשית מטע</w:t>
      </w:r>
      <w:r>
        <w:rPr>
          <w:rFonts w:hint="cs"/>
          <w:sz w:val="24"/>
          <w:rtl/>
        </w:rPr>
        <w:t xml:space="preserve">ם המערער הוא </w:t>
      </w:r>
      <w:r w:rsidR="00996302">
        <w:rPr>
          <w:rFonts w:hint="cs"/>
          <w:sz w:val="24"/>
          <w:rtl/>
        </w:rPr>
        <w:t>ביום 1.11.18.</w:t>
      </w:r>
    </w:p>
    <w:p w:rsidR="00996302" w:rsidRDefault="00996302" w:rsidP="007B73F7">
      <w:pPr>
        <w:keepLines w:val="0"/>
        <w:numPr>
          <w:ilvl w:val="0"/>
          <w:numId w:val="1"/>
        </w:numPr>
        <w:tabs>
          <w:tab w:val="clear" w:pos="720"/>
          <w:tab w:val="left" w:pos="370"/>
          <w:tab w:val="left" w:pos="2160"/>
          <w:tab w:val="left" w:pos="2880"/>
        </w:tabs>
        <w:spacing w:before="240"/>
        <w:ind w:left="370" w:hanging="425"/>
        <w:rPr>
          <w:rFonts w:hint="cs"/>
          <w:sz w:val="24"/>
        </w:rPr>
      </w:pPr>
      <w:r>
        <w:rPr>
          <w:rFonts w:hint="cs"/>
          <w:sz w:val="24"/>
          <w:rtl/>
        </w:rPr>
        <w:t>המ</w:t>
      </w:r>
      <w:r w:rsidR="007B73F7">
        <w:rPr>
          <w:rFonts w:hint="cs"/>
          <w:sz w:val="24"/>
          <w:rtl/>
        </w:rPr>
        <w:t xml:space="preserve">ועד הקבוע להגשת </w:t>
      </w:r>
      <w:r>
        <w:rPr>
          <w:rFonts w:hint="cs"/>
          <w:sz w:val="24"/>
          <w:rtl/>
        </w:rPr>
        <w:t>תצהירי עדות ראשית מטע</w:t>
      </w:r>
      <w:r w:rsidR="007B73F7">
        <w:rPr>
          <w:rFonts w:hint="cs"/>
          <w:sz w:val="24"/>
          <w:rtl/>
        </w:rPr>
        <w:t xml:space="preserve">ם המשיב הוא </w:t>
      </w:r>
      <w:r>
        <w:rPr>
          <w:rFonts w:hint="cs"/>
          <w:sz w:val="24"/>
          <w:rtl/>
        </w:rPr>
        <w:t xml:space="preserve">ביום 1.1.19. </w:t>
      </w:r>
    </w:p>
    <w:p w:rsidR="00C54210" w:rsidRDefault="00C54210" w:rsidP="00996302">
      <w:pPr>
        <w:keepLines w:val="0"/>
        <w:numPr>
          <w:ilvl w:val="0"/>
          <w:numId w:val="1"/>
        </w:numPr>
        <w:tabs>
          <w:tab w:val="clear" w:pos="720"/>
          <w:tab w:val="left" w:pos="370"/>
          <w:tab w:val="left" w:pos="2160"/>
          <w:tab w:val="left" w:pos="2880"/>
        </w:tabs>
        <w:spacing w:before="240"/>
        <w:ind w:left="370" w:hanging="425"/>
        <w:rPr>
          <w:sz w:val="24"/>
        </w:rPr>
      </w:pPr>
      <w:r>
        <w:rPr>
          <w:rFonts w:hint="cs"/>
          <w:sz w:val="24"/>
          <w:rtl/>
        </w:rPr>
        <w:t>הערעור קבוע לשמיעת הוכחות ביום 27.1.19 וביום 29.1.19.</w:t>
      </w:r>
    </w:p>
    <w:p w:rsidR="00F91F34" w:rsidRDefault="00F91F34" w:rsidP="0068354F">
      <w:pPr>
        <w:keepLines w:val="0"/>
        <w:numPr>
          <w:ilvl w:val="0"/>
          <w:numId w:val="1"/>
        </w:numPr>
        <w:tabs>
          <w:tab w:val="clear" w:pos="720"/>
          <w:tab w:val="left" w:pos="370"/>
          <w:tab w:val="left" w:pos="2160"/>
          <w:tab w:val="left" w:pos="2880"/>
        </w:tabs>
        <w:spacing w:before="240"/>
        <w:ind w:left="370" w:hanging="425"/>
        <w:rPr>
          <w:rFonts w:hint="cs"/>
          <w:sz w:val="24"/>
        </w:rPr>
      </w:pPr>
      <w:r>
        <w:rPr>
          <w:rFonts w:hint="cs"/>
          <w:sz w:val="24"/>
          <w:rtl/>
        </w:rPr>
        <w:t>כפי שפורט בהודעה המפרשת את נימוקי השומה, בעניינו של המערער מתנהלת חקירה פלילית בקשר עם הנושאים העומדים בלב</w:t>
      </w:r>
      <w:r w:rsidR="0068354F">
        <w:rPr>
          <w:rFonts w:hint="cs"/>
          <w:sz w:val="24"/>
          <w:rtl/>
        </w:rPr>
        <w:t>ן</w:t>
      </w:r>
      <w:r>
        <w:rPr>
          <w:rFonts w:hint="cs"/>
          <w:sz w:val="24"/>
          <w:rtl/>
        </w:rPr>
        <w:t xml:space="preserve"> של השומות שבערעור דנא. בהתאם למה שנמסר </w:t>
      </w:r>
      <w:proofErr w:type="spellStart"/>
      <w:r>
        <w:rPr>
          <w:rFonts w:hint="cs"/>
          <w:sz w:val="24"/>
          <w:rtl/>
        </w:rPr>
        <w:t>לח"מ</w:t>
      </w:r>
      <w:proofErr w:type="spellEnd"/>
      <w:r>
        <w:rPr>
          <w:rFonts w:hint="cs"/>
          <w:sz w:val="24"/>
          <w:rtl/>
        </w:rPr>
        <w:t xml:space="preserve"> ע"י הפרקליטות המלווה את החקירה הנזכרת, הרי שזו </w:t>
      </w:r>
      <w:proofErr w:type="spellStart"/>
      <w:r>
        <w:rPr>
          <w:rFonts w:hint="cs"/>
          <w:sz w:val="24"/>
          <w:rtl/>
        </w:rPr>
        <w:t>היתה</w:t>
      </w:r>
      <w:proofErr w:type="spellEnd"/>
      <w:r>
        <w:rPr>
          <w:rFonts w:hint="cs"/>
          <w:sz w:val="24"/>
          <w:rtl/>
        </w:rPr>
        <w:t xml:space="preserve"> אמורה להסתיים זה מכבר</w:t>
      </w:r>
      <w:r w:rsidR="0068354F">
        <w:rPr>
          <w:rFonts w:hint="cs"/>
          <w:sz w:val="24"/>
          <w:rtl/>
        </w:rPr>
        <w:t>,</w:t>
      </w:r>
      <w:r>
        <w:rPr>
          <w:rFonts w:hint="cs"/>
          <w:sz w:val="24"/>
          <w:rtl/>
        </w:rPr>
        <w:t xml:space="preserve"> ומשכך סברה הח"מ כי לא יהא קושי לנהל את הערעור דנן במסגרת הזמנים שנקצבו בהתאם להחלטת בית המשפט הנכבד מיום 13.6.2018. אלא, שבש</w:t>
      </w:r>
      <w:r w:rsidR="0068354F">
        <w:rPr>
          <w:rFonts w:hint="cs"/>
          <w:sz w:val="24"/>
          <w:rtl/>
        </w:rPr>
        <w:t>ל</w:t>
      </w:r>
      <w:r>
        <w:rPr>
          <w:rFonts w:hint="cs"/>
          <w:sz w:val="24"/>
          <w:rtl/>
        </w:rPr>
        <w:t xml:space="preserve"> השלמת חקירה אשר ביצועה נדרש, התארך משכה באופן שהיא לא הסתיימה עד כה, וכפועל יוצא </w:t>
      </w:r>
      <w:r w:rsidR="0068354F">
        <w:rPr>
          <w:rFonts w:hint="cs"/>
          <w:sz w:val="24"/>
          <w:rtl/>
        </w:rPr>
        <w:t xml:space="preserve">מכך </w:t>
      </w:r>
      <w:r>
        <w:rPr>
          <w:rFonts w:hint="cs"/>
          <w:sz w:val="24"/>
          <w:rtl/>
        </w:rPr>
        <w:t>תוצריה הראייתיים לא הובאו במלואם לידי המשיב</w:t>
      </w:r>
      <w:r w:rsidR="0068354F">
        <w:rPr>
          <w:rFonts w:hint="cs"/>
          <w:sz w:val="24"/>
          <w:rtl/>
        </w:rPr>
        <w:t>,</w:t>
      </w:r>
      <w:r>
        <w:rPr>
          <w:rFonts w:hint="cs"/>
          <w:sz w:val="24"/>
          <w:rtl/>
        </w:rPr>
        <w:t xml:space="preserve"> וכך גם לא הומצאו לידי המערער.  </w:t>
      </w:r>
    </w:p>
    <w:p w:rsidR="00996302" w:rsidRDefault="0068354F" w:rsidP="00F91F34">
      <w:pPr>
        <w:keepLines w:val="0"/>
        <w:numPr>
          <w:ilvl w:val="0"/>
          <w:numId w:val="1"/>
        </w:numPr>
        <w:tabs>
          <w:tab w:val="clear" w:pos="720"/>
          <w:tab w:val="left" w:pos="370"/>
          <w:tab w:val="left" w:pos="2160"/>
          <w:tab w:val="left" w:pos="2880"/>
        </w:tabs>
        <w:spacing w:before="240"/>
        <w:ind w:left="370" w:hanging="425"/>
        <w:rPr>
          <w:rFonts w:hint="cs"/>
          <w:sz w:val="24"/>
        </w:rPr>
      </w:pPr>
      <w:r>
        <w:rPr>
          <w:rFonts w:hint="cs"/>
          <w:sz w:val="24"/>
          <w:rtl/>
        </w:rPr>
        <w:t>לאור העובדה ש</w:t>
      </w:r>
      <w:r w:rsidR="00996302">
        <w:rPr>
          <w:rFonts w:hint="cs"/>
          <w:sz w:val="24"/>
          <w:rtl/>
        </w:rPr>
        <w:t>בימים אלו נמשכת חקירתו הפלילית ש</w:t>
      </w:r>
      <w:r w:rsidR="001E1E3E">
        <w:rPr>
          <w:rFonts w:hint="cs"/>
          <w:sz w:val="24"/>
          <w:rtl/>
        </w:rPr>
        <w:t>ל</w:t>
      </w:r>
      <w:r w:rsidR="00996302">
        <w:rPr>
          <w:rFonts w:hint="cs"/>
          <w:sz w:val="24"/>
          <w:rtl/>
        </w:rPr>
        <w:t xml:space="preserve"> המערער </w:t>
      </w:r>
      <w:r w:rsidR="00F91F34">
        <w:rPr>
          <w:rFonts w:hint="cs"/>
          <w:sz w:val="24"/>
          <w:rtl/>
        </w:rPr>
        <w:t>הנוגעת לענייני</w:t>
      </w:r>
      <w:r w:rsidR="00996302">
        <w:rPr>
          <w:rFonts w:hint="cs"/>
          <w:sz w:val="24"/>
          <w:rtl/>
        </w:rPr>
        <w:t xml:space="preserve">ם העומדים בבסיס הערעור שבכותרת. </w:t>
      </w:r>
      <w:r w:rsidR="001E1E3E">
        <w:rPr>
          <w:rFonts w:hint="cs"/>
          <w:sz w:val="24"/>
          <w:rtl/>
        </w:rPr>
        <w:t xml:space="preserve">לעמדת המשיב, </w:t>
      </w:r>
      <w:r w:rsidR="00996302">
        <w:rPr>
          <w:sz w:val="24"/>
          <w:rtl/>
        </w:rPr>
        <w:t xml:space="preserve">לאותה חקירה </w:t>
      </w:r>
      <w:r w:rsidR="00F91F34">
        <w:rPr>
          <w:rFonts w:hint="cs"/>
          <w:sz w:val="24"/>
          <w:rtl/>
        </w:rPr>
        <w:t xml:space="preserve">עתידים להיות </w:t>
      </w:r>
      <w:r w:rsidR="00996302">
        <w:rPr>
          <w:sz w:val="24"/>
          <w:rtl/>
        </w:rPr>
        <w:t xml:space="preserve">תוצרים ראייתיים </w:t>
      </w:r>
      <w:r w:rsidR="00F91F34">
        <w:rPr>
          <w:rFonts w:hint="cs"/>
          <w:sz w:val="24"/>
          <w:rtl/>
        </w:rPr>
        <w:t>בעלי קשר הדוק לערעור שבכותרת</w:t>
      </w:r>
      <w:r>
        <w:rPr>
          <w:rFonts w:hint="cs"/>
          <w:sz w:val="24"/>
          <w:rtl/>
        </w:rPr>
        <w:t>,</w:t>
      </w:r>
      <w:r w:rsidR="00F91F34">
        <w:rPr>
          <w:rFonts w:hint="cs"/>
          <w:sz w:val="24"/>
          <w:rtl/>
        </w:rPr>
        <w:t xml:space="preserve"> </w:t>
      </w:r>
      <w:r w:rsidR="00996302">
        <w:rPr>
          <w:sz w:val="24"/>
          <w:rtl/>
        </w:rPr>
        <w:t xml:space="preserve">אשר בשלב זה </w:t>
      </w:r>
      <w:r w:rsidR="00F91F34">
        <w:rPr>
          <w:rFonts w:hint="cs"/>
          <w:sz w:val="24"/>
          <w:rtl/>
        </w:rPr>
        <w:t xml:space="preserve">טרם ניתן אישור </w:t>
      </w:r>
      <w:r>
        <w:rPr>
          <w:rFonts w:hint="cs"/>
          <w:sz w:val="24"/>
          <w:rtl/>
        </w:rPr>
        <w:t xml:space="preserve">היחידה החוקרת </w:t>
      </w:r>
      <w:r w:rsidR="00F91F34">
        <w:rPr>
          <w:rFonts w:hint="cs"/>
          <w:sz w:val="24"/>
          <w:rtl/>
        </w:rPr>
        <w:t xml:space="preserve">למסרם לידי המשיב. </w:t>
      </w:r>
    </w:p>
    <w:p w:rsidR="00C54210" w:rsidRDefault="00C54210" w:rsidP="0068354F">
      <w:pPr>
        <w:keepLines w:val="0"/>
        <w:numPr>
          <w:ilvl w:val="0"/>
          <w:numId w:val="1"/>
        </w:numPr>
        <w:tabs>
          <w:tab w:val="clear" w:pos="720"/>
          <w:tab w:val="left" w:pos="370"/>
          <w:tab w:val="left" w:pos="2160"/>
          <w:tab w:val="left" w:pos="2880"/>
        </w:tabs>
        <w:spacing w:before="240"/>
        <w:ind w:left="370" w:hanging="425"/>
        <w:rPr>
          <w:sz w:val="24"/>
        </w:rPr>
      </w:pPr>
      <w:r>
        <w:rPr>
          <w:rFonts w:hint="cs"/>
          <w:sz w:val="24"/>
          <w:rtl/>
        </w:rPr>
        <w:t xml:space="preserve">למען הסדר הטוב </w:t>
      </w:r>
      <w:r w:rsidR="00572779">
        <w:rPr>
          <w:rFonts w:hint="cs"/>
          <w:sz w:val="24"/>
          <w:rtl/>
        </w:rPr>
        <w:t>יוזכר כי הערעור נסוב סביב חשבון בנק בשוויץ של המערער אשר הוא לא דווח עליו ועל הכספים שהופקדו בו לרשות המסים. לטענת המערער, מדובר ב"עמלת תווך" ששולמה לו בגין תפקידו כמתווך בעסקה בין ממשלת אנגולה לבין חברה זרה. בעניין זה מתנהלת חקירה ע"י פקיד שומה חקירות אשר</w:t>
      </w:r>
      <w:r w:rsidR="00F91F34">
        <w:rPr>
          <w:rFonts w:hint="cs"/>
          <w:sz w:val="24"/>
          <w:rtl/>
        </w:rPr>
        <w:t xml:space="preserve"> כאמור, ובניגוד לצפי,</w:t>
      </w:r>
      <w:r w:rsidR="00572779">
        <w:rPr>
          <w:rFonts w:hint="cs"/>
          <w:sz w:val="24"/>
          <w:rtl/>
        </w:rPr>
        <w:t xml:space="preserve"> טרם הושלמה. </w:t>
      </w:r>
    </w:p>
    <w:p w:rsidR="00996302" w:rsidRDefault="001E1E3E" w:rsidP="0068354F">
      <w:pPr>
        <w:keepLines w:val="0"/>
        <w:numPr>
          <w:ilvl w:val="0"/>
          <w:numId w:val="1"/>
        </w:numPr>
        <w:tabs>
          <w:tab w:val="clear" w:pos="720"/>
          <w:tab w:val="left" w:pos="370"/>
          <w:tab w:val="left" w:pos="2160"/>
          <w:tab w:val="left" w:pos="2880"/>
        </w:tabs>
        <w:spacing w:before="240"/>
        <w:ind w:left="370" w:hanging="425"/>
      </w:pPr>
      <w:r>
        <w:rPr>
          <w:rFonts w:hint="cs"/>
          <w:rtl/>
        </w:rPr>
        <w:t xml:space="preserve">יאמר </w:t>
      </w:r>
      <w:r w:rsidR="0068354F">
        <w:rPr>
          <w:rFonts w:hint="cs"/>
          <w:rtl/>
        </w:rPr>
        <w:t xml:space="preserve">עוד </w:t>
      </w:r>
      <w:r>
        <w:rPr>
          <w:rFonts w:hint="cs"/>
          <w:rtl/>
        </w:rPr>
        <w:t xml:space="preserve">כי הח"מ יידעה את </w:t>
      </w:r>
      <w:r w:rsidR="003E33ED">
        <w:rPr>
          <w:rFonts w:hint="cs"/>
          <w:rtl/>
        </w:rPr>
        <w:t>הפרקליטות הפלילית</w:t>
      </w:r>
      <w:r>
        <w:rPr>
          <w:rFonts w:hint="cs"/>
          <w:rtl/>
        </w:rPr>
        <w:t xml:space="preserve"> כי ערעור המס שבכותרת </w:t>
      </w:r>
      <w:r w:rsidR="0068354F">
        <w:rPr>
          <w:rFonts w:hint="cs"/>
          <w:rtl/>
        </w:rPr>
        <w:t xml:space="preserve">תלוי ועומד </w:t>
      </w:r>
      <w:r>
        <w:rPr>
          <w:rFonts w:hint="cs"/>
          <w:rtl/>
        </w:rPr>
        <w:t>ויש לקדמו</w:t>
      </w:r>
      <w:r w:rsidR="0062235C">
        <w:rPr>
          <w:rFonts w:hint="cs"/>
          <w:rtl/>
        </w:rPr>
        <w:t>.</w:t>
      </w:r>
      <w:r>
        <w:rPr>
          <w:rFonts w:hint="cs"/>
          <w:rtl/>
        </w:rPr>
        <w:t xml:space="preserve"> </w:t>
      </w:r>
      <w:r w:rsidR="00996302">
        <w:rPr>
          <w:rtl/>
        </w:rPr>
        <w:t>בנסיבות אלה</w:t>
      </w:r>
      <w:r w:rsidR="00996302" w:rsidRPr="00B71354">
        <w:rPr>
          <w:rtl/>
        </w:rPr>
        <w:t xml:space="preserve"> המשיב סבור כי </w:t>
      </w:r>
      <w:r w:rsidR="003E33ED">
        <w:rPr>
          <w:rFonts w:hint="cs"/>
          <w:rtl/>
        </w:rPr>
        <w:t>נכון יהיה</w:t>
      </w:r>
      <w:r>
        <w:rPr>
          <w:rFonts w:hint="cs"/>
          <w:rtl/>
        </w:rPr>
        <w:t xml:space="preserve"> </w:t>
      </w:r>
      <w:r w:rsidR="00996302">
        <w:rPr>
          <w:rtl/>
        </w:rPr>
        <w:t xml:space="preserve">לדחות את המועדים </w:t>
      </w:r>
      <w:r w:rsidR="003E33ED">
        <w:rPr>
          <w:rFonts w:hint="cs"/>
          <w:rtl/>
        </w:rPr>
        <w:t>שנקבעו ובהם הגשת תצהירי הצדדים ושמיעת הראיות.</w:t>
      </w:r>
      <w:r w:rsidR="00996302">
        <w:rPr>
          <w:rtl/>
        </w:rPr>
        <w:t xml:space="preserve"> </w:t>
      </w:r>
    </w:p>
    <w:p w:rsidR="00996302" w:rsidRPr="00EE1CD5" w:rsidRDefault="00996302" w:rsidP="0068354F">
      <w:pPr>
        <w:keepLines w:val="0"/>
        <w:numPr>
          <w:ilvl w:val="0"/>
          <w:numId w:val="1"/>
        </w:numPr>
        <w:tabs>
          <w:tab w:val="clear" w:pos="720"/>
          <w:tab w:val="left" w:pos="370"/>
          <w:tab w:val="left" w:pos="2160"/>
          <w:tab w:val="left" w:pos="2880"/>
        </w:tabs>
        <w:spacing w:before="240"/>
        <w:ind w:left="370" w:hanging="425"/>
        <w:rPr>
          <w:sz w:val="24"/>
          <w:rtl/>
        </w:rPr>
      </w:pPr>
      <w:r w:rsidRPr="006F2266">
        <w:rPr>
          <w:sz w:val="24"/>
          <w:rtl/>
        </w:rPr>
        <w:t>המשיב סבור כי האיזון הראוי בין</w:t>
      </w:r>
      <w:r w:rsidRPr="00EE1CD5">
        <w:rPr>
          <w:sz w:val="24"/>
          <w:rtl/>
        </w:rPr>
        <w:t xml:space="preserve"> האינטרס</w:t>
      </w:r>
      <w:r w:rsidR="0068354F">
        <w:rPr>
          <w:rFonts w:hint="cs"/>
          <w:sz w:val="24"/>
          <w:rtl/>
        </w:rPr>
        <w:t xml:space="preserve"> שב</w:t>
      </w:r>
      <w:r>
        <w:rPr>
          <w:rFonts w:hint="cs"/>
          <w:sz w:val="24"/>
          <w:rtl/>
        </w:rPr>
        <w:t>מיצוי</w:t>
      </w:r>
      <w:r w:rsidRPr="00EE1CD5">
        <w:rPr>
          <w:sz w:val="24"/>
          <w:rtl/>
        </w:rPr>
        <w:t xml:space="preserve"> החקירה הפלילית נגד המערער מצד אחד, לבין האינטרס הציבורי של קידום ערעורי המס, מצד שני </w:t>
      </w:r>
      <w:r>
        <w:rPr>
          <w:sz w:val="24"/>
          <w:rtl/>
        </w:rPr>
        <w:t>-</w:t>
      </w:r>
      <w:r w:rsidRPr="00EE1CD5">
        <w:rPr>
          <w:sz w:val="24"/>
          <w:rtl/>
        </w:rPr>
        <w:t xml:space="preserve"> תומך בעיכוב </w:t>
      </w:r>
      <w:r w:rsidR="003E33ED">
        <w:rPr>
          <w:rFonts w:hint="cs"/>
          <w:sz w:val="24"/>
          <w:rtl/>
        </w:rPr>
        <w:t xml:space="preserve">לזמן לא רב </w:t>
      </w:r>
      <w:r w:rsidRPr="00EE1CD5">
        <w:rPr>
          <w:sz w:val="24"/>
          <w:rtl/>
        </w:rPr>
        <w:t>של הערעור שבכותרת</w:t>
      </w:r>
      <w:r>
        <w:rPr>
          <w:sz w:val="24"/>
          <w:rtl/>
        </w:rPr>
        <w:t xml:space="preserve">. </w:t>
      </w:r>
      <w:r w:rsidR="007B73F7">
        <w:rPr>
          <w:rFonts w:hint="cs"/>
          <w:sz w:val="24"/>
          <w:rtl/>
        </w:rPr>
        <w:t>המשיב יחזור וידגיש כי החקירה הפלילית נסובה סביב העובדות העומדות בבסיס ערעור המס</w:t>
      </w:r>
      <w:r w:rsidR="0068354F">
        <w:rPr>
          <w:rFonts w:hint="cs"/>
          <w:sz w:val="24"/>
          <w:rtl/>
        </w:rPr>
        <w:t>,</w:t>
      </w:r>
      <w:r w:rsidR="007B73F7">
        <w:rPr>
          <w:rFonts w:hint="cs"/>
          <w:sz w:val="24"/>
          <w:rtl/>
        </w:rPr>
        <w:t xml:space="preserve"> ובשלב זה אין בידי המשיב להציג למערער ולבית המשפט הנכבד את ממצאי החקירה בטרם תסתיים. ראוי כי ממצאים אלו</w:t>
      </w:r>
      <w:r w:rsidR="00470F6A">
        <w:rPr>
          <w:rFonts w:hint="cs"/>
          <w:sz w:val="24"/>
          <w:rtl/>
        </w:rPr>
        <w:t xml:space="preserve"> יעמדו בפני בית המשפט הנכבד בבואו להכריע בשאלה שבמחלוקת העומדת לדיון.</w:t>
      </w:r>
    </w:p>
    <w:p w:rsidR="00996302" w:rsidRPr="00C54210" w:rsidRDefault="00470F6A" w:rsidP="003E33ED">
      <w:pPr>
        <w:keepLines w:val="0"/>
        <w:numPr>
          <w:ilvl w:val="0"/>
          <w:numId w:val="1"/>
        </w:numPr>
        <w:tabs>
          <w:tab w:val="clear" w:pos="720"/>
          <w:tab w:val="left" w:pos="370"/>
          <w:tab w:val="left" w:pos="2160"/>
          <w:tab w:val="left" w:pos="2880"/>
        </w:tabs>
        <w:spacing w:before="240"/>
        <w:ind w:left="370" w:hanging="425"/>
        <w:rPr>
          <w:rFonts w:hint="cs"/>
          <w:b/>
          <w:sz w:val="24"/>
        </w:rPr>
      </w:pPr>
      <w:r>
        <w:rPr>
          <w:rFonts w:hint="cs"/>
          <w:b/>
          <w:bCs/>
          <w:sz w:val="24"/>
          <w:rtl/>
        </w:rPr>
        <w:t xml:space="preserve">בסמוך למועד בו הודיעו </w:t>
      </w:r>
      <w:proofErr w:type="spellStart"/>
      <w:r>
        <w:rPr>
          <w:rFonts w:hint="cs"/>
          <w:b/>
          <w:bCs/>
          <w:sz w:val="24"/>
          <w:rtl/>
        </w:rPr>
        <w:t>לח"מ</w:t>
      </w:r>
      <w:proofErr w:type="spellEnd"/>
      <w:r>
        <w:rPr>
          <w:rFonts w:hint="cs"/>
          <w:b/>
          <w:bCs/>
          <w:sz w:val="24"/>
          <w:rtl/>
        </w:rPr>
        <w:t xml:space="preserve"> כי החקירה הפלילית טרם הסתיימה וכי דרוש פרק זמן נוסף בטרם תסתיים, פנתה היא </w:t>
      </w:r>
      <w:r w:rsidR="007B73F7">
        <w:rPr>
          <w:rFonts w:hint="cs"/>
          <w:b/>
          <w:bCs/>
          <w:sz w:val="24"/>
          <w:rtl/>
        </w:rPr>
        <w:t xml:space="preserve">ביום 23.10.18 </w:t>
      </w:r>
      <w:r w:rsidR="00C54210">
        <w:rPr>
          <w:rFonts w:hint="cs"/>
          <w:b/>
          <w:bCs/>
          <w:sz w:val="24"/>
          <w:rtl/>
        </w:rPr>
        <w:t>אל ב"כ המערער, עו"ד דרור נאור, וביקשה את הסכמת</w:t>
      </w:r>
      <w:r w:rsidR="003E33ED">
        <w:rPr>
          <w:rFonts w:hint="cs"/>
          <w:b/>
          <w:bCs/>
          <w:sz w:val="24"/>
          <w:rtl/>
        </w:rPr>
        <w:t>ו</w:t>
      </w:r>
      <w:r w:rsidR="00C54210">
        <w:rPr>
          <w:rFonts w:hint="cs"/>
          <w:b/>
          <w:bCs/>
          <w:sz w:val="24"/>
          <w:rtl/>
        </w:rPr>
        <w:t xml:space="preserve"> לדחיית המועדים מהטעם המפורט לעיל. </w:t>
      </w:r>
      <w:r w:rsidR="00996302" w:rsidRPr="00B71354">
        <w:rPr>
          <w:b/>
          <w:bCs/>
          <w:sz w:val="24"/>
          <w:rtl/>
        </w:rPr>
        <w:t xml:space="preserve">עו"ד </w:t>
      </w:r>
      <w:r w:rsidR="001E1E3E">
        <w:rPr>
          <w:rFonts w:hint="cs"/>
          <w:b/>
          <w:bCs/>
          <w:sz w:val="24"/>
          <w:rtl/>
        </w:rPr>
        <w:t>דרור נאור</w:t>
      </w:r>
      <w:r w:rsidR="00C54210">
        <w:rPr>
          <w:rFonts w:hint="cs"/>
          <w:b/>
          <w:bCs/>
          <w:sz w:val="24"/>
          <w:rtl/>
        </w:rPr>
        <w:t xml:space="preserve"> הודיע כי עליו לבחון את הבקשה והשיב ביום 28.10.18 כי אין הסכמה לדחיית המועדים, משום שלעמדת המערער אין בחקירה הפלילית כדי להשפיע על הערעור שבכותרת. </w:t>
      </w:r>
    </w:p>
    <w:p w:rsidR="000B2EA2" w:rsidRPr="000B2EA2" w:rsidRDefault="00C54210" w:rsidP="003E33ED">
      <w:pPr>
        <w:keepLines w:val="0"/>
        <w:numPr>
          <w:ilvl w:val="0"/>
          <w:numId w:val="1"/>
        </w:numPr>
        <w:tabs>
          <w:tab w:val="clear" w:pos="720"/>
          <w:tab w:val="left" w:pos="370"/>
          <w:tab w:val="left" w:pos="2160"/>
          <w:tab w:val="left" w:pos="2880"/>
        </w:tabs>
        <w:spacing w:before="240"/>
        <w:ind w:left="370" w:hanging="425"/>
        <w:rPr>
          <w:rFonts w:hint="cs"/>
          <w:b/>
          <w:sz w:val="24"/>
        </w:rPr>
      </w:pPr>
      <w:r>
        <w:rPr>
          <w:rFonts w:hint="cs"/>
          <w:sz w:val="24"/>
          <w:rtl/>
        </w:rPr>
        <w:t xml:space="preserve">המשיב סבור כי הטעם אותו הציג המערער </w:t>
      </w:r>
      <w:r w:rsidR="0068354F">
        <w:rPr>
          <w:rFonts w:hint="cs"/>
          <w:sz w:val="24"/>
          <w:rtl/>
        </w:rPr>
        <w:t xml:space="preserve">לסירובו </w:t>
      </w:r>
      <w:r>
        <w:rPr>
          <w:rFonts w:hint="cs"/>
          <w:sz w:val="24"/>
          <w:rtl/>
        </w:rPr>
        <w:t xml:space="preserve">הוא שגוי </w:t>
      </w:r>
      <w:r>
        <w:rPr>
          <w:sz w:val="24"/>
          <w:rtl/>
        </w:rPr>
        <w:t>–</w:t>
      </w:r>
      <w:r>
        <w:rPr>
          <w:rFonts w:hint="cs"/>
          <w:sz w:val="24"/>
          <w:rtl/>
        </w:rPr>
        <w:t xml:space="preserve"> החקירה הפלילית נסובה סביב אותן עובדות העומדות בבסיס ערעור המס</w:t>
      </w:r>
      <w:r w:rsidR="003E33ED">
        <w:rPr>
          <w:rFonts w:hint="cs"/>
          <w:sz w:val="24"/>
          <w:rtl/>
        </w:rPr>
        <w:t xml:space="preserve"> ולכן </w:t>
      </w:r>
      <w:r>
        <w:rPr>
          <w:rFonts w:hint="cs"/>
          <w:sz w:val="24"/>
          <w:rtl/>
        </w:rPr>
        <w:t>ראוי כי תעמוד בפני בית המשפט הנכבד מלוא התמונה העובדתית בבואו להכריע בערעור המס</w:t>
      </w:r>
      <w:r w:rsidR="003E33ED">
        <w:rPr>
          <w:rFonts w:hint="cs"/>
          <w:sz w:val="24"/>
          <w:rtl/>
        </w:rPr>
        <w:t>.</w:t>
      </w:r>
      <w:r w:rsidR="000B2EA2">
        <w:rPr>
          <w:rFonts w:hint="cs"/>
          <w:sz w:val="24"/>
          <w:rtl/>
        </w:rPr>
        <w:t xml:space="preserve"> </w:t>
      </w:r>
    </w:p>
    <w:p w:rsidR="00C54210" w:rsidRPr="00B71354" w:rsidRDefault="000B2EA2" w:rsidP="0068354F">
      <w:pPr>
        <w:keepLines w:val="0"/>
        <w:numPr>
          <w:ilvl w:val="0"/>
          <w:numId w:val="1"/>
        </w:numPr>
        <w:tabs>
          <w:tab w:val="clear" w:pos="720"/>
          <w:tab w:val="left" w:pos="370"/>
          <w:tab w:val="left" w:pos="2160"/>
          <w:tab w:val="left" w:pos="2880"/>
        </w:tabs>
        <w:spacing w:before="240"/>
        <w:ind w:left="370" w:hanging="425"/>
        <w:rPr>
          <w:b/>
          <w:sz w:val="24"/>
        </w:rPr>
      </w:pPr>
      <w:r>
        <w:rPr>
          <w:rFonts w:hint="cs"/>
          <w:sz w:val="24"/>
          <w:rtl/>
        </w:rPr>
        <w:t>יתרה מכך, במסגרת ישיבת קדם המשפט שהתקיימה ביום 13.6.18</w:t>
      </w:r>
      <w:r w:rsidR="00470F6A">
        <w:rPr>
          <w:rFonts w:hint="cs"/>
          <w:sz w:val="24"/>
          <w:rtl/>
        </w:rPr>
        <w:t xml:space="preserve"> </w:t>
      </w:r>
      <w:r>
        <w:rPr>
          <w:rFonts w:hint="cs"/>
          <w:sz w:val="24"/>
          <w:rtl/>
        </w:rPr>
        <w:t>המליץ בית המשפט הנכבד למערער להציג למשיב ראיות נוספות במטרה לייתר את המחלוק</w:t>
      </w:r>
      <w:r w:rsidR="009E7851">
        <w:rPr>
          <w:rFonts w:hint="cs"/>
          <w:sz w:val="24"/>
          <w:rtl/>
        </w:rPr>
        <w:t>ו</w:t>
      </w:r>
      <w:r>
        <w:rPr>
          <w:rFonts w:hint="cs"/>
          <w:sz w:val="24"/>
          <w:rtl/>
        </w:rPr>
        <w:t xml:space="preserve">ת </w:t>
      </w:r>
      <w:r w:rsidR="0068354F">
        <w:rPr>
          <w:rFonts w:hint="cs"/>
          <w:sz w:val="24"/>
          <w:rtl/>
        </w:rPr>
        <w:t xml:space="preserve">העובדתיות </w:t>
      </w:r>
      <w:r>
        <w:rPr>
          <w:rFonts w:hint="cs"/>
          <w:sz w:val="24"/>
          <w:rtl/>
        </w:rPr>
        <w:t xml:space="preserve">ולמצער לצמצמן. הצדדים נפגשו </w:t>
      </w:r>
      <w:r w:rsidR="0068354F">
        <w:rPr>
          <w:rFonts w:hint="cs"/>
          <w:sz w:val="24"/>
          <w:rtl/>
        </w:rPr>
        <w:t xml:space="preserve">ביניהם </w:t>
      </w:r>
      <w:r>
        <w:rPr>
          <w:rFonts w:hint="cs"/>
          <w:sz w:val="24"/>
          <w:rtl/>
        </w:rPr>
        <w:t xml:space="preserve">במטרה למטרה למצוא מתווה לפשרה, אך עד היום לא המציא המערער מסמכים </w:t>
      </w:r>
      <w:r w:rsidR="0068354F">
        <w:rPr>
          <w:rFonts w:hint="cs"/>
          <w:sz w:val="24"/>
          <w:rtl/>
        </w:rPr>
        <w:t xml:space="preserve">נוספים על אלה </w:t>
      </w:r>
      <w:r>
        <w:rPr>
          <w:rFonts w:hint="cs"/>
          <w:sz w:val="24"/>
          <w:rtl/>
        </w:rPr>
        <w:t>שהוצגו על ידו בהליכי השומה</w:t>
      </w:r>
      <w:r w:rsidR="009E7851">
        <w:rPr>
          <w:rFonts w:hint="cs"/>
          <w:sz w:val="24"/>
          <w:rtl/>
        </w:rPr>
        <w:t>.</w:t>
      </w:r>
      <w:r>
        <w:rPr>
          <w:rFonts w:hint="cs"/>
          <w:sz w:val="24"/>
          <w:rtl/>
        </w:rPr>
        <w:t xml:space="preserve"> </w:t>
      </w:r>
    </w:p>
    <w:p w:rsidR="00996302" w:rsidRPr="003E33ED" w:rsidRDefault="003E33ED" w:rsidP="00996302">
      <w:pPr>
        <w:keepLines w:val="0"/>
        <w:tabs>
          <w:tab w:val="left" w:pos="370"/>
          <w:tab w:val="left" w:pos="2160"/>
          <w:tab w:val="left" w:pos="2880"/>
        </w:tabs>
        <w:spacing w:before="240"/>
        <w:rPr>
          <w:b/>
          <w:bCs/>
          <w:sz w:val="24"/>
        </w:rPr>
      </w:pPr>
      <w:r>
        <w:rPr>
          <w:rFonts w:hint="cs"/>
          <w:b/>
          <w:bCs/>
          <w:sz w:val="24"/>
          <w:rtl/>
        </w:rPr>
        <w:t>אשר על כן מתבקש בית המשפט הנכבד לדחות את המועדים שנקבעו בערעור זה ולקבוע תזכורת במעמד הצדדים בחודש ינואר 2019.</w:t>
      </w:r>
    </w:p>
    <w:p w:rsidR="00996302" w:rsidRPr="003E33ED" w:rsidRDefault="00996302" w:rsidP="00996302">
      <w:pPr>
        <w:keepLines w:val="0"/>
        <w:tabs>
          <w:tab w:val="center" w:pos="6521"/>
        </w:tabs>
        <w:rPr>
          <w:rtl/>
        </w:rPr>
      </w:pPr>
    </w:p>
    <w:p w:rsidR="00996302" w:rsidRDefault="00996302" w:rsidP="00996302">
      <w:pPr>
        <w:keepLines w:val="0"/>
        <w:tabs>
          <w:tab w:val="center" w:pos="6521"/>
        </w:tabs>
        <w:rPr>
          <w:rtl/>
        </w:rPr>
      </w:pPr>
    </w:p>
    <w:p w:rsidR="00996302" w:rsidRDefault="00996302" w:rsidP="00996302">
      <w:pPr>
        <w:keepLines w:val="0"/>
        <w:tabs>
          <w:tab w:val="center" w:pos="1448"/>
          <w:tab w:val="center" w:pos="7883"/>
        </w:tabs>
        <w:spacing w:line="240" w:lineRule="auto"/>
        <w:rPr>
          <w:b/>
          <w:bCs/>
          <w:rtl/>
        </w:rPr>
      </w:pPr>
      <w:r>
        <w:rPr>
          <w:b/>
          <w:bCs/>
          <w:rtl/>
        </w:rPr>
        <w:tab/>
      </w:r>
      <w:r>
        <w:rPr>
          <w:b/>
          <w:bCs/>
          <w:rtl/>
        </w:rPr>
        <w:tab/>
        <w:t>_____________________</w:t>
      </w:r>
    </w:p>
    <w:p w:rsidR="00996302" w:rsidRPr="00FA1810" w:rsidRDefault="00996302" w:rsidP="00996302">
      <w:pPr>
        <w:keepLines w:val="0"/>
        <w:tabs>
          <w:tab w:val="center" w:pos="1448"/>
          <w:tab w:val="left" w:pos="2836"/>
          <w:tab w:val="center" w:pos="7883"/>
        </w:tabs>
        <w:spacing w:line="240" w:lineRule="auto"/>
        <w:rPr>
          <w:b/>
          <w:bCs/>
          <w:rtl/>
        </w:rPr>
      </w:pPr>
      <w:r>
        <w:rPr>
          <w:b/>
          <w:bCs/>
          <w:rtl/>
        </w:rPr>
        <w:tab/>
      </w:r>
      <w:r>
        <w:rPr>
          <w:b/>
          <w:bCs/>
          <w:rtl/>
        </w:rPr>
        <w:tab/>
      </w:r>
      <w:r>
        <w:rPr>
          <w:b/>
          <w:bCs/>
          <w:rtl/>
        </w:rPr>
        <w:tab/>
      </w:r>
      <w:r>
        <w:rPr>
          <w:rFonts w:hint="cs"/>
          <w:b/>
          <w:bCs/>
          <w:rtl/>
        </w:rPr>
        <w:t xml:space="preserve">קרן </w:t>
      </w:r>
      <w:proofErr w:type="spellStart"/>
      <w:r>
        <w:rPr>
          <w:rFonts w:hint="cs"/>
          <w:b/>
          <w:bCs/>
          <w:rtl/>
        </w:rPr>
        <w:t>יזדי</w:t>
      </w:r>
      <w:proofErr w:type="spellEnd"/>
      <w:r>
        <w:rPr>
          <w:rFonts w:hint="cs"/>
          <w:b/>
          <w:bCs/>
          <w:rtl/>
        </w:rPr>
        <w:t>-סופר</w:t>
      </w:r>
      <w:r>
        <w:rPr>
          <w:b/>
          <w:bCs/>
          <w:rtl/>
        </w:rPr>
        <w:t>, עו"ד</w:t>
      </w:r>
    </w:p>
    <w:p w:rsidR="00996302" w:rsidRDefault="00996302" w:rsidP="00996302">
      <w:pPr>
        <w:keepLines w:val="0"/>
        <w:tabs>
          <w:tab w:val="center" w:pos="1448"/>
          <w:tab w:val="center" w:pos="7883"/>
        </w:tabs>
        <w:spacing w:line="240" w:lineRule="auto"/>
        <w:rPr>
          <w:rtl/>
        </w:rPr>
      </w:pPr>
      <w:r>
        <w:rPr>
          <w:b/>
          <w:bCs/>
          <w:rtl/>
        </w:rPr>
        <w:tab/>
      </w:r>
      <w:r>
        <w:rPr>
          <w:b/>
          <w:bCs/>
          <w:rtl/>
        </w:rPr>
        <w:tab/>
        <w:t>ב"כ המשיב</w:t>
      </w:r>
    </w:p>
    <w:p w:rsidR="00996302" w:rsidRPr="007F2217" w:rsidRDefault="003E33ED" w:rsidP="00996302">
      <w:pPr>
        <w:keepLines w:val="0"/>
        <w:rPr>
          <w:sz w:val="15"/>
          <w:szCs w:val="15"/>
          <w:rtl/>
        </w:rPr>
      </w:pPr>
      <w:proofErr w:type="spellStart"/>
      <w:r>
        <w:rPr>
          <w:sz w:val="15"/>
          <w:szCs w:val="15"/>
          <w:rtl/>
        </w:rPr>
        <w:t>פמת</w:t>
      </w:r>
      <w:proofErr w:type="spellEnd"/>
      <w:r>
        <w:rPr>
          <w:sz w:val="15"/>
          <w:szCs w:val="15"/>
          <w:rtl/>
        </w:rPr>
        <w:t xml:space="preserve">''א עמה/1063/12 </w:t>
      </w:r>
    </w:p>
    <w:p w:rsidR="002C1ADD" w:rsidRDefault="002C1ADD">
      <w:pPr>
        <w:rPr>
          <w:rFonts w:hint="cs"/>
          <w:rtl/>
        </w:rPr>
      </w:pPr>
    </w:p>
    <w:sectPr w:rsidR="002C1ADD" w:rsidSect="00A42456">
      <w:headerReference w:type="even" r:id="rId9"/>
      <w:headerReference w:type="default" r:id="rId10"/>
      <w:headerReference w:type="first" r:id="rId11"/>
      <w:endnotePr>
        <w:numFmt w:val="lowerLetter"/>
      </w:endnotePr>
      <w:pgSz w:w="11909" w:h="16834"/>
      <w:pgMar w:top="1077" w:right="1304" w:bottom="1077" w:left="1304" w:header="709" w:footer="709" w:gutter="0"/>
      <w:cols w:space="709"/>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F7" w:rsidRDefault="00E730F7">
      <w:pPr>
        <w:spacing w:line="240" w:lineRule="auto"/>
      </w:pPr>
      <w:r>
        <w:separator/>
      </w:r>
    </w:p>
  </w:endnote>
  <w:endnote w:type="continuationSeparator" w:id="0">
    <w:p w:rsidR="00E730F7" w:rsidRDefault="00E73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F7" w:rsidRDefault="00E730F7">
      <w:pPr>
        <w:spacing w:line="240" w:lineRule="auto"/>
      </w:pPr>
      <w:r>
        <w:separator/>
      </w:r>
    </w:p>
  </w:footnote>
  <w:footnote w:type="continuationSeparator" w:id="0">
    <w:p w:rsidR="00E730F7" w:rsidRDefault="00E730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16" w:rsidRDefault="00FE1F91" w:rsidP="003161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1716" w:rsidRDefault="00E730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16" w:rsidRPr="00A16643" w:rsidRDefault="00FE1F91" w:rsidP="00BA4D8F">
    <w:pPr>
      <w:pStyle w:val="a3"/>
      <w:framePr w:wrap="around" w:vAnchor="text" w:hAnchor="margin" w:xAlign="center" w:y="1"/>
      <w:rPr>
        <w:rStyle w:val="a5"/>
        <w:rtl/>
      </w:rPr>
    </w:pPr>
    <w:r w:rsidRPr="00A16643">
      <w:rPr>
        <w:rStyle w:val="a5"/>
      </w:rPr>
      <w:fldChar w:fldCharType="begin"/>
    </w:r>
    <w:r w:rsidRPr="00A16643">
      <w:rPr>
        <w:rStyle w:val="a5"/>
      </w:rPr>
      <w:instrText xml:space="preserve">PAGE  </w:instrText>
    </w:r>
    <w:r w:rsidRPr="00A16643">
      <w:rPr>
        <w:rStyle w:val="a5"/>
      </w:rPr>
      <w:fldChar w:fldCharType="separate"/>
    </w:r>
    <w:r w:rsidR="000378A5">
      <w:rPr>
        <w:rStyle w:val="a5"/>
        <w:noProof/>
        <w:rtl/>
      </w:rPr>
      <w:t>2</w:t>
    </w:r>
    <w:r w:rsidRPr="00A16643">
      <w:rPr>
        <w:rStyle w:val="a5"/>
      </w:rPr>
      <w:fldChar w:fldCharType="end"/>
    </w:r>
  </w:p>
  <w:p w:rsidR="00911716" w:rsidRPr="00A16643" w:rsidRDefault="00E730F7" w:rsidP="00A16643">
    <w:pPr>
      <w:pStyle w:val="a3"/>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16" w:rsidRDefault="007D7DE8" w:rsidP="0097134B">
    <w:pPr>
      <w:pStyle w:val="a3"/>
      <w:jc w:val="center"/>
      <w:rPr>
        <w:rFonts w:hint="cs"/>
        <w:rtl/>
      </w:rPr>
    </w:pPr>
    <w:proofErr w:type="spellStart"/>
    <w:r>
      <w:rPr>
        <w:rFonts w:hint="cs"/>
        <w:rtl/>
      </w:rPr>
      <w:t>טיוטא</w:t>
    </w:r>
    <w:proofErr w:type="spellEnd"/>
  </w:p>
  <w:p w:rsidR="007D7DE8" w:rsidRDefault="007D7DE8" w:rsidP="0097134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1D02"/>
    <w:multiLevelType w:val="multilevel"/>
    <w:tmpl w:val="A1B89BBE"/>
    <w:lvl w:ilvl="0">
      <w:start w:val="1"/>
      <w:numFmt w:val="decimal"/>
      <w:lvlRestart w:val="0"/>
      <w:lvlText w:val="%1."/>
      <w:lvlJc w:val="left"/>
      <w:pPr>
        <w:tabs>
          <w:tab w:val="num" w:pos="720"/>
        </w:tabs>
        <w:ind w:left="720" w:hanging="720"/>
      </w:pPr>
      <w:rPr>
        <w:rFonts w:cs="David" w:hint="default"/>
        <w:bCs w:val="0"/>
        <w:iCs w:val="0"/>
        <w:color w:val="auto"/>
        <w:sz w:val="24"/>
        <w:szCs w:val="24"/>
      </w:rPr>
    </w:lvl>
    <w:lvl w:ilvl="1">
      <w:start w:val="1"/>
      <w:numFmt w:val="hebrew1"/>
      <w:lvlText w:val="%2."/>
      <w:lvlJc w:val="left"/>
      <w:pPr>
        <w:tabs>
          <w:tab w:val="num" w:pos="1440"/>
        </w:tabs>
        <w:ind w:left="1440" w:hanging="720"/>
      </w:pPr>
      <w:rPr>
        <w:rFonts w:cs="David" w:hint="default"/>
        <w:bCs w:val="0"/>
        <w:iCs w:val="0"/>
        <w:color w:val="auto"/>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color w:val="auto"/>
        <w:sz w:val="24"/>
        <w:szCs w:val="24"/>
      </w:rPr>
    </w:lvl>
    <w:lvl w:ilvl="4">
      <w:start w:val="1"/>
      <w:numFmt w:val="lowerLetter"/>
      <w:lvlText w:val="(%5)"/>
      <w:lvlJc w:val="left"/>
      <w:pPr>
        <w:tabs>
          <w:tab w:val="num" w:pos="1797"/>
        </w:tabs>
        <w:ind w:left="1797" w:hanging="357"/>
      </w:pPr>
      <w:rPr>
        <w:rFonts w:cs="Times New Roman" w:hint="default"/>
      </w:rPr>
    </w:lvl>
    <w:lvl w:ilvl="5">
      <w:start w:val="1"/>
      <w:numFmt w:val="lowerRoman"/>
      <w:lvlText w:val="(%6)"/>
      <w:lvlJc w:val="left"/>
      <w:pPr>
        <w:tabs>
          <w:tab w:val="num" w:pos="2160"/>
        </w:tabs>
        <w:ind w:left="2160" w:hanging="363"/>
      </w:pPr>
      <w:rPr>
        <w:rFonts w:cs="Times New Roman" w:hint="default"/>
      </w:rPr>
    </w:lvl>
    <w:lvl w:ilvl="6">
      <w:start w:val="1"/>
      <w:numFmt w:val="decimal"/>
      <w:lvlText w:val="%7."/>
      <w:lvlJc w:val="left"/>
      <w:pPr>
        <w:tabs>
          <w:tab w:val="num" w:pos="2517"/>
        </w:tabs>
        <w:ind w:left="2517" w:hanging="357"/>
      </w:pPr>
      <w:rPr>
        <w:rFonts w:cs="Times New Roman" w:hint="default"/>
      </w:rPr>
    </w:lvl>
    <w:lvl w:ilvl="7">
      <w:start w:val="1"/>
      <w:numFmt w:val="lowerLetter"/>
      <w:lvlText w:val="%8."/>
      <w:lvlJc w:val="left"/>
      <w:pPr>
        <w:tabs>
          <w:tab w:val="num" w:pos="2880"/>
        </w:tabs>
        <w:ind w:left="2880" w:hanging="363"/>
      </w:pPr>
      <w:rPr>
        <w:rFonts w:cs="Times New Roman" w:hint="default"/>
      </w:rPr>
    </w:lvl>
    <w:lvl w:ilvl="8">
      <w:start w:val="1"/>
      <w:numFmt w:val="lowerRoman"/>
      <w:lvlText w:val="%9."/>
      <w:lvlJc w:val="left"/>
      <w:pPr>
        <w:tabs>
          <w:tab w:val="num" w:pos="3237"/>
        </w:tabs>
        <w:ind w:left="3237" w:hanging="357"/>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02"/>
    <w:rsid w:val="000378A5"/>
    <w:rsid w:val="000B2EA2"/>
    <w:rsid w:val="001E1E3E"/>
    <w:rsid w:val="001F5B08"/>
    <w:rsid w:val="002C1ADD"/>
    <w:rsid w:val="003E33ED"/>
    <w:rsid w:val="00470F6A"/>
    <w:rsid w:val="00572779"/>
    <w:rsid w:val="0062235C"/>
    <w:rsid w:val="0068354F"/>
    <w:rsid w:val="007B73F7"/>
    <w:rsid w:val="007D7DE8"/>
    <w:rsid w:val="00996302"/>
    <w:rsid w:val="009E7851"/>
    <w:rsid w:val="00A42640"/>
    <w:rsid w:val="00C54210"/>
    <w:rsid w:val="00D07118"/>
    <w:rsid w:val="00E730F7"/>
    <w:rsid w:val="00F91F34"/>
    <w:rsid w:val="00FE1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02"/>
    <w:pPr>
      <w:keepLines/>
      <w:bidi/>
      <w:spacing w:after="0" w:line="360" w:lineRule="auto"/>
      <w:jc w:val="both"/>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6302"/>
    <w:pPr>
      <w:tabs>
        <w:tab w:val="center" w:pos="4153"/>
        <w:tab w:val="right" w:pos="8306"/>
      </w:tabs>
    </w:pPr>
  </w:style>
  <w:style w:type="character" w:customStyle="1" w:styleId="a4">
    <w:name w:val="כותרת עליונה תו"/>
    <w:basedOn w:val="a0"/>
    <w:link w:val="a3"/>
    <w:rsid w:val="00996302"/>
    <w:rPr>
      <w:rFonts w:ascii="Times New Roman" w:eastAsia="Times New Roman" w:hAnsi="Times New Roman" w:cs="David"/>
      <w:szCs w:val="24"/>
    </w:rPr>
  </w:style>
  <w:style w:type="character" w:styleId="a5">
    <w:name w:val="page number"/>
    <w:rsid w:val="00996302"/>
    <w:rPr>
      <w:rFonts w:cs="Times New Roman"/>
    </w:rPr>
  </w:style>
  <w:style w:type="paragraph" w:styleId="a6">
    <w:name w:val="footer"/>
    <w:basedOn w:val="a"/>
    <w:link w:val="a7"/>
    <w:uiPriority w:val="99"/>
    <w:unhideWhenUsed/>
    <w:rsid w:val="007D7DE8"/>
    <w:pPr>
      <w:tabs>
        <w:tab w:val="center" w:pos="4153"/>
        <w:tab w:val="right" w:pos="8306"/>
      </w:tabs>
      <w:spacing w:line="240" w:lineRule="auto"/>
    </w:pPr>
  </w:style>
  <w:style w:type="character" w:customStyle="1" w:styleId="a7">
    <w:name w:val="כותרת תחתונה תו"/>
    <w:basedOn w:val="a0"/>
    <w:link w:val="a6"/>
    <w:uiPriority w:val="99"/>
    <w:rsid w:val="007D7DE8"/>
    <w:rPr>
      <w:rFonts w:ascii="Times New Roman" w:eastAsia="Times New Roman" w:hAnsi="Times New Roman" w:cs="Dav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02"/>
    <w:pPr>
      <w:keepLines/>
      <w:bidi/>
      <w:spacing w:after="0" w:line="360" w:lineRule="auto"/>
      <w:jc w:val="both"/>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6302"/>
    <w:pPr>
      <w:tabs>
        <w:tab w:val="center" w:pos="4153"/>
        <w:tab w:val="right" w:pos="8306"/>
      </w:tabs>
    </w:pPr>
  </w:style>
  <w:style w:type="character" w:customStyle="1" w:styleId="a4">
    <w:name w:val="כותרת עליונה תו"/>
    <w:basedOn w:val="a0"/>
    <w:link w:val="a3"/>
    <w:rsid w:val="00996302"/>
    <w:rPr>
      <w:rFonts w:ascii="Times New Roman" w:eastAsia="Times New Roman" w:hAnsi="Times New Roman" w:cs="David"/>
      <w:szCs w:val="24"/>
    </w:rPr>
  </w:style>
  <w:style w:type="character" w:styleId="a5">
    <w:name w:val="page number"/>
    <w:rsid w:val="00996302"/>
    <w:rPr>
      <w:rFonts w:cs="Times New Roman"/>
    </w:rPr>
  </w:style>
  <w:style w:type="paragraph" w:styleId="a6">
    <w:name w:val="footer"/>
    <w:basedOn w:val="a"/>
    <w:link w:val="a7"/>
    <w:uiPriority w:val="99"/>
    <w:unhideWhenUsed/>
    <w:rsid w:val="007D7DE8"/>
    <w:pPr>
      <w:tabs>
        <w:tab w:val="center" w:pos="4153"/>
        <w:tab w:val="right" w:pos="8306"/>
      </w:tabs>
      <w:spacing w:line="240" w:lineRule="auto"/>
    </w:pPr>
  </w:style>
  <w:style w:type="character" w:customStyle="1" w:styleId="a7">
    <w:name w:val="כותרת תחתונה תו"/>
    <w:basedOn w:val="a0"/>
    <w:link w:val="a6"/>
    <w:uiPriority w:val="99"/>
    <w:rsid w:val="007D7DE8"/>
    <w:rPr>
      <w:rFonts w:ascii="Times New Roman" w:eastAsia="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6F66-D9E5-40D3-A557-C6B382F3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653</Words>
  <Characters>3266</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Yazdi</dc:creator>
  <cp:lastModifiedBy>Keren Yazdi</cp:lastModifiedBy>
  <cp:revision>2</cp:revision>
  <cp:lastPrinted>2018-10-28T10:50:00Z</cp:lastPrinted>
  <dcterms:created xsi:type="dcterms:W3CDTF">2018-10-24T08:47:00Z</dcterms:created>
  <dcterms:modified xsi:type="dcterms:W3CDTF">2018-10-28T11:59:00Z</dcterms:modified>
</cp:coreProperties>
</file>