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1D" w:rsidRPr="00710AC3" w:rsidRDefault="0061281D" w:rsidP="007C1193">
      <w:pPr>
        <w:spacing w:before="120" w:after="120"/>
        <w:jc w:val="right"/>
        <w:rPr>
          <w:rFonts w:asciiTheme="majorBidi" w:hAnsiTheme="majorBidi" w:cs="David"/>
          <w:sz w:val="24"/>
          <w:szCs w:val="24"/>
          <w:highlight w:val="yellow"/>
          <w:rtl/>
        </w:rPr>
      </w:pPr>
      <w:proofErr w:type="spellStart"/>
      <w:r w:rsidRPr="00710AC3">
        <w:rPr>
          <w:rFonts w:asciiTheme="majorBidi" w:hAnsiTheme="majorBidi" w:cs="David" w:hint="cs"/>
          <w:sz w:val="24"/>
          <w:szCs w:val="24"/>
          <w:highlight w:val="yellow"/>
          <w:rtl/>
        </w:rPr>
        <w:t>יג</w:t>
      </w:r>
      <w:proofErr w:type="spellEnd"/>
      <w:r w:rsidRPr="00710AC3">
        <w:rPr>
          <w:rFonts w:asciiTheme="majorBidi" w:hAnsiTheme="majorBidi" w:cs="David" w:hint="cs"/>
          <w:sz w:val="24"/>
          <w:szCs w:val="24"/>
          <w:highlight w:val="yellow"/>
          <w:rtl/>
        </w:rPr>
        <w:t>'  טבת  תשע"ח</w:t>
      </w:r>
    </w:p>
    <w:p w:rsidR="0061281D" w:rsidRPr="0061281D" w:rsidRDefault="0061281D" w:rsidP="007C1193">
      <w:pPr>
        <w:spacing w:before="120" w:after="120"/>
        <w:jc w:val="right"/>
        <w:rPr>
          <w:rFonts w:asciiTheme="majorBidi" w:hAnsiTheme="majorBidi" w:cs="David"/>
          <w:sz w:val="24"/>
          <w:szCs w:val="24"/>
          <w:rtl/>
        </w:rPr>
      </w:pPr>
      <w:r w:rsidRPr="00710AC3">
        <w:rPr>
          <w:rFonts w:asciiTheme="majorBidi" w:hAnsiTheme="majorBidi" w:cs="David" w:hint="cs"/>
          <w:sz w:val="24"/>
          <w:szCs w:val="24"/>
          <w:highlight w:val="yellow"/>
          <w:rtl/>
        </w:rPr>
        <w:t>31 בדצמבר 2017</w:t>
      </w:r>
    </w:p>
    <w:p w:rsidR="00FA0C8B" w:rsidRPr="00E3594C" w:rsidRDefault="00FA0C8B" w:rsidP="007C1193">
      <w:pPr>
        <w:spacing w:before="120" w:after="120" w:line="360" w:lineRule="auto"/>
        <w:jc w:val="center"/>
        <w:rPr>
          <w:rFonts w:asciiTheme="majorBidi" w:hAnsiTheme="majorBidi" w:cs="David"/>
          <w:b/>
          <w:bCs/>
          <w:sz w:val="48"/>
          <w:szCs w:val="48"/>
          <w:rtl/>
        </w:rPr>
      </w:pPr>
      <w:r w:rsidRPr="00E3594C">
        <w:rPr>
          <w:rFonts w:asciiTheme="majorBidi" w:hAnsiTheme="majorBidi" w:cs="David"/>
          <w:b/>
          <w:bCs/>
          <w:sz w:val="48"/>
          <w:szCs w:val="48"/>
          <w:rtl/>
        </w:rPr>
        <w:t>דו</w:t>
      </w:r>
      <w:r w:rsidR="00D45A70" w:rsidRPr="00E3594C">
        <w:rPr>
          <w:rFonts w:asciiTheme="majorBidi" w:hAnsiTheme="majorBidi" w:cs="David" w:hint="cs"/>
          <w:b/>
          <w:bCs/>
          <w:sz w:val="48"/>
          <w:szCs w:val="48"/>
          <w:rtl/>
        </w:rPr>
        <w:t>"</w:t>
      </w:r>
      <w:r w:rsidRPr="00E3594C">
        <w:rPr>
          <w:rFonts w:asciiTheme="majorBidi" w:hAnsiTheme="majorBidi" w:cs="David"/>
          <w:b/>
          <w:bCs/>
          <w:sz w:val="48"/>
          <w:szCs w:val="48"/>
          <w:rtl/>
        </w:rPr>
        <w:t>ח הישגים שנתי</w:t>
      </w:r>
    </w:p>
    <w:p w:rsidR="00FA0C8B" w:rsidRPr="00E3594C" w:rsidRDefault="00D45A70" w:rsidP="007C1193">
      <w:pPr>
        <w:spacing w:before="120" w:after="120" w:line="360" w:lineRule="auto"/>
        <w:jc w:val="center"/>
        <w:rPr>
          <w:rFonts w:asciiTheme="majorBidi" w:hAnsiTheme="majorBidi" w:cs="David"/>
          <w:sz w:val="40"/>
          <w:szCs w:val="40"/>
          <w:rtl/>
        </w:rPr>
      </w:pPr>
      <w:r>
        <w:rPr>
          <w:rFonts w:asciiTheme="majorBidi" w:hAnsiTheme="majorBidi" w:cs="David" w:hint="cs"/>
          <w:sz w:val="40"/>
          <w:szCs w:val="40"/>
          <w:rtl/>
        </w:rPr>
        <w:t xml:space="preserve">סיכום </w:t>
      </w:r>
      <w:r w:rsidR="00FA0C8B" w:rsidRPr="00FA0C8B">
        <w:rPr>
          <w:rFonts w:asciiTheme="majorBidi" w:hAnsiTheme="majorBidi" w:cs="David"/>
          <w:sz w:val="40"/>
          <w:szCs w:val="40"/>
          <w:rtl/>
        </w:rPr>
        <w:t>הישגים עיקריים של המחלקה למשפט בין-לאומי לשנת 2017</w:t>
      </w:r>
    </w:p>
    <w:p w:rsidR="00FA0C8B" w:rsidRPr="00FA0C8B" w:rsidRDefault="00FA0C8B" w:rsidP="007C1193">
      <w:pPr>
        <w:pStyle w:val="a3"/>
        <w:numPr>
          <w:ilvl w:val="0"/>
          <w:numId w:val="5"/>
        </w:numPr>
        <w:spacing w:before="120" w:after="120" w:line="360" w:lineRule="auto"/>
        <w:ind w:left="357" w:hanging="357"/>
        <w:contextualSpacing w:val="0"/>
        <w:jc w:val="both"/>
        <w:rPr>
          <w:rFonts w:asciiTheme="majorBidi" w:hAnsiTheme="majorBidi" w:cs="David"/>
          <w:b/>
          <w:bCs/>
          <w:color w:val="0070C0"/>
          <w:sz w:val="28"/>
          <w:szCs w:val="28"/>
          <w:rtl/>
        </w:rPr>
      </w:pPr>
      <w:r w:rsidRPr="00FA0C8B">
        <w:rPr>
          <w:rFonts w:asciiTheme="majorBidi" w:hAnsiTheme="majorBidi" w:cs="David"/>
          <w:b/>
          <w:bCs/>
          <w:color w:val="0070C0"/>
          <w:sz w:val="28"/>
          <w:szCs w:val="28"/>
          <w:rtl/>
        </w:rPr>
        <w:t>בית הדין הפלילי הבין-לאומי (</w:t>
      </w:r>
      <w:r w:rsidRPr="00FA0C8B">
        <w:rPr>
          <w:rFonts w:asciiTheme="majorBidi" w:hAnsiTheme="majorBidi" w:cs="David"/>
          <w:b/>
          <w:bCs/>
          <w:color w:val="0070C0"/>
          <w:sz w:val="28"/>
          <w:szCs w:val="28"/>
        </w:rPr>
        <w:t>ICC</w:t>
      </w:r>
      <w:r w:rsidRPr="00FA0C8B">
        <w:rPr>
          <w:rFonts w:asciiTheme="majorBidi" w:hAnsiTheme="majorBidi" w:cs="David"/>
          <w:b/>
          <w:bCs/>
          <w:color w:val="0070C0"/>
          <w:sz w:val="28"/>
          <w:szCs w:val="28"/>
          <w:rtl/>
        </w:rPr>
        <w:t>): שיח עם תובעת בית הדין בנושא</w:t>
      </w:r>
      <w:r w:rsidR="00596992">
        <w:rPr>
          <w:rFonts w:asciiTheme="majorBidi" w:hAnsiTheme="majorBidi" w:cs="David" w:hint="cs"/>
          <w:b/>
          <w:bCs/>
          <w:color w:val="0070C0"/>
          <w:sz w:val="28"/>
          <w:szCs w:val="28"/>
          <w:rtl/>
        </w:rPr>
        <w:t>י</w:t>
      </w:r>
      <w:r w:rsidRPr="00FA0C8B">
        <w:rPr>
          <w:rFonts w:asciiTheme="majorBidi" w:hAnsiTheme="majorBidi" w:cs="David"/>
          <w:b/>
          <w:bCs/>
          <w:color w:val="0070C0"/>
          <w:sz w:val="28"/>
          <w:szCs w:val="28"/>
          <w:rtl/>
        </w:rPr>
        <w:t xml:space="preserve"> סמכות שיפוט</w:t>
      </w:r>
    </w:p>
    <w:p w:rsidR="00FA0C8B" w:rsidRPr="00FA0C8B" w:rsidRDefault="00FA0C8B" w:rsidP="0060046E">
      <w:pPr>
        <w:spacing w:before="120" w:after="120" w:line="360" w:lineRule="auto"/>
        <w:jc w:val="both"/>
        <w:rPr>
          <w:rFonts w:asciiTheme="majorBidi" w:hAnsiTheme="majorBidi" w:cs="David"/>
          <w:sz w:val="24"/>
          <w:szCs w:val="24"/>
          <w:rtl/>
        </w:rPr>
      </w:pPr>
      <w:r w:rsidRPr="00FA0C8B">
        <w:rPr>
          <w:rFonts w:asciiTheme="majorBidi" w:hAnsiTheme="majorBidi" w:cs="David"/>
          <w:b/>
          <w:bCs/>
          <w:color w:val="FF0000"/>
          <w:sz w:val="24"/>
          <w:szCs w:val="24"/>
          <w:rtl/>
        </w:rPr>
        <w:t>** רגיש, לא להפצה **</w:t>
      </w:r>
      <w:r w:rsidRPr="00FA0C8B">
        <w:rPr>
          <w:rFonts w:asciiTheme="majorBidi" w:hAnsiTheme="majorBidi" w:cs="David"/>
          <w:color w:val="FF0000"/>
          <w:sz w:val="24"/>
          <w:szCs w:val="24"/>
          <w:rtl/>
        </w:rPr>
        <w:t xml:space="preserve"> </w:t>
      </w:r>
      <w:r w:rsidRPr="00FA0C8B">
        <w:rPr>
          <w:rFonts w:asciiTheme="majorBidi" w:hAnsiTheme="majorBidi" w:cs="David"/>
          <w:sz w:val="24"/>
          <w:szCs w:val="24"/>
          <w:rtl/>
        </w:rPr>
        <w:t>בתחילת שנת 2015, הרשות הפלסטינית ביקשה להצטרף כמדינה חברה לבית הדין, וכן להעניק סמכות לבית הדין מאז חודש יוני 2014. בעקבות מהלכים אלה, הודיעה תובעת בית הדין על פתיחה של בדיקה מקדמית כדי לברר אם יש בסיס לפתוח בחקירה. בחודש יולי 2015 אישר ראש הממשלה פתיחה בדיאלוג דיסקרטי עם משרד התובעת בעניין הבדיקה המקדמית, במסגרתו ישראל מציגה את טענותיה המשפטיות השוללות את סמכותה של התובעת להורות על פתיחה בחקירה. המחלקה נוטלת תפקיד מרכזי בדיאלוג זה, שהמשיך להתנהל במהלך שנת 2017. בחודש דצמבר 2017, פרסם משרד התובעת דו"ח המסכם את הבדיקות שהתקיימו על ידו בשנה זו. בדומה לדו"חות השנים הקודמות, הדו"ח כולל אמירות שמהן עולה שהתובעת טרם הגיעה למסקנות בנושאים של סמכות שיפוט טריטוריאלית ופרסונאלית. כמו כן, בדו"ח לשנת 2017, לראשונה, התובעת בחרה לפרט מספר סוגיות משפטיות שאותן הגדירה "חדשניות ומ</w:t>
      </w:r>
      <w:r w:rsidR="00596992">
        <w:rPr>
          <w:rFonts w:asciiTheme="majorBidi" w:hAnsiTheme="majorBidi" w:cs="David" w:hint="cs"/>
          <w:sz w:val="24"/>
          <w:szCs w:val="24"/>
          <w:rtl/>
        </w:rPr>
        <w:t>ו</w:t>
      </w:r>
      <w:r w:rsidRPr="00FA0C8B">
        <w:rPr>
          <w:rFonts w:asciiTheme="majorBidi" w:hAnsiTheme="majorBidi" w:cs="David"/>
          <w:sz w:val="24"/>
          <w:szCs w:val="24"/>
          <w:rtl/>
        </w:rPr>
        <w:t xml:space="preserve">רכבות", ובכללן: שאלות בדבר מעמדם המשפטי של השטחים והדין החל בהם, תוך אזכור טענותיה של מדינת ישראל הדוחות את העמדה הנשמעת מפי גורמים בזירה הבין-לאומית לפיה מדובר בשטחים כבושים שחלה בהן </w:t>
      </w:r>
      <w:r w:rsidR="00596992">
        <w:rPr>
          <w:rFonts w:asciiTheme="majorBidi" w:hAnsiTheme="majorBidi" w:cs="David" w:hint="cs"/>
          <w:sz w:val="24"/>
          <w:szCs w:val="24"/>
          <w:rtl/>
        </w:rPr>
        <w:t>אמנת</w:t>
      </w:r>
      <w:r w:rsidRPr="00FA0C8B">
        <w:rPr>
          <w:rFonts w:asciiTheme="majorBidi" w:hAnsiTheme="majorBidi" w:cs="David"/>
          <w:sz w:val="24"/>
          <w:szCs w:val="24"/>
          <w:rtl/>
        </w:rPr>
        <w:t xml:space="preserve"> ג'נבה הרביעית; הקושי בסיווג המשפטי של העימות המזוין ברצועת עזה, הרלוונטי לצורך ביסוס הטענה לקיומה של סמכות לבית הדין על פשעים מסוימים הקיימים בסכסוך בין-לאומי בלבד; וכן קשיים המתעוררים אגב יישום ופרשנות של עבירות החלות בלחימה, שטרם נדונו בפסיקה ושאין לגביהן הסכמה רחבה בזירה הבין-לאומית. בחלוף כמעט שלוש שנים מפתיחת הבדיקה המקדמית, התובעת ציינה שבכוונתה להכריע בסוגיות מקדמיות אלה תוך פרק זמן סביר. </w:t>
      </w:r>
      <w:r w:rsidRPr="00FA0C8B">
        <w:rPr>
          <w:rFonts w:asciiTheme="majorBidi" w:hAnsiTheme="majorBidi" w:cs="David"/>
          <w:b/>
          <w:bCs/>
          <w:color w:val="FF0000"/>
          <w:sz w:val="24"/>
          <w:szCs w:val="24"/>
          <w:rtl/>
        </w:rPr>
        <w:t>** רגיש, לא להפצה **</w:t>
      </w:r>
    </w:p>
    <w:p w:rsidR="00FA0C8B" w:rsidRPr="00FA0C8B" w:rsidRDefault="00FA0C8B" w:rsidP="007C1193">
      <w:pPr>
        <w:pStyle w:val="a3"/>
        <w:numPr>
          <w:ilvl w:val="0"/>
          <w:numId w:val="5"/>
        </w:numPr>
        <w:spacing w:before="120" w:after="120" w:line="360" w:lineRule="auto"/>
        <w:contextualSpacing w:val="0"/>
        <w:jc w:val="both"/>
        <w:rPr>
          <w:rFonts w:asciiTheme="majorBidi" w:hAnsiTheme="majorBidi" w:cs="David"/>
          <w:b/>
          <w:bCs/>
          <w:color w:val="0070C0"/>
          <w:sz w:val="28"/>
          <w:szCs w:val="28"/>
          <w:rtl/>
        </w:rPr>
      </w:pPr>
      <w:r w:rsidRPr="00FA0C8B">
        <w:rPr>
          <w:rFonts w:asciiTheme="majorBidi" w:hAnsiTheme="majorBidi" w:cs="David" w:hint="cs"/>
          <w:b/>
          <w:bCs/>
          <w:color w:val="0070C0"/>
          <w:sz w:val="28"/>
          <w:szCs w:val="28"/>
          <w:rtl/>
        </w:rPr>
        <w:t>בית הדין הפלילי הבין-לאומי (</w:t>
      </w:r>
      <w:r w:rsidRPr="00FA0C8B">
        <w:rPr>
          <w:rFonts w:asciiTheme="majorBidi" w:hAnsiTheme="majorBidi" w:cs="David"/>
          <w:b/>
          <w:bCs/>
          <w:color w:val="0070C0"/>
          <w:sz w:val="28"/>
          <w:szCs w:val="28"/>
        </w:rPr>
        <w:t>ICC</w:t>
      </w:r>
      <w:r w:rsidRPr="00FA0C8B">
        <w:rPr>
          <w:rFonts w:asciiTheme="majorBidi" w:hAnsiTheme="majorBidi" w:cs="David" w:hint="cs"/>
          <w:b/>
          <w:bCs/>
          <w:color w:val="0070C0"/>
          <w:sz w:val="28"/>
          <w:szCs w:val="28"/>
          <w:rtl/>
        </w:rPr>
        <w:t xml:space="preserve">): </w:t>
      </w:r>
      <w:r w:rsidRPr="00FA0C8B">
        <w:rPr>
          <w:rFonts w:asciiTheme="majorBidi" w:hAnsiTheme="majorBidi" w:cs="David"/>
          <w:b/>
          <w:bCs/>
          <w:color w:val="0070C0"/>
          <w:sz w:val="28"/>
          <w:szCs w:val="28"/>
          <w:rtl/>
        </w:rPr>
        <w:t>סגירת הבדיקה המקדמית בעניין אירוע המשט</w:t>
      </w:r>
    </w:p>
    <w:p w:rsidR="00FA0C8B" w:rsidRDefault="00FA0C8B" w:rsidP="00FF6286">
      <w:pPr>
        <w:spacing w:before="120" w:after="120" w:line="360" w:lineRule="auto"/>
        <w:jc w:val="both"/>
        <w:rPr>
          <w:rFonts w:asciiTheme="majorBidi" w:hAnsiTheme="majorBidi" w:cs="David"/>
          <w:color w:val="FF0000"/>
          <w:sz w:val="24"/>
          <w:szCs w:val="24"/>
          <w:rtl/>
        </w:rPr>
      </w:pPr>
      <w:r w:rsidRPr="00FA0C8B">
        <w:rPr>
          <w:rFonts w:asciiTheme="majorBidi" w:hAnsiTheme="majorBidi" w:cs="David"/>
          <w:b/>
          <w:bCs/>
          <w:color w:val="FF0000"/>
          <w:sz w:val="24"/>
          <w:szCs w:val="24"/>
          <w:rtl/>
        </w:rPr>
        <w:t>** רגיש, לא להפצה **</w:t>
      </w:r>
      <w:r>
        <w:rPr>
          <w:rFonts w:asciiTheme="majorBidi" w:hAnsiTheme="majorBidi" w:cs="David" w:hint="cs"/>
          <w:color w:val="FF0000"/>
          <w:sz w:val="24"/>
          <w:szCs w:val="24"/>
          <w:rtl/>
        </w:rPr>
        <w:t xml:space="preserve"> </w:t>
      </w:r>
      <w:r w:rsidRPr="00FA0C8B">
        <w:rPr>
          <w:rFonts w:asciiTheme="majorBidi" w:hAnsiTheme="majorBidi" w:cs="David"/>
          <w:sz w:val="24"/>
          <w:szCs w:val="24"/>
          <w:rtl/>
        </w:rPr>
        <w:t xml:space="preserve">בשנת 2013, הפנתה איי קומורו את אירוע המשט </w:t>
      </w:r>
      <w:r w:rsidR="006536BC">
        <w:rPr>
          <w:rFonts w:asciiTheme="majorBidi" w:hAnsiTheme="majorBidi" w:cs="David" w:hint="cs"/>
          <w:sz w:val="24"/>
          <w:szCs w:val="24"/>
          <w:rtl/>
        </w:rPr>
        <w:t xml:space="preserve">הימי לעזה </w:t>
      </w:r>
      <w:r w:rsidRPr="00FA0C8B">
        <w:rPr>
          <w:rFonts w:asciiTheme="majorBidi" w:hAnsiTheme="majorBidi" w:cs="David"/>
          <w:sz w:val="24"/>
          <w:szCs w:val="24"/>
          <w:rtl/>
        </w:rPr>
        <w:t xml:space="preserve">לבית הדין. בעקבות זאת, תובעת בית הדין פתחה בבדיקה מקדמית. המחלקה ליוותה בדיקה מקדמית זו, כחלק מהצוות הבין-משרדי המופקד על הטיפול בהליכים בבית הדין. במסגרת זו, ננקטו פעולות </w:t>
      </w:r>
      <w:r w:rsidRPr="00FA0C8B">
        <w:rPr>
          <w:rFonts w:asciiTheme="majorBidi" w:hAnsiTheme="majorBidi" w:cs="David"/>
          <w:sz w:val="24"/>
          <w:szCs w:val="24"/>
          <w:rtl/>
        </w:rPr>
        <w:lastRenderedPageBreak/>
        <w:t>שונות על</w:t>
      </w:r>
      <w:r w:rsidR="00245442">
        <w:rPr>
          <w:rFonts w:asciiTheme="majorBidi" w:hAnsiTheme="majorBidi" w:cs="David" w:hint="cs"/>
          <w:sz w:val="24"/>
          <w:szCs w:val="24"/>
          <w:rtl/>
        </w:rPr>
        <w:t xml:space="preserve"> </w:t>
      </w:r>
      <w:r w:rsidRPr="00FA0C8B">
        <w:rPr>
          <w:rFonts w:asciiTheme="majorBidi" w:hAnsiTheme="majorBidi" w:cs="David"/>
          <w:sz w:val="24"/>
          <w:szCs w:val="24"/>
          <w:rtl/>
        </w:rPr>
        <w:t xml:space="preserve">מנת להביא לסגירת ההליך, ואכן בסוף שנת 2014 החליטה התובעת שלא לפתוח בחקירה בנוגע לתקרית, בנימוק שלא מדובר במעשים המגיעים לדרגת החומרה שיכולה להצדיק את התערבות בית הדין. החלטה זו </w:t>
      </w:r>
      <w:proofErr w:type="spellStart"/>
      <w:r w:rsidRPr="00FA0C8B">
        <w:rPr>
          <w:rFonts w:asciiTheme="majorBidi" w:hAnsiTheme="majorBidi" w:cs="David"/>
          <w:sz w:val="24"/>
          <w:szCs w:val="24"/>
          <w:rtl/>
        </w:rPr>
        <w:t>היתה</w:t>
      </w:r>
      <w:proofErr w:type="spellEnd"/>
      <w:r w:rsidRPr="00FA0C8B">
        <w:rPr>
          <w:rFonts w:asciiTheme="majorBidi" w:hAnsiTheme="majorBidi" w:cs="David"/>
          <w:sz w:val="24"/>
          <w:szCs w:val="24"/>
          <w:rtl/>
        </w:rPr>
        <w:t xml:space="preserve"> נתונה להליך של ביקורת שיפוטית, ובשנת 2015 הורה מותב של שלושה שופטים (בדעת רוב) לתובעת לבחון מחדש את החלטתה בנימוק ששגתה באופן הניתוח שלה את מבחן החומרה. על אף מסע לחצים שהתנהל על ידי גורמים אנטי</w:t>
      </w:r>
      <w:r w:rsidR="00FF6286">
        <w:rPr>
          <w:rFonts w:asciiTheme="majorBidi" w:hAnsiTheme="majorBidi" w:cs="David" w:hint="cs"/>
          <w:sz w:val="24"/>
          <w:szCs w:val="24"/>
          <w:rtl/>
        </w:rPr>
        <w:t>-</w:t>
      </w:r>
      <w:r w:rsidR="00FF6286">
        <w:rPr>
          <w:rFonts w:asciiTheme="majorBidi" w:hAnsiTheme="majorBidi" w:cs="David"/>
          <w:sz w:val="24"/>
          <w:szCs w:val="24"/>
          <w:rtl/>
        </w:rPr>
        <w:t>ישראל</w:t>
      </w:r>
      <w:r w:rsidR="00FF6286">
        <w:rPr>
          <w:rFonts w:asciiTheme="majorBidi" w:hAnsiTheme="majorBidi" w:cs="David" w:hint="cs"/>
          <w:sz w:val="24"/>
          <w:szCs w:val="24"/>
          <w:rtl/>
        </w:rPr>
        <w:t>י</w:t>
      </w:r>
      <w:r w:rsidR="00FF6286">
        <w:rPr>
          <w:rFonts w:asciiTheme="majorBidi" w:hAnsiTheme="majorBidi" w:cs="David"/>
          <w:sz w:val="24"/>
          <w:szCs w:val="24"/>
          <w:rtl/>
        </w:rPr>
        <w:t>י</w:t>
      </w:r>
      <w:r w:rsidRPr="00FA0C8B">
        <w:rPr>
          <w:rFonts w:asciiTheme="majorBidi" w:hAnsiTheme="majorBidi" w:cs="David"/>
          <w:sz w:val="24"/>
          <w:szCs w:val="24"/>
          <w:rtl/>
        </w:rPr>
        <w:t xml:space="preserve">ם שונים, ביום 29.11.17 התובעת פרסמה החלטה מפורטת, המסכמת את תהליך השקילה מחדש, ובה התובעת מחליטה בשנית </w:t>
      </w:r>
      <w:r w:rsidR="00596992">
        <w:rPr>
          <w:rFonts w:asciiTheme="majorBidi" w:hAnsiTheme="majorBidi" w:cs="David" w:hint="cs"/>
          <w:sz w:val="24"/>
          <w:szCs w:val="24"/>
          <w:rtl/>
        </w:rPr>
        <w:t xml:space="preserve">ובאופן סופי </w:t>
      </w:r>
      <w:r w:rsidRPr="00FA0C8B">
        <w:rPr>
          <w:rFonts w:asciiTheme="majorBidi" w:hAnsiTheme="majorBidi" w:cs="David"/>
          <w:sz w:val="24"/>
          <w:szCs w:val="24"/>
          <w:rtl/>
        </w:rPr>
        <w:t xml:space="preserve">כי אין הצדקה לפתיחה בחקירה, והיא עומדת על פרשנותה את מבחן החומרה. </w:t>
      </w:r>
      <w:r w:rsidRPr="00FA0C8B">
        <w:rPr>
          <w:rFonts w:asciiTheme="majorBidi" w:hAnsiTheme="majorBidi" w:cs="David"/>
          <w:b/>
          <w:bCs/>
          <w:color w:val="FF0000"/>
          <w:sz w:val="24"/>
          <w:szCs w:val="24"/>
          <w:rtl/>
        </w:rPr>
        <w:t>** רגיש, לא להפצה **</w:t>
      </w:r>
    </w:p>
    <w:p w:rsidR="006A3DF0" w:rsidRPr="0016225D" w:rsidRDefault="006A3DF0" w:rsidP="006A3DF0">
      <w:pPr>
        <w:pStyle w:val="a3"/>
        <w:numPr>
          <w:ilvl w:val="0"/>
          <w:numId w:val="5"/>
        </w:numPr>
        <w:spacing w:before="120" w:after="120" w:line="360" w:lineRule="auto"/>
        <w:contextualSpacing w:val="0"/>
        <w:jc w:val="both"/>
        <w:rPr>
          <w:rFonts w:asciiTheme="majorBidi" w:hAnsiTheme="majorBidi" w:cs="David"/>
          <w:sz w:val="24"/>
          <w:szCs w:val="24"/>
        </w:rPr>
      </w:pPr>
      <w:r w:rsidRPr="0016225D">
        <w:rPr>
          <w:rFonts w:cs="David" w:hint="cs"/>
          <w:b/>
          <w:bCs/>
          <w:color w:val="0070C0"/>
          <w:sz w:val="28"/>
          <w:szCs w:val="28"/>
          <w:rtl/>
        </w:rPr>
        <w:t xml:space="preserve">קידום זכויות אדם: הופעה בפני וועדת זכויות האדם של האו"ם האמונה על יישום האמנה לביעור כל צורות האפליה נגד נשים  </w:t>
      </w:r>
    </w:p>
    <w:p w:rsidR="006A3DF0" w:rsidRDefault="006A3DF0" w:rsidP="006A3DF0">
      <w:pPr>
        <w:pStyle w:val="a3"/>
        <w:spacing w:before="120" w:after="120" w:line="360" w:lineRule="auto"/>
        <w:ind w:left="0"/>
        <w:contextualSpacing w:val="0"/>
        <w:jc w:val="both"/>
        <w:rPr>
          <w:rtl/>
        </w:rPr>
      </w:pPr>
      <w:r>
        <w:rPr>
          <w:rFonts w:cs="David" w:hint="cs"/>
          <w:sz w:val="24"/>
          <w:szCs w:val="24"/>
          <w:rtl/>
        </w:rPr>
        <w:t xml:space="preserve">באוקטובר 2017, משלחת ישראל הופיעה בפני הוועדה והציגה את הדו"ח התקופתי לאמנה. </w:t>
      </w:r>
      <w:r w:rsidRPr="00F12204">
        <w:rPr>
          <w:rFonts w:cs="David" w:hint="cs"/>
          <w:sz w:val="24"/>
          <w:szCs w:val="24"/>
          <w:rtl/>
        </w:rPr>
        <w:t xml:space="preserve">במסגרת הופעה זו, הציגה המשלחת הישראלית, בראשות מנכ"לית משרד המשפטים, נציגות המחלקה ושורה של בכירות ממשרדי הממשלה השונים, את העשייה הרבה של מדינת ישראל בתחום קידום זכויות נשים, לרבות בנושא אלימות נגד נשים, הדרת נשים, מאבק בתופעת הפוליגמיה, קידום מעמדן של נשים ערביות, בדואיות וחרדיות, מאבק בסחר בבני אדם, ועוד. הופעת המשלחת בפני הוועדה הוכנה על ידי המחלקה, כמו גם כתיבת הדו"ח שהוגש לוועדה והכנת מענים לנושאים שהועלו על ידה בטרם ההופעה. בהמשך לדו"ח ולהופעת המשלחת בפני הוועדה, בירכה הוועדה את ישראל על הגשת הדו"ח וציינה </w:t>
      </w:r>
      <w:r>
        <w:rPr>
          <w:rFonts w:cs="David" w:hint="cs"/>
          <w:sz w:val="24"/>
          <w:szCs w:val="24"/>
          <w:rtl/>
        </w:rPr>
        <w:t>את הערכתה לדיאלוג המועיל עם המשלחת של מדינת ישראל. בדו"ח מסקנות הוועדה, לצד המלצות שונות לשיפור בתחום, הוועדה בירכה על צעדים שננקטו על ידי ישראל הן במישור החקיקתי והן במישור המוסדי בתחומי התוכן השונים.</w:t>
      </w:r>
    </w:p>
    <w:p w:rsidR="006A3DF0" w:rsidRDefault="006A3DF0" w:rsidP="006A3DF0">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Pr>
          <w:rFonts w:asciiTheme="majorBidi" w:hAnsiTheme="majorBidi" w:cs="David" w:hint="cs"/>
          <w:b/>
          <w:bCs/>
          <w:color w:val="0070C0"/>
          <w:sz w:val="28"/>
          <w:szCs w:val="28"/>
          <w:rtl/>
        </w:rPr>
        <w:t xml:space="preserve">יישום המלצות הדו"ח השני של ועדת </w:t>
      </w:r>
      <w:proofErr w:type="spellStart"/>
      <w:r>
        <w:rPr>
          <w:rFonts w:asciiTheme="majorBidi" w:hAnsiTheme="majorBidi" w:cs="David" w:hint="cs"/>
          <w:b/>
          <w:bCs/>
          <w:color w:val="0070C0"/>
          <w:sz w:val="28"/>
          <w:szCs w:val="28"/>
          <w:rtl/>
        </w:rPr>
        <w:t>טירקל</w:t>
      </w:r>
      <w:proofErr w:type="spellEnd"/>
      <w:r>
        <w:rPr>
          <w:rFonts w:asciiTheme="majorBidi" w:hAnsiTheme="majorBidi" w:cs="David" w:hint="cs"/>
          <w:b/>
          <w:bCs/>
          <w:color w:val="0070C0"/>
          <w:sz w:val="28"/>
          <w:szCs w:val="28"/>
          <w:rtl/>
        </w:rPr>
        <w:t xml:space="preserve">: הקמת אשכול דיני מלחמה  </w:t>
      </w:r>
    </w:p>
    <w:p w:rsidR="006A3DF0" w:rsidRDefault="006A3DF0" w:rsidP="007D311F">
      <w:pPr>
        <w:pStyle w:val="NormalWeb"/>
        <w:shd w:val="clear" w:color="auto" w:fill="FFFFFF"/>
        <w:bidi/>
        <w:spacing w:before="120" w:beforeAutospacing="0" w:after="120" w:afterAutospacing="0" w:line="360" w:lineRule="auto"/>
        <w:jc w:val="both"/>
        <w:rPr>
          <w:rFonts w:ascii="Narkisim" w:hAnsi="Narkisim" w:cs="David"/>
          <w:b/>
          <w:bCs/>
          <w:color w:val="1B1B1B"/>
          <w:rtl/>
        </w:rPr>
      </w:pPr>
      <w:r w:rsidRPr="00F078F5">
        <w:rPr>
          <w:rFonts w:ascii="Narkisim" w:hAnsi="Narkisim" w:cs="David"/>
          <w:color w:val="1B1B1B"/>
          <w:rtl/>
        </w:rPr>
        <w:t>הו</w:t>
      </w:r>
      <w:r>
        <w:rPr>
          <w:rFonts w:ascii="Narkisim" w:hAnsi="Narkisim" w:cs="David" w:hint="cs"/>
          <w:color w:val="1B1B1B"/>
          <w:rtl/>
        </w:rPr>
        <w:t>ו</w:t>
      </w:r>
      <w:r w:rsidRPr="00F078F5">
        <w:rPr>
          <w:rFonts w:ascii="Narkisim" w:hAnsi="Narkisim" w:cs="David"/>
          <w:color w:val="1B1B1B"/>
          <w:rtl/>
        </w:rPr>
        <w:t>עדה הציבורית לבדיקת האירו</w:t>
      </w:r>
      <w:r>
        <w:rPr>
          <w:rFonts w:ascii="Narkisim" w:hAnsi="Narkisim" w:cs="David"/>
          <w:color w:val="1B1B1B"/>
          <w:rtl/>
        </w:rPr>
        <w:t>ע הימי מיום 31 במאי 2010 (</w:t>
      </w:r>
      <w:r w:rsidRPr="00F078F5">
        <w:rPr>
          <w:rFonts w:ascii="Narkisim" w:hAnsi="Narkisim" w:cs="David"/>
          <w:color w:val="1B1B1B"/>
          <w:rtl/>
        </w:rPr>
        <w:t xml:space="preserve">ועדת </w:t>
      </w:r>
      <w:proofErr w:type="spellStart"/>
      <w:r w:rsidRPr="00F078F5">
        <w:rPr>
          <w:rFonts w:ascii="Narkisim" w:hAnsi="Narkisim" w:cs="David"/>
          <w:color w:val="1B1B1B"/>
          <w:rtl/>
        </w:rPr>
        <w:t>טירקל</w:t>
      </w:r>
      <w:proofErr w:type="spellEnd"/>
      <w:r w:rsidRPr="00F078F5">
        <w:rPr>
          <w:rFonts w:ascii="Narkisim" w:hAnsi="Narkisim" w:cs="David"/>
          <w:color w:val="1B1B1B"/>
          <w:rtl/>
        </w:rPr>
        <w:t>) אשר בחנה את אופן הבדיקה והחקירה ב</w:t>
      </w:r>
      <w:r w:rsidRPr="00F078F5">
        <w:rPr>
          <w:rFonts w:ascii="Narkisim" w:hAnsi="Narkisim" w:cs="David" w:hint="cs"/>
          <w:color w:val="1B1B1B"/>
          <w:rtl/>
        </w:rPr>
        <w:t xml:space="preserve">מדינת </w:t>
      </w:r>
      <w:r w:rsidRPr="00F078F5">
        <w:rPr>
          <w:rFonts w:ascii="Narkisim" w:hAnsi="Narkisim" w:cs="David"/>
          <w:color w:val="1B1B1B"/>
          <w:rtl/>
        </w:rPr>
        <w:t>ישראל של תלונות וטענות בדבר הפרות של דיני הלחימה על פי המשפט הבין-לאומי</w:t>
      </w:r>
      <w:r w:rsidRPr="00F078F5">
        <w:rPr>
          <w:rFonts w:ascii="Narkisim" w:hAnsi="Narkisim" w:cs="David" w:hint="cs"/>
          <w:color w:val="1B1B1B"/>
          <w:rtl/>
        </w:rPr>
        <w:t xml:space="preserve">, המליצה, בין היתר, להקים </w:t>
      </w:r>
      <w:r w:rsidRPr="00F078F5">
        <w:rPr>
          <w:rFonts w:ascii="Narkisim" w:hAnsi="Narkisim" w:cs="David"/>
          <w:color w:val="1B1B1B"/>
          <w:rtl/>
        </w:rPr>
        <w:t xml:space="preserve">במשרד המשפטים יחידה שתתמחה </w:t>
      </w:r>
      <w:r w:rsidRPr="00F078F5">
        <w:rPr>
          <w:rFonts w:ascii="Narkisim" w:hAnsi="Narkisim" w:cs="David" w:hint="cs"/>
          <w:color w:val="1B1B1B"/>
          <w:rtl/>
        </w:rPr>
        <w:t>בתחום</w:t>
      </w:r>
      <w:r w:rsidRPr="00F078F5">
        <w:rPr>
          <w:rFonts w:ascii="Narkisim" w:hAnsi="Narkisim" w:cs="David"/>
          <w:color w:val="1B1B1B"/>
          <w:rtl/>
        </w:rPr>
        <w:t xml:space="preserve"> </w:t>
      </w:r>
      <w:r w:rsidRPr="00F078F5">
        <w:rPr>
          <w:rFonts w:ascii="Narkisim" w:hAnsi="Narkisim" w:cs="David" w:hint="cs"/>
          <w:color w:val="1B1B1B"/>
          <w:rtl/>
        </w:rPr>
        <w:t>דיני</w:t>
      </w:r>
      <w:r w:rsidRPr="00F078F5">
        <w:rPr>
          <w:rFonts w:ascii="Narkisim" w:hAnsi="Narkisim" w:cs="David"/>
          <w:color w:val="1B1B1B"/>
          <w:rtl/>
        </w:rPr>
        <w:t xml:space="preserve"> </w:t>
      </w:r>
      <w:r w:rsidRPr="00F078F5">
        <w:rPr>
          <w:rFonts w:ascii="Narkisim" w:hAnsi="Narkisim" w:cs="David" w:hint="cs"/>
          <w:color w:val="1B1B1B"/>
          <w:rtl/>
        </w:rPr>
        <w:t>המלחמה</w:t>
      </w:r>
      <w:r w:rsidRPr="00F078F5">
        <w:rPr>
          <w:rFonts w:ascii="Narkisim" w:hAnsi="Narkisim" w:cs="David"/>
          <w:color w:val="1B1B1B"/>
          <w:rtl/>
        </w:rPr>
        <w:t xml:space="preserve">. </w:t>
      </w:r>
      <w:r>
        <w:rPr>
          <w:rFonts w:ascii="Narkisim" w:hAnsi="Narkisim" w:cs="David" w:hint="cs"/>
          <w:color w:val="1B1B1B"/>
          <w:rtl/>
        </w:rPr>
        <w:t>המלצה זו אומצה ב</w:t>
      </w:r>
      <w:r w:rsidRPr="00F078F5">
        <w:rPr>
          <w:rFonts w:ascii="Narkisim" w:hAnsi="Narkisim" w:cs="David"/>
          <w:color w:val="1B1B1B"/>
          <w:rtl/>
        </w:rPr>
        <w:t>דו</w:t>
      </w:r>
      <w:r w:rsidRPr="00F078F5">
        <w:rPr>
          <w:rFonts w:ascii="Narkisim" w:hAnsi="Narkisim" w:cs="David" w:hint="cs"/>
          <w:color w:val="1B1B1B"/>
          <w:rtl/>
        </w:rPr>
        <w:t>"</w:t>
      </w:r>
      <w:r w:rsidRPr="00F078F5">
        <w:rPr>
          <w:rFonts w:ascii="Narkisim" w:hAnsi="Narkisim" w:cs="David"/>
          <w:color w:val="1B1B1B"/>
          <w:rtl/>
        </w:rPr>
        <w:t xml:space="preserve">ח הצוות לבחינה וליישום </w:t>
      </w:r>
      <w:r w:rsidRPr="00F078F5">
        <w:rPr>
          <w:rFonts w:ascii="Narkisim" w:hAnsi="Narkisim" w:cs="David" w:hint="cs"/>
          <w:color w:val="1B1B1B"/>
          <w:rtl/>
        </w:rPr>
        <w:t xml:space="preserve">של </w:t>
      </w:r>
      <w:r w:rsidRPr="00F078F5">
        <w:rPr>
          <w:rFonts w:ascii="Narkisim" w:hAnsi="Narkisim" w:cs="David"/>
          <w:color w:val="1B1B1B"/>
          <w:rtl/>
        </w:rPr>
        <w:t>דו</w:t>
      </w:r>
      <w:r>
        <w:rPr>
          <w:rFonts w:ascii="Narkisim" w:hAnsi="Narkisim" w:cs="David" w:hint="cs"/>
          <w:color w:val="1B1B1B"/>
          <w:rtl/>
        </w:rPr>
        <w:t>"</w:t>
      </w:r>
      <w:r w:rsidRPr="00F078F5">
        <w:rPr>
          <w:rFonts w:ascii="Narkisim" w:hAnsi="Narkisim" w:cs="David"/>
          <w:color w:val="1B1B1B"/>
          <w:rtl/>
        </w:rPr>
        <w:t xml:space="preserve">ח </w:t>
      </w:r>
      <w:proofErr w:type="spellStart"/>
      <w:r w:rsidRPr="00F078F5">
        <w:rPr>
          <w:rFonts w:ascii="Narkisim" w:hAnsi="Narkisim" w:cs="David"/>
          <w:color w:val="1B1B1B"/>
          <w:rtl/>
        </w:rPr>
        <w:t>טירקל</w:t>
      </w:r>
      <w:proofErr w:type="spellEnd"/>
      <w:r w:rsidRPr="00F078F5">
        <w:rPr>
          <w:rFonts w:ascii="Narkisim" w:hAnsi="Narkisim" w:cs="David"/>
          <w:color w:val="1B1B1B"/>
          <w:rtl/>
        </w:rPr>
        <w:t xml:space="preserve"> (</w:t>
      </w:r>
      <w:r>
        <w:rPr>
          <w:rFonts w:ascii="Narkisim" w:hAnsi="Narkisim" w:cs="David" w:hint="cs"/>
          <w:color w:val="1B1B1B"/>
          <w:rtl/>
        </w:rPr>
        <w:t xml:space="preserve">צוות </w:t>
      </w:r>
      <w:proofErr w:type="spellStart"/>
      <w:r w:rsidRPr="00F078F5">
        <w:rPr>
          <w:rFonts w:ascii="Narkisim" w:hAnsi="Narkisim" w:cs="David" w:hint="cs"/>
          <w:color w:val="1B1B1B"/>
          <w:rtl/>
        </w:rPr>
        <w:t>צ'חנובר</w:t>
      </w:r>
      <w:proofErr w:type="spellEnd"/>
      <w:r w:rsidRPr="00F078F5">
        <w:rPr>
          <w:rFonts w:ascii="Narkisim" w:hAnsi="Narkisim" w:cs="David"/>
          <w:color w:val="1B1B1B"/>
          <w:rtl/>
        </w:rPr>
        <w:t xml:space="preserve">) </w:t>
      </w:r>
      <w:r w:rsidRPr="00F078F5">
        <w:rPr>
          <w:rFonts w:ascii="Narkisim" w:hAnsi="Narkisim" w:cs="David" w:hint="cs"/>
          <w:color w:val="1B1B1B"/>
          <w:rtl/>
        </w:rPr>
        <w:t xml:space="preserve">ולאחר מכן על ידי </w:t>
      </w:r>
      <w:r w:rsidRPr="00F078F5">
        <w:rPr>
          <w:rFonts w:ascii="Narkisim" w:hAnsi="Narkisim" w:cs="David"/>
          <w:color w:val="1B1B1B"/>
          <w:rtl/>
        </w:rPr>
        <w:t>ועדת השרים לענייני ביטחון לאומי (הקבינט המדיני-ביטחוני)</w:t>
      </w:r>
      <w:r w:rsidRPr="00F078F5">
        <w:rPr>
          <w:rFonts w:ascii="Narkisim" w:hAnsi="Narkisim" w:cs="David"/>
          <w:color w:val="1B1B1B"/>
        </w:rPr>
        <w:t>.</w:t>
      </w:r>
      <w:r w:rsidRPr="00F078F5">
        <w:rPr>
          <w:rFonts w:ascii="Narkisim" w:hAnsi="Narkisim" w:cs="David" w:hint="cs"/>
          <w:color w:val="1B1B1B"/>
          <w:rtl/>
        </w:rPr>
        <w:t xml:space="preserve"> עבודת</w:t>
      </w:r>
      <w:r w:rsidRPr="00F078F5">
        <w:rPr>
          <w:rFonts w:ascii="Narkisim" w:hAnsi="Narkisim" w:cs="David"/>
          <w:color w:val="1B1B1B"/>
          <w:rtl/>
        </w:rPr>
        <w:t xml:space="preserve"> </w:t>
      </w:r>
      <w:r w:rsidRPr="00F078F5">
        <w:rPr>
          <w:rFonts w:ascii="Narkisim" w:hAnsi="Narkisim" w:cs="David" w:hint="cs"/>
          <w:color w:val="1B1B1B"/>
          <w:rtl/>
        </w:rPr>
        <w:t>הקמת</w:t>
      </w:r>
      <w:r w:rsidRPr="00F078F5">
        <w:rPr>
          <w:rFonts w:ascii="Narkisim" w:hAnsi="Narkisim" w:cs="David"/>
          <w:color w:val="1B1B1B"/>
          <w:rtl/>
        </w:rPr>
        <w:t xml:space="preserve"> </w:t>
      </w:r>
      <w:r w:rsidRPr="00F078F5">
        <w:rPr>
          <w:rFonts w:ascii="Narkisim" w:hAnsi="Narkisim" w:cs="David" w:hint="cs"/>
          <w:color w:val="1B1B1B"/>
          <w:rtl/>
        </w:rPr>
        <w:t>האשכול</w:t>
      </w:r>
      <w:r w:rsidRPr="00F078F5">
        <w:rPr>
          <w:rFonts w:ascii="Narkisim" w:hAnsi="Narkisim" w:cs="David"/>
          <w:color w:val="1B1B1B"/>
          <w:rtl/>
        </w:rPr>
        <w:t xml:space="preserve"> </w:t>
      </w:r>
      <w:r w:rsidRPr="00F078F5">
        <w:rPr>
          <w:rFonts w:ascii="Narkisim" w:hAnsi="Narkisim" w:cs="David" w:hint="cs"/>
          <w:color w:val="1B1B1B"/>
          <w:rtl/>
        </w:rPr>
        <w:t>החלה בסוף</w:t>
      </w:r>
      <w:r w:rsidRPr="00F078F5">
        <w:rPr>
          <w:rFonts w:ascii="Narkisim" w:hAnsi="Narkisim" w:cs="David"/>
          <w:color w:val="1B1B1B"/>
          <w:rtl/>
        </w:rPr>
        <w:t xml:space="preserve"> שנת 2016 עם </w:t>
      </w:r>
      <w:r>
        <w:rPr>
          <w:rFonts w:ascii="Narkisim" w:hAnsi="Narkisim" w:cs="David" w:hint="cs"/>
          <w:color w:val="1B1B1B"/>
          <w:rtl/>
        </w:rPr>
        <w:t>מינוי</w:t>
      </w:r>
      <w:r w:rsidRPr="00F078F5">
        <w:rPr>
          <w:rFonts w:ascii="Narkisim" w:hAnsi="Narkisim" w:cs="David"/>
          <w:color w:val="1B1B1B"/>
          <w:rtl/>
        </w:rPr>
        <w:t xml:space="preserve"> </w:t>
      </w:r>
      <w:r w:rsidRPr="00F078F5">
        <w:rPr>
          <w:rFonts w:ascii="Narkisim" w:hAnsi="Narkisim" w:cs="David" w:hint="cs"/>
          <w:color w:val="1B1B1B"/>
          <w:rtl/>
        </w:rPr>
        <w:t>עורכת</w:t>
      </w:r>
      <w:r w:rsidRPr="00F078F5">
        <w:rPr>
          <w:rFonts w:ascii="Narkisim" w:hAnsi="Narkisim" w:cs="David"/>
          <w:color w:val="1B1B1B"/>
          <w:rtl/>
        </w:rPr>
        <w:t xml:space="preserve"> דין בתקן </w:t>
      </w:r>
      <w:r w:rsidRPr="00F078F5">
        <w:rPr>
          <w:rFonts w:ascii="Narkisim" w:hAnsi="Narkisim" w:cs="David" w:hint="cs"/>
          <w:color w:val="1B1B1B"/>
          <w:rtl/>
        </w:rPr>
        <w:t>ממונה לטובת ניהול צוות ההקמה</w:t>
      </w:r>
      <w:r w:rsidRPr="00F078F5">
        <w:rPr>
          <w:rFonts w:ascii="Narkisim" w:hAnsi="Narkisim" w:cs="David"/>
          <w:color w:val="1B1B1B"/>
          <w:rtl/>
        </w:rPr>
        <w:t xml:space="preserve">. </w:t>
      </w:r>
      <w:r w:rsidRPr="00F078F5">
        <w:rPr>
          <w:rFonts w:ascii="Narkisim" w:hAnsi="Narkisim" w:cs="David" w:hint="cs"/>
          <w:color w:val="1B1B1B"/>
          <w:rtl/>
        </w:rPr>
        <w:t>במהלך שנת</w:t>
      </w:r>
      <w:r w:rsidRPr="00F078F5">
        <w:rPr>
          <w:rFonts w:ascii="Narkisim" w:hAnsi="Narkisim" w:cs="David"/>
          <w:color w:val="1B1B1B"/>
          <w:rtl/>
        </w:rPr>
        <w:t xml:space="preserve"> 2017</w:t>
      </w:r>
      <w:r w:rsidRPr="00F078F5">
        <w:rPr>
          <w:rFonts w:ascii="Narkisim" w:hAnsi="Narkisim" w:cs="David" w:hint="cs"/>
          <w:color w:val="1B1B1B"/>
          <w:rtl/>
        </w:rPr>
        <w:t>,</w:t>
      </w:r>
      <w:r w:rsidRPr="00F078F5">
        <w:rPr>
          <w:rFonts w:ascii="Narkisim" w:hAnsi="Narkisim" w:cs="David"/>
          <w:color w:val="1B1B1B"/>
          <w:rtl/>
        </w:rPr>
        <w:t xml:space="preserve"> </w:t>
      </w:r>
      <w:r w:rsidRPr="00F078F5">
        <w:rPr>
          <w:rFonts w:ascii="Narkisim" w:hAnsi="Narkisim" w:cs="David" w:hint="cs"/>
          <w:color w:val="1B1B1B"/>
          <w:rtl/>
        </w:rPr>
        <w:t xml:space="preserve">נוספו לאשכול </w:t>
      </w:r>
      <w:r w:rsidRPr="00F078F5">
        <w:rPr>
          <w:rFonts w:ascii="Narkisim" w:hAnsi="Narkisim" w:cs="David"/>
          <w:color w:val="1B1B1B"/>
          <w:rtl/>
        </w:rPr>
        <w:t xml:space="preserve">שני </w:t>
      </w:r>
      <w:r w:rsidRPr="00F078F5">
        <w:rPr>
          <w:rFonts w:ascii="Narkisim" w:hAnsi="Narkisim" w:cs="David" w:hint="cs"/>
          <w:color w:val="1B1B1B"/>
          <w:rtl/>
        </w:rPr>
        <w:t>עורכי דין נוספים ומתמחה. במהלך שנה זו</w:t>
      </w:r>
      <w:r>
        <w:rPr>
          <w:rFonts w:ascii="Narkisim" w:hAnsi="Narkisim" w:cs="David" w:hint="cs"/>
          <w:color w:val="1B1B1B"/>
          <w:rtl/>
        </w:rPr>
        <w:t>,</w:t>
      </w:r>
      <w:r w:rsidRPr="00F078F5">
        <w:rPr>
          <w:rFonts w:ascii="Narkisim" w:hAnsi="Narkisim" w:cs="David"/>
          <w:color w:val="1B1B1B"/>
          <w:rtl/>
        </w:rPr>
        <w:t xml:space="preserve"> האשכול החל </w:t>
      </w:r>
      <w:r w:rsidRPr="00F078F5">
        <w:rPr>
          <w:rFonts w:ascii="Narkisim" w:hAnsi="Narkisim" w:cs="David" w:hint="cs"/>
          <w:color w:val="1B1B1B"/>
          <w:rtl/>
        </w:rPr>
        <w:t>לספק</w:t>
      </w:r>
      <w:r w:rsidRPr="00F078F5">
        <w:rPr>
          <w:rFonts w:ascii="Narkisim" w:hAnsi="Narkisim" w:cs="David"/>
          <w:color w:val="1B1B1B"/>
          <w:rtl/>
        </w:rPr>
        <w:t xml:space="preserve"> מענה </w:t>
      </w:r>
      <w:r w:rsidRPr="00F078F5">
        <w:rPr>
          <w:rFonts w:ascii="Narkisim" w:hAnsi="Narkisim" w:cs="David" w:hint="cs"/>
          <w:color w:val="1B1B1B"/>
          <w:rtl/>
        </w:rPr>
        <w:t>שוטף</w:t>
      </w:r>
      <w:r w:rsidRPr="00F078F5">
        <w:rPr>
          <w:rFonts w:ascii="Narkisim" w:hAnsi="Narkisim" w:cs="David"/>
          <w:color w:val="1B1B1B"/>
          <w:rtl/>
        </w:rPr>
        <w:t xml:space="preserve"> ולה</w:t>
      </w:r>
      <w:r w:rsidRPr="00F078F5">
        <w:rPr>
          <w:rFonts w:ascii="Narkisim" w:hAnsi="Narkisim" w:cs="David" w:hint="cs"/>
          <w:color w:val="1B1B1B"/>
          <w:rtl/>
        </w:rPr>
        <w:t xml:space="preserve">עניק ייעוץ משפטי </w:t>
      </w:r>
      <w:r w:rsidRPr="00F078F5">
        <w:rPr>
          <w:rFonts w:ascii="Narkisim" w:hAnsi="Narkisim" w:cs="David"/>
          <w:color w:val="1B1B1B"/>
          <w:rtl/>
        </w:rPr>
        <w:t xml:space="preserve">מקצועי </w:t>
      </w:r>
      <w:r w:rsidRPr="00F078F5">
        <w:rPr>
          <w:rFonts w:ascii="Narkisim" w:hAnsi="Narkisim" w:cs="David" w:hint="cs"/>
          <w:color w:val="1B1B1B"/>
          <w:rtl/>
        </w:rPr>
        <w:t>ב</w:t>
      </w:r>
      <w:r>
        <w:rPr>
          <w:rFonts w:ascii="Narkisim" w:hAnsi="Narkisim" w:cs="David" w:hint="cs"/>
          <w:color w:val="1B1B1B"/>
          <w:rtl/>
        </w:rPr>
        <w:t xml:space="preserve">מגוון רחב של </w:t>
      </w:r>
      <w:r w:rsidRPr="00F078F5">
        <w:rPr>
          <w:rFonts w:ascii="Narkisim" w:hAnsi="Narkisim" w:cs="David" w:hint="cs"/>
          <w:color w:val="1B1B1B"/>
          <w:rtl/>
        </w:rPr>
        <w:t>סוגיות בדיני ה</w:t>
      </w:r>
      <w:r>
        <w:rPr>
          <w:rFonts w:ascii="Narkisim" w:hAnsi="Narkisim" w:cs="David" w:hint="cs"/>
          <w:color w:val="1B1B1B"/>
          <w:rtl/>
        </w:rPr>
        <w:t xml:space="preserve">מלחמה, אשר התעוררו </w:t>
      </w:r>
      <w:r w:rsidRPr="00F078F5">
        <w:rPr>
          <w:rFonts w:ascii="Narkisim" w:hAnsi="Narkisim" w:cs="David" w:hint="cs"/>
          <w:color w:val="1B1B1B"/>
          <w:rtl/>
        </w:rPr>
        <w:t>אגב הליכים</w:t>
      </w:r>
      <w:r w:rsidRPr="00F078F5">
        <w:rPr>
          <w:rFonts w:ascii="Narkisim" w:hAnsi="Narkisim" w:cs="David"/>
          <w:color w:val="1B1B1B"/>
          <w:rtl/>
        </w:rPr>
        <w:t xml:space="preserve"> </w:t>
      </w:r>
      <w:r w:rsidRPr="00F078F5">
        <w:rPr>
          <w:rFonts w:ascii="Narkisim" w:hAnsi="Narkisim" w:cs="David" w:hint="cs"/>
          <w:color w:val="1B1B1B"/>
          <w:rtl/>
        </w:rPr>
        <w:t>משפטיים</w:t>
      </w:r>
      <w:r w:rsidRPr="00F078F5">
        <w:rPr>
          <w:rFonts w:ascii="Narkisim" w:hAnsi="Narkisim" w:cs="David"/>
          <w:color w:val="1B1B1B"/>
          <w:rtl/>
        </w:rPr>
        <w:t xml:space="preserve"> </w:t>
      </w:r>
      <w:r w:rsidRPr="00F078F5">
        <w:rPr>
          <w:rFonts w:ascii="Narkisim" w:hAnsi="Narkisim" w:cs="David" w:hint="cs"/>
          <w:color w:val="1B1B1B"/>
          <w:rtl/>
        </w:rPr>
        <w:t>ויוזמות</w:t>
      </w:r>
      <w:r w:rsidRPr="00F078F5">
        <w:rPr>
          <w:rFonts w:ascii="Narkisim" w:hAnsi="Narkisim" w:cs="David"/>
          <w:color w:val="1B1B1B"/>
          <w:rtl/>
        </w:rPr>
        <w:t xml:space="preserve"> חקיקה</w:t>
      </w:r>
      <w:r w:rsidRPr="00F078F5">
        <w:rPr>
          <w:rFonts w:ascii="Narkisim" w:hAnsi="Narkisim" w:cs="David" w:hint="cs"/>
          <w:color w:val="1B1B1B"/>
          <w:rtl/>
        </w:rPr>
        <w:t xml:space="preserve">. במסגרת זו, כחלק מהטיפול בעתירות שהוגשו לבית המשפט העליון, </w:t>
      </w:r>
      <w:r>
        <w:rPr>
          <w:rFonts w:ascii="Narkisim" w:hAnsi="Narkisim" w:cs="David" w:hint="cs"/>
          <w:color w:val="1B1B1B"/>
          <w:rtl/>
        </w:rPr>
        <w:t xml:space="preserve">גיבש </w:t>
      </w:r>
      <w:r w:rsidRPr="00F078F5">
        <w:rPr>
          <w:rFonts w:ascii="Narkisim" w:hAnsi="Narkisim" w:cs="David" w:hint="cs"/>
          <w:color w:val="1B1B1B"/>
          <w:rtl/>
        </w:rPr>
        <w:t>האשכול מספר חוות דעת משמעותיות</w:t>
      </w:r>
      <w:r>
        <w:rPr>
          <w:rFonts w:ascii="Narkisim" w:hAnsi="Narkisim" w:cs="David" w:hint="cs"/>
          <w:color w:val="1B1B1B"/>
          <w:rtl/>
        </w:rPr>
        <w:t>, אשר הועברו לעיון הגורמים הרלוונטיים</w:t>
      </w:r>
      <w:r w:rsidRPr="00F078F5">
        <w:rPr>
          <w:rFonts w:ascii="Narkisim" w:hAnsi="Narkisim" w:cs="David" w:hint="cs"/>
          <w:color w:val="1B1B1B"/>
          <w:rtl/>
        </w:rPr>
        <w:t>. בנוסף,</w:t>
      </w:r>
      <w:r w:rsidRPr="00F078F5">
        <w:rPr>
          <w:rFonts w:ascii="Narkisim" w:hAnsi="Narkisim" w:cs="David"/>
          <w:color w:val="1B1B1B"/>
          <w:rtl/>
        </w:rPr>
        <w:t xml:space="preserve"> האשכול </w:t>
      </w:r>
      <w:r>
        <w:rPr>
          <w:rFonts w:ascii="Narkisim" w:hAnsi="Narkisim" w:cs="David" w:hint="cs"/>
          <w:color w:val="1B1B1B"/>
          <w:rtl/>
        </w:rPr>
        <w:t xml:space="preserve">פעל לבניית מאגר ידע מקצועי בתחום דיני המלחמה, </w:t>
      </w:r>
      <w:r w:rsidRPr="00F078F5">
        <w:rPr>
          <w:rFonts w:ascii="Narkisim" w:hAnsi="Narkisim" w:cs="David" w:hint="cs"/>
          <w:color w:val="1B1B1B"/>
          <w:rtl/>
        </w:rPr>
        <w:t xml:space="preserve">אשר עתיד לשמש את כלל גורמי המחלקה. יצוין, כי עבודת הקמת האשכול נעשתה בשיתוף פעולה מלא עם מחלקת הדין הבין-לאומי </w:t>
      </w:r>
      <w:r w:rsidR="007D311F">
        <w:rPr>
          <w:rFonts w:ascii="Narkisim" w:hAnsi="Narkisim" w:cs="David" w:hint="cs"/>
          <w:color w:val="1B1B1B"/>
          <w:rtl/>
        </w:rPr>
        <w:t xml:space="preserve">בפרקליטות הצבאית. </w:t>
      </w:r>
    </w:p>
    <w:p w:rsidR="00AF219B" w:rsidRPr="00F078F5" w:rsidRDefault="00AF219B" w:rsidP="00AF219B">
      <w:pPr>
        <w:pStyle w:val="NormalWeb"/>
        <w:shd w:val="clear" w:color="auto" w:fill="FFFFFF"/>
        <w:bidi/>
        <w:spacing w:before="120" w:beforeAutospacing="0" w:after="120" w:afterAutospacing="0" w:line="360" w:lineRule="auto"/>
        <w:jc w:val="both"/>
        <w:rPr>
          <w:rFonts w:ascii="Narkisim" w:hAnsi="Narkisim" w:cs="David"/>
          <w:b/>
          <w:bCs/>
          <w:color w:val="1B1B1B"/>
          <w:rtl/>
        </w:rPr>
      </w:pPr>
    </w:p>
    <w:p w:rsidR="006A3DF0" w:rsidRDefault="006A3DF0" w:rsidP="006A3DF0">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Pr>
          <w:rFonts w:asciiTheme="majorBidi" w:hAnsiTheme="majorBidi" w:cs="David" w:hint="cs"/>
          <w:b/>
          <w:bCs/>
          <w:color w:val="0070C0"/>
          <w:sz w:val="28"/>
          <w:szCs w:val="28"/>
          <w:rtl/>
        </w:rPr>
        <w:lastRenderedPageBreak/>
        <w:t xml:space="preserve">היערכות לחירום: קידום מוכנות למתן ייעוץ משפטי במצבי חירום ומלחמה  </w:t>
      </w:r>
    </w:p>
    <w:p w:rsidR="006A3DF0" w:rsidRPr="006A3DF0" w:rsidRDefault="006A3DF0" w:rsidP="006A3DF0">
      <w:pPr>
        <w:pStyle w:val="NormalWeb"/>
        <w:shd w:val="clear" w:color="auto" w:fill="FFFFFF"/>
        <w:bidi/>
        <w:spacing w:before="120" w:beforeAutospacing="0" w:after="120" w:afterAutospacing="0" w:line="360" w:lineRule="auto"/>
        <w:jc w:val="both"/>
        <w:rPr>
          <w:rFonts w:ascii="Narkisim" w:hAnsi="Narkisim" w:cs="David"/>
          <w:color w:val="1B1B1B"/>
          <w:rtl/>
        </w:rPr>
      </w:pPr>
      <w:r w:rsidRPr="00E214CD">
        <w:rPr>
          <w:rFonts w:ascii="Narkisim" w:hAnsi="Narkisim" w:cs="David" w:hint="cs"/>
          <w:color w:val="1B1B1B"/>
          <w:rtl/>
        </w:rPr>
        <w:t xml:space="preserve">במהלך שנת 2017, </w:t>
      </w:r>
      <w:r>
        <w:rPr>
          <w:rFonts w:ascii="Narkisim" w:hAnsi="Narkisim" w:cs="David" w:hint="cs"/>
          <w:color w:val="1B1B1B"/>
          <w:rtl/>
        </w:rPr>
        <w:t xml:space="preserve">בוצעו מספר תהליכים לשיפור המוכנות של המחלקה למתן ייעוץ משפטי במצבי חירום ומלחמה, תוך שימת דגש על היכולת לספק מענה הולם, מהיר ויעיל לסוגיות השונות בזמן אמת, באופן התורם לאינטרסים של מדינת ישראל. </w:t>
      </w:r>
      <w:r w:rsidRPr="00E214CD">
        <w:rPr>
          <w:rFonts w:ascii="Narkisim" w:hAnsi="Narkisim" w:cs="David" w:hint="cs"/>
          <w:color w:val="1B1B1B"/>
          <w:rtl/>
        </w:rPr>
        <w:t xml:space="preserve">תהליכים אלו כללו, בין היתר, השתתפות בדיוני מוכנות של היועץ המשפטי לממשלה; הובלת הליך הכשרה ומוכנות פנים-מחלקתי שכלל, בין השאר, לימוד והעמקה </w:t>
      </w:r>
      <w:r>
        <w:rPr>
          <w:rFonts w:ascii="Narkisim" w:hAnsi="Narkisim" w:cs="David" w:hint="cs"/>
          <w:color w:val="1B1B1B"/>
          <w:rtl/>
        </w:rPr>
        <w:t xml:space="preserve">בהוראות ופקודות אופרטיביות רלוונטיות; יצירת </w:t>
      </w:r>
      <w:r w:rsidRPr="00E214CD">
        <w:rPr>
          <w:rFonts w:ascii="Narkisim" w:hAnsi="Narkisim" w:cs="David" w:hint="cs"/>
          <w:color w:val="1B1B1B"/>
          <w:rtl/>
        </w:rPr>
        <w:t xml:space="preserve">נוהל פנים-מחלקתי להסדרת אופן העבודה של המחלקה בשעת חירום; </w:t>
      </w:r>
      <w:r>
        <w:rPr>
          <w:rFonts w:ascii="Narkisim" w:hAnsi="Narkisim" w:cs="David" w:hint="cs"/>
          <w:color w:val="1B1B1B"/>
          <w:rtl/>
        </w:rPr>
        <w:t xml:space="preserve">ועדכון של מאגרי המידע הממוחשבים ואוגדני החירום המסווגים. </w:t>
      </w:r>
      <w:r w:rsidRPr="00E214CD">
        <w:rPr>
          <w:rFonts w:ascii="Narkisim" w:hAnsi="Narkisim" w:cs="David" w:hint="cs"/>
          <w:color w:val="1B1B1B"/>
          <w:rtl/>
        </w:rPr>
        <w:t xml:space="preserve">במקביל, </w:t>
      </w:r>
      <w:r>
        <w:rPr>
          <w:rFonts w:ascii="Narkisim" w:hAnsi="Narkisim" w:cs="David" w:hint="cs"/>
          <w:color w:val="1B1B1B"/>
          <w:rtl/>
        </w:rPr>
        <w:t xml:space="preserve">בוצע מעקב שוטף אחר </w:t>
      </w:r>
      <w:r w:rsidRPr="00E214CD">
        <w:rPr>
          <w:rFonts w:ascii="Narkisim" w:hAnsi="Narkisim" w:cs="David"/>
          <w:color w:val="1B1B1B"/>
          <w:rtl/>
        </w:rPr>
        <w:t>התפתחו</w:t>
      </w:r>
      <w:r>
        <w:rPr>
          <w:rFonts w:ascii="Narkisim" w:hAnsi="Narkisim" w:cs="David" w:hint="cs"/>
          <w:color w:val="1B1B1B"/>
          <w:rtl/>
        </w:rPr>
        <w:t>יו</w:t>
      </w:r>
      <w:r w:rsidRPr="00E214CD">
        <w:rPr>
          <w:rFonts w:ascii="Narkisim" w:hAnsi="Narkisim" w:cs="David"/>
          <w:color w:val="1B1B1B"/>
          <w:rtl/>
        </w:rPr>
        <w:t xml:space="preserve">ת </w:t>
      </w:r>
      <w:r>
        <w:rPr>
          <w:rFonts w:ascii="Narkisim" w:hAnsi="Narkisim" w:cs="David" w:hint="cs"/>
          <w:color w:val="1B1B1B"/>
          <w:rtl/>
        </w:rPr>
        <w:t xml:space="preserve">משפטיות בתחום דיני הלחימה, וננקטו צעדים להבטיח כי עמדותיה של מדינת ישראל הוצגו בפורומים מקצועיים שונים בארץ ובחו"ל, הדנים בפיתוח דיני המלחמה ובפרשנותם. </w:t>
      </w:r>
    </w:p>
    <w:p w:rsidR="00536239" w:rsidRPr="00536239" w:rsidRDefault="003E2819" w:rsidP="007C1193">
      <w:pPr>
        <w:pStyle w:val="a3"/>
        <w:numPr>
          <w:ilvl w:val="0"/>
          <w:numId w:val="5"/>
        </w:numPr>
        <w:spacing w:before="120" w:after="120" w:line="360" w:lineRule="auto"/>
        <w:contextualSpacing w:val="0"/>
        <w:jc w:val="both"/>
        <w:rPr>
          <w:rFonts w:asciiTheme="majorBidi" w:hAnsiTheme="majorBidi" w:cs="David"/>
          <w:color w:val="0070C0"/>
          <w:sz w:val="28"/>
          <w:szCs w:val="28"/>
        </w:rPr>
      </w:pPr>
      <w:r>
        <w:rPr>
          <w:rFonts w:asciiTheme="majorBidi" w:hAnsiTheme="majorBidi" w:cs="David" w:hint="cs"/>
          <w:b/>
          <w:bCs/>
          <w:color w:val="0070C0"/>
          <w:sz w:val="28"/>
          <w:szCs w:val="28"/>
          <w:rtl/>
        </w:rPr>
        <w:t>הגנה על עובדי מדינה: דחיית קובלנה</w:t>
      </w:r>
      <w:r w:rsidR="00536239">
        <w:rPr>
          <w:rFonts w:asciiTheme="majorBidi" w:hAnsiTheme="majorBidi" w:cs="David" w:hint="cs"/>
          <w:b/>
          <w:bCs/>
          <w:color w:val="0070C0"/>
          <w:sz w:val="28"/>
          <w:szCs w:val="28"/>
          <w:rtl/>
        </w:rPr>
        <w:t xml:space="preserve"> פלילית בצ'ילה נגד שופטי העליון </w:t>
      </w:r>
    </w:p>
    <w:p w:rsidR="002D3155" w:rsidRDefault="00536239" w:rsidP="007C1193">
      <w:pPr>
        <w:spacing w:before="120" w:after="120" w:line="360" w:lineRule="auto"/>
        <w:jc w:val="both"/>
        <w:rPr>
          <w:rFonts w:asciiTheme="majorBidi" w:hAnsiTheme="majorBidi" w:cs="David"/>
          <w:sz w:val="24"/>
          <w:szCs w:val="24"/>
          <w:rtl/>
        </w:rPr>
      </w:pPr>
      <w:r>
        <w:rPr>
          <w:rFonts w:asciiTheme="majorBidi" w:hAnsiTheme="majorBidi" w:cs="David" w:hint="cs"/>
          <w:sz w:val="24"/>
          <w:szCs w:val="24"/>
          <w:rtl/>
        </w:rPr>
        <w:t xml:space="preserve">בנובמבר 2016, הוגשה </w:t>
      </w:r>
      <w:r w:rsidR="003E2819">
        <w:rPr>
          <w:rFonts w:asciiTheme="majorBidi" w:hAnsiTheme="majorBidi" w:cs="David" w:hint="cs"/>
          <w:sz w:val="24"/>
          <w:szCs w:val="24"/>
          <w:rtl/>
        </w:rPr>
        <w:t xml:space="preserve">בצ'ילה קובלנה פלילית פרטית </w:t>
      </w:r>
      <w:r>
        <w:rPr>
          <w:rFonts w:asciiTheme="majorBidi" w:hAnsiTheme="majorBidi" w:cs="David" w:hint="cs"/>
          <w:sz w:val="24"/>
          <w:szCs w:val="24"/>
          <w:rtl/>
        </w:rPr>
        <w:t xml:space="preserve">כנגד שלושה שופטי </w:t>
      </w:r>
      <w:r w:rsidR="00FA0C8B" w:rsidRPr="00FA0C8B">
        <w:rPr>
          <w:rFonts w:asciiTheme="majorBidi" w:hAnsiTheme="majorBidi" w:cs="David"/>
          <w:sz w:val="24"/>
          <w:szCs w:val="24"/>
          <w:rtl/>
        </w:rPr>
        <w:t>בית המשפט העליון</w:t>
      </w:r>
      <w:r w:rsidR="00FA0C8B" w:rsidRPr="00500267">
        <w:rPr>
          <w:rFonts w:asciiTheme="majorBidi" w:hAnsiTheme="majorBidi" w:cs="David"/>
          <w:sz w:val="24"/>
          <w:szCs w:val="24"/>
          <w:rtl/>
        </w:rPr>
        <w:t xml:space="preserve">: הנשיא בדימוס אשר </w:t>
      </w:r>
      <w:proofErr w:type="spellStart"/>
      <w:r w:rsidR="00FA0C8B" w:rsidRPr="00500267">
        <w:rPr>
          <w:rFonts w:asciiTheme="majorBidi" w:hAnsiTheme="majorBidi" w:cs="David"/>
          <w:sz w:val="24"/>
          <w:szCs w:val="24"/>
          <w:rtl/>
        </w:rPr>
        <w:t>גרוניס</w:t>
      </w:r>
      <w:proofErr w:type="spellEnd"/>
      <w:r w:rsidR="00FA0C8B" w:rsidRPr="00500267">
        <w:rPr>
          <w:rFonts w:asciiTheme="majorBidi" w:hAnsiTheme="majorBidi" w:cs="David"/>
          <w:sz w:val="24"/>
          <w:szCs w:val="24"/>
          <w:rtl/>
        </w:rPr>
        <w:t xml:space="preserve">, השופט עוזי </w:t>
      </w:r>
      <w:proofErr w:type="spellStart"/>
      <w:r w:rsidR="00FA0C8B" w:rsidRPr="00500267">
        <w:rPr>
          <w:rFonts w:asciiTheme="majorBidi" w:hAnsiTheme="majorBidi" w:cs="David"/>
          <w:sz w:val="24"/>
          <w:szCs w:val="24"/>
          <w:rtl/>
        </w:rPr>
        <w:t>פוגלמן</w:t>
      </w:r>
      <w:proofErr w:type="spellEnd"/>
      <w:r w:rsidR="00FA0C8B" w:rsidRPr="00500267">
        <w:rPr>
          <w:rFonts w:asciiTheme="majorBidi" w:hAnsiTheme="majorBidi" w:cs="David"/>
          <w:sz w:val="24"/>
          <w:szCs w:val="24"/>
          <w:rtl/>
        </w:rPr>
        <w:t xml:space="preserve"> והשופט ניל הנדל, בעניין החלטותיהם בנושא גדר הביטחון בסביבת בית </w:t>
      </w:r>
      <w:proofErr w:type="spellStart"/>
      <w:r w:rsidR="00FA0C8B" w:rsidRPr="00500267">
        <w:rPr>
          <w:rFonts w:asciiTheme="majorBidi" w:hAnsiTheme="majorBidi" w:cs="David"/>
          <w:sz w:val="24"/>
          <w:szCs w:val="24"/>
          <w:rtl/>
        </w:rPr>
        <w:t>ג'אלה</w:t>
      </w:r>
      <w:proofErr w:type="spellEnd"/>
      <w:r w:rsidR="00FA0C8B" w:rsidRPr="00500267">
        <w:rPr>
          <w:rFonts w:asciiTheme="majorBidi" w:hAnsiTheme="majorBidi" w:cs="David"/>
          <w:sz w:val="24"/>
          <w:szCs w:val="24"/>
          <w:rtl/>
        </w:rPr>
        <w:t xml:space="preserve">. </w:t>
      </w:r>
      <w:r>
        <w:rPr>
          <w:rFonts w:asciiTheme="majorBidi" w:hAnsiTheme="majorBidi" w:cs="David" w:hint="cs"/>
          <w:sz w:val="24"/>
          <w:szCs w:val="24"/>
          <w:rtl/>
        </w:rPr>
        <w:t xml:space="preserve">המתלוננים טענו כי </w:t>
      </w:r>
      <w:r w:rsidR="003E2819">
        <w:rPr>
          <w:rFonts w:asciiTheme="majorBidi" w:hAnsiTheme="majorBidi" w:cs="David" w:hint="cs"/>
          <w:sz w:val="24"/>
          <w:szCs w:val="24"/>
          <w:rtl/>
        </w:rPr>
        <w:t>ה</w:t>
      </w:r>
      <w:r>
        <w:rPr>
          <w:rFonts w:asciiTheme="majorBidi" w:hAnsiTheme="majorBidi" w:cs="David" w:hint="cs"/>
          <w:sz w:val="24"/>
          <w:szCs w:val="24"/>
          <w:rtl/>
        </w:rPr>
        <w:t xml:space="preserve">חלטות </w:t>
      </w:r>
      <w:r w:rsidR="003E2819">
        <w:rPr>
          <w:rFonts w:asciiTheme="majorBidi" w:hAnsiTheme="majorBidi" w:cs="David" w:hint="cs"/>
          <w:sz w:val="24"/>
          <w:szCs w:val="24"/>
          <w:rtl/>
        </w:rPr>
        <w:t xml:space="preserve">אלה </w:t>
      </w:r>
      <w:r>
        <w:rPr>
          <w:rFonts w:asciiTheme="majorBidi" w:hAnsiTheme="majorBidi" w:cs="David" w:hint="cs"/>
          <w:sz w:val="24"/>
          <w:szCs w:val="24"/>
          <w:rtl/>
        </w:rPr>
        <w:t>מהוות פשעי מלחמה ופשעים נגד האנושות. בדצמבר 2016, בי</w:t>
      </w:r>
      <w:r w:rsidR="003E2819">
        <w:rPr>
          <w:rFonts w:asciiTheme="majorBidi" w:hAnsiTheme="majorBidi" w:cs="David" w:hint="cs"/>
          <w:sz w:val="24"/>
          <w:szCs w:val="24"/>
          <w:rtl/>
        </w:rPr>
        <w:t xml:space="preserve">ת המשפט דחה את הקובלנה, בציינו, בין היתר, מגבלות על סמכות השיפוט, היות הסוגיה אזרחית ולא פלילית, ואת הצורך לכבד החלטות של בתי משפט זרים. </w:t>
      </w:r>
      <w:r w:rsidR="002D3155">
        <w:rPr>
          <w:rFonts w:asciiTheme="majorBidi" w:hAnsiTheme="majorBidi" w:cs="David" w:hint="cs"/>
          <w:sz w:val="24"/>
          <w:szCs w:val="24"/>
          <w:rtl/>
        </w:rPr>
        <w:t xml:space="preserve">בינואר 2017, בית משפט לערעורים דחה את הערעור שהוגש בעניין. חודש לאחר מכן, בית המשפט העליון דחה אף הוא בקשת רשות ערעור שהגישו המתלוננים. המחלקה הובילה את הטיפול בהליך זה, בשיתוף עם משרדי הממשלה השונים, אשר הסתיים בהכרעה חשובה וחד משמעית של מערכת המשפט בצ'ילה, על שלוש ערכאותיה, לטובת מדינת ישראל. המחלקה אף קיבלה מכתב תודה מהשופט </w:t>
      </w:r>
      <w:proofErr w:type="spellStart"/>
      <w:r w:rsidR="002D3155">
        <w:rPr>
          <w:rFonts w:asciiTheme="majorBidi" w:hAnsiTheme="majorBidi" w:cs="David" w:hint="cs"/>
          <w:sz w:val="24"/>
          <w:szCs w:val="24"/>
          <w:rtl/>
        </w:rPr>
        <w:t>גרוניס</w:t>
      </w:r>
      <w:proofErr w:type="spellEnd"/>
      <w:r w:rsidR="002D3155">
        <w:rPr>
          <w:rFonts w:asciiTheme="majorBidi" w:hAnsiTheme="majorBidi" w:cs="David" w:hint="cs"/>
          <w:sz w:val="24"/>
          <w:szCs w:val="24"/>
          <w:rtl/>
        </w:rPr>
        <w:t xml:space="preserve"> וכן מהיועץ המשפטי לממשלה, הודות להישגיה בתיק זה. </w:t>
      </w:r>
    </w:p>
    <w:p w:rsidR="006A3DF0" w:rsidRPr="00500267" w:rsidRDefault="006A3DF0" w:rsidP="006A3DF0">
      <w:pPr>
        <w:pStyle w:val="a3"/>
        <w:numPr>
          <w:ilvl w:val="0"/>
          <w:numId w:val="5"/>
        </w:numPr>
        <w:spacing w:before="120" w:after="120" w:line="360" w:lineRule="auto"/>
        <w:contextualSpacing w:val="0"/>
        <w:jc w:val="both"/>
        <w:rPr>
          <w:rFonts w:asciiTheme="majorBidi" w:hAnsiTheme="majorBidi" w:cs="David"/>
          <w:color w:val="0070C0"/>
          <w:sz w:val="28"/>
          <w:szCs w:val="28"/>
        </w:rPr>
      </w:pPr>
      <w:r w:rsidRPr="00500267">
        <w:rPr>
          <w:rFonts w:asciiTheme="majorBidi" w:hAnsiTheme="majorBidi" w:cs="David"/>
          <w:b/>
          <w:bCs/>
          <w:color w:val="0070C0"/>
          <w:sz w:val="28"/>
          <w:szCs w:val="28"/>
          <w:rtl/>
        </w:rPr>
        <w:t xml:space="preserve">המאבק בשוחד עובדי </w:t>
      </w:r>
      <w:r w:rsidRPr="00972B6F">
        <w:rPr>
          <w:rFonts w:asciiTheme="majorBidi" w:hAnsiTheme="majorBidi" w:cs="David"/>
          <w:b/>
          <w:bCs/>
          <w:color w:val="0070C0"/>
          <w:sz w:val="28"/>
          <w:szCs w:val="28"/>
          <w:rtl/>
        </w:rPr>
        <w:t>ציבור זרים: פרסום ממצאי בדיקה חיוביים ביותר של ה-</w:t>
      </w:r>
      <w:r w:rsidRPr="00972B6F">
        <w:rPr>
          <w:rFonts w:asciiTheme="majorBidi" w:hAnsiTheme="majorBidi" w:cs="David"/>
          <w:b/>
          <w:bCs/>
          <w:color w:val="0070C0"/>
          <w:sz w:val="28"/>
          <w:szCs w:val="28"/>
        </w:rPr>
        <w:t>OECD</w:t>
      </w:r>
      <w:r w:rsidRPr="00972B6F">
        <w:rPr>
          <w:rFonts w:asciiTheme="majorBidi" w:hAnsiTheme="majorBidi" w:cs="David" w:hint="cs"/>
          <w:b/>
          <w:bCs/>
          <w:color w:val="0070C0"/>
          <w:sz w:val="28"/>
          <w:szCs w:val="28"/>
          <w:rtl/>
        </w:rPr>
        <w:t xml:space="preserve"> </w:t>
      </w:r>
      <w:r>
        <w:rPr>
          <w:rFonts w:asciiTheme="majorBidi" w:hAnsiTheme="majorBidi" w:cs="David" w:hint="cs"/>
          <w:b/>
          <w:bCs/>
          <w:color w:val="0070C0"/>
          <w:sz w:val="28"/>
          <w:szCs w:val="28"/>
          <w:rtl/>
        </w:rPr>
        <w:t>בתום סבב</w:t>
      </w:r>
      <w:r w:rsidRPr="00972B6F">
        <w:rPr>
          <w:rFonts w:asciiTheme="majorBidi" w:hAnsiTheme="majorBidi" w:cs="David" w:hint="cs"/>
          <w:b/>
          <w:bCs/>
          <w:color w:val="0070C0"/>
          <w:sz w:val="28"/>
          <w:szCs w:val="28"/>
          <w:rtl/>
        </w:rPr>
        <w:t xml:space="preserve"> הביקורת השלישי</w:t>
      </w:r>
      <w:r>
        <w:rPr>
          <w:rFonts w:asciiTheme="majorBidi" w:hAnsiTheme="majorBidi" w:cs="David" w:hint="cs"/>
          <w:b/>
          <w:bCs/>
          <w:color w:val="0070C0"/>
          <w:sz w:val="28"/>
          <w:szCs w:val="28"/>
          <w:rtl/>
        </w:rPr>
        <w:t xml:space="preserve"> על ישראל </w:t>
      </w:r>
      <w:r>
        <w:rPr>
          <w:rFonts w:asciiTheme="majorBidi" w:hAnsiTheme="majorBidi" w:cs="David" w:hint="cs"/>
          <w:color w:val="0070C0"/>
          <w:sz w:val="28"/>
          <w:szCs w:val="28"/>
          <w:rtl/>
        </w:rPr>
        <w:t xml:space="preserve"> </w:t>
      </w:r>
    </w:p>
    <w:p w:rsidR="00A85D5B" w:rsidRDefault="006A3DF0" w:rsidP="00FF6286">
      <w:pPr>
        <w:spacing w:before="120" w:after="120" w:line="360" w:lineRule="auto"/>
        <w:jc w:val="both"/>
        <w:rPr>
          <w:rFonts w:asciiTheme="majorBidi" w:hAnsiTheme="majorBidi" w:cs="David"/>
          <w:sz w:val="24"/>
          <w:szCs w:val="24"/>
          <w:rtl/>
        </w:rPr>
      </w:pPr>
      <w:r w:rsidRPr="00FA0C8B">
        <w:rPr>
          <w:rFonts w:asciiTheme="majorBidi" w:hAnsiTheme="majorBidi" w:cs="David"/>
          <w:sz w:val="24"/>
          <w:szCs w:val="24"/>
          <w:rtl/>
        </w:rPr>
        <w:t>המחלקה הובילה וריכזה, בשיתוף עם</w:t>
      </w:r>
      <w:r w:rsidR="00FF6286">
        <w:rPr>
          <w:rFonts w:asciiTheme="majorBidi" w:hAnsiTheme="majorBidi" w:cs="David" w:hint="cs"/>
          <w:sz w:val="24"/>
          <w:szCs w:val="24"/>
          <w:rtl/>
        </w:rPr>
        <w:t xml:space="preserve"> המחלקה למשפט פלילי</w:t>
      </w:r>
      <w:r w:rsidRPr="00FA0C8B">
        <w:rPr>
          <w:rFonts w:asciiTheme="majorBidi" w:hAnsiTheme="majorBidi" w:cs="David"/>
          <w:sz w:val="24"/>
          <w:szCs w:val="24"/>
          <w:rtl/>
        </w:rPr>
        <w:t xml:space="preserve"> </w:t>
      </w:r>
      <w:r w:rsidR="00FF6286">
        <w:rPr>
          <w:rFonts w:asciiTheme="majorBidi" w:hAnsiTheme="majorBidi" w:cs="David" w:hint="cs"/>
          <w:sz w:val="24"/>
          <w:szCs w:val="24"/>
          <w:rtl/>
        </w:rPr>
        <w:t>ב</w:t>
      </w:r>
      <w:r w:rsidRPr="00FA0C8B">
        <w:rPr>
          <w:rFonts w:asciiTheme="majorBidi" w:hAnsiTheme="majorBidi" w:cs="David"/>
          <w:sz w:val="24"/>
          <w:szCs w:val="24"/>
          <w:rtl/>
        </w:rPr>
        <w:t>ייעוץ וחקיקה</w:t>
      </w:r>
      <w:r w:rsidR="00FF6286">
        <w:rPr>
          <w:rFonts w:asciiTheme="majorBidi" w:hAnsiTheme="majorBidi" w:cs="David" w:hint="cs"/>
          <w:sz w:val="24"/>
          <w:szCs w:val="24"/>
          <w:rtl/>
        </w:rPr>
        <w:t>,</w:t>
      </w:r>
      <w:r w:rsidRPr="00FA0C8B">
        <w:rPr>
          <w:rFonts w:asciiTheme="majorBidi" w:hAnsiTheme="majorBidi" w:cs="David"/>
          <w:sz w:val="24"/>
          <w:szCs w:val="24"/>
          <w:rtl/>
        </w:rPr>
        <w:t xml:space="preserve"> את הטמעת ההמלצות שניתנו למדינת ישראל על ידי קבוצת העבודה למאבק בשוחד של ה-</w:t>
      </w:r>
      <w:r w:rsidRPr="00FA0C8B">
        <w:rPr>
          <w:rFonts w:asciiTheme="majorBidi" w:hAnsiTheme="majorBidi" w:cs="David"/>
          <w:sz w:val="24"/>
          <w:szCs w:val="24"/>
        </w:rPr>
        <w:t>OECD</w:t>
      </w:r>
      <w:r w:rsidRPr="00FA0C8B">
        <w:rPr>
          <w:rFonts w:asciiTheme="majorBidi" w:hAnsiTheme="majorBidi" w:cs="David"/>
          <w:sz w:val="24"/>
          <w:szCs w:val="24"/>
          <w:rtl/>
        </w:rPr>
        <w:t xml:space="preserve">, במסגרת דו"ח הביקורת החיובי שפרסמה הקבוצה על ישראל ביוני 2015. ביוני </w:t>
      </w:r>
      <w:r>
        <w:rPr>
          <w:rFonts w:asciiTheme="majorBidi" w:hAnsiTheme="majorBidi" w:cs="David" w:hint="cs"/>
          <w:sz w:val="24"/>
          <w:szCs w:val="24"/>
          <w:rtl/>
        </w:rPr>
        <w:t xml:space="preserve">2017, </w:t>
      </w:r>
      <w:r w:rsidRPr="00FA0C8B">
        <w:rPr>
          <w:rFonts w:asciiTheme="majorBidi" w:hAnsiTheme="majorBidi" w:cs="David"/>
          <w:sz w:val="24"/>
          <w:szCs w:val="24"/>
          <w:rtl/>
        </w:rPr>
        <w:t xml:space="preserve">התקיים הליך שימוע לישראל על דו"ח המעקב המפורט שהגישה במסגרת הליך </w:t>
      </w:r>
      <w:r>
        <w:rPr>
          <w:rFonts w:asciiTheme="majorBidi" w:hAnsiTheme="majorBidi" w:cs="David" w:hint="cs"/>
          <w:sz w:val="24"/>
          <w:szCs w:val="24"/>
          <w:rtl/>
        </w:rPr>
        <w:t xml:space="preserve">המעקב, </w:t>
      </w:r>
      <w:r w:rsidRPr="00FA0C8B">
        <w:rPr>
          <w:rFonts w:asciiTheme="majorBidi" w:hAnsiTheme="majorBidi" w:cs="David"/>
          <w:sz w:val="24"/>
          <w:szCs w:val="24"/>
          <w:rtl/>
        </w:rPr>
        <w:t xml:space="preserve">בסופו שיבח יו"ר קבוצת העבודה את הצעדים שננקטו על ידי ישראל ואת המהלכים שקודמו על ידה ליישום המלצות הקבוצה. דו"ח קצר המסכם את ממצאי הביקורת של הארגון פורסם בדצמבר 2017, וממצאיו קובעים שישראל יישמה 22 מתוך 27 ההמלצות שניתנו לה, מתוכן 18 באופן מלא. סיומו המוצלח של שלב זה של הטמעת ההמלצות </w:t>
      </w:r>
      <w:r>
        <w:rPr>
          <w:rFonts w:asciiTheme="majorBidi" w:hAnsiTheme="majorBidi" w:cs="David"/>
          <w:sz w:val="24"/>
          <w:szCs w:val="24"/>
          <w:rtl/>
        </w:rPr>
        <w:t>חותם</w:t>
      </w:r>
      <w:r>
        <w:rPr>
          <w:rFonts w:asciiTheme="majorBidi" w:hAnsiTheme="majorBidi" w:cs="David" w:hint="cs"/>
          <w:sz w:val="24"/>
          <w:szCs w:val="24"/>
          <w:rtl/>
        </w:rPr>
        <w:t xml:space="preserve">, למעשה, </w:t>
      </w:r>
      <w:r w:rsidRPr="00FA0C8B">
        <w:rPr>
          <w:rFonts w:asciiTheme="majorBidi" w:hAnsiTheme="majorBidi" w:cs="David"/>
          <w:sz w:val="24"/>
          <w:szCs w:val="24"/>
          <w:rtl/>
        </w:rPr>
        <w:t>את סבב הביקורת השלישי של ישראל במסגרת חברותה בקבוצת העבודה.</w:t>
      </w:r>
    </w:p>
    <w:p w:rsidR="00AF219B" w:rsidRDefault="00AF219B" w:rsidP="00A85D5B">
      <w:pPr>
        <w:spacing w:before="120" w:after="120" w:line="360" w:lineRule="auto"/>
        <w:jc w:val="both"/>
        <w:rPr>
          <w:rFonts w:asciiTheme="majorBidi" w:hAnsiTheme="majorBidi" w:cs="David"/>
          <w:sz w:val="24"/>
          <w:szCs w:val="24"/>
          <w:rtl/>
        </w:rPr>
      </w:pPr>
    </w:p>
    <w:p w:rsidR="00037E70" w:rsidRDefault="00037E70" w:rsidP="007C1193">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Pr>
          <w:rFonts w:asciiTheme="majorBidi" w:hAnsiTheme="majorBidi" w:cs="David" w:hint="cs"/>
          <w:b/>
          <w:bCs/>
          <w:color w:val="0070C0"/>
          <w:sz w:val="28"/>
          <w:szCs w:val="28"/>
          <w:rtl/>
        </w:rPr>
        <w:lastRenderedPageBreak/>
        <w:t xml:space="preserve">הגנה על עובדי מדינה: דחיית תלונה בספרד בעניין תקרית מותו של חייל יוניפי"ל, </w:t>
      </w:r>
      <w:r w:rsidR="00E3594C">
        <w:rPr>
          <w:rFonts w:asciiTheme="majorBidi" w:hAnsiTheme="majorBidi" w:cs="David" w:hint="cs"/>
          <w:b/>
          <w:bCs/>
          <w:color w:val="0070C0"/>
          <w:sz w:val="28"/>
          <w:szCs w:val="28"/>
          <w:rtl/>
        </w:rPr>
        <w:t xml:space="preserve">תוך </w:t>
      </w:r>
      <w:r>
        <w:rPr>
          <w:rFonts w:asciiTheme="majorBidi" w:hAnsiTheme="majorBidi" w:cs="David" w:hint="cs"/>
          <w:b/>
          <w:bCs/>
          <w:color w:val="0070C0"/>
          <w:sz w:val="28"/>
          <w:szCs w:val="28"/>
          <w:rtl/>
        </w:rPr>
        <w:t xml:space="preserve">הבעת אמון במערכת המשפט הישראלית </w:t>
      </w:r>
    </w:p>
    <w:p w:rsidR="00037E70" w:rsidRDefault="00037E70" w:rsidP="007C1193">
      <w:pPr>
        <w:spacing w:before="120" w:after="120" w:line="360" w:lineRule="auto"/>
        <w:jc w:val="both"/>
        <w:rPr>
          <w:rFonts w:asciiTheme="majorBidi" w:hAnsiTheme="majorBidi" w:cs="David"/>
          <w:sz w:val="24"/>
          <w:szCs w:val="24"/>
          <w:rtl/>
        </w:rPr>
      </w:pPr>
      <w:r>
        <w:rPr>
          <w:rFonts w:asciiTheme="majorBidi" w:hAnsiTheme="majorBidi" w:cs="David" w:hint="cs"/>
          <w:sz w:val="24"/>
          <w:szCs w:val="24"/>
          <w:rtl/>
        </w:rPr>
        <w:t xml:space="preserve">באוגוסט 2016, הוגשה בספרד תלונה ביחס לתקרית מותו של חייל יוניפי"ל בגבול לבנון בשנת 2015, ככל הנראה מאש צה"ל. במרץ 2017, דחה השופט החוקר את התלונה, בעקבות המלצת התובעת הראשית, בקבעו כי אין לספרד סמכות שיפוט על התקרית היות ומדובר בפעולה מלחמתית. באופן חשוב, השופט ציין כי המענה של מדינת ישראל לבקשה לעזרה משפטית מצביע על חקירה יסודית שנערכה בישראל, ועל כך שהמוות נגרם כתוצאה מסטייה לא מכוונת. עוד נקבע כי אין בסיס לשקול הטלת אחריות פלילית במקרה זה. החלטת השופט מהווה הבעת אמון במערכת המשפט הישראלית ותורמת למוניטין החיובי שלה בפורומים משפטיים זרים. </w:t>
      </w:r>
      <w:r w:rsidR="001D4D96">
        <w:rPr>
          <w:rFonts w:asciiTheme="majorBidi" w:hAnsiTheme="majorBidi" w:cs="David" w:hint="cs"/>
          <w:sz w:val="24"/>
          <w:szCs w:val="24"/>
          <w:rtl/>
        </w:rPr>
        <w:t xml:space="preserve">המחלקה </w:t>
      </w:r>
      <w:r>
        <w:rPr>
          <w:rFonts w:asciiTheme="majorBidi" w:hAnsiTheme="majorBidi" w:cs="David" w:hint="cs"/>
          <w:sz w:val="24"/>
          <w:szCs w:val="24"/>
          <w:rtl/>
        </w:rPr>
        <w:t xml:space="preserve">ריכזה את הטיפול בתיק, </w:t>
      </w:r>
      <w:r w:rsidR="001D4D96">
        <w:rPr>
          <w:rFonts w:asciiTheme="majorBidi" w:hAnsiTheme="majorBidi" w:cs="David" w:hint="cs"/>
          <w:sz w:val="24"/>
          <w:szCs w:val="24"/>
          <w:rtl/>
        </w:rPr>
        <w:t xml:space="preserve">בשיתוף </w:t>
      </w:r>
      <w:r>
        <w:rPr>
          <w:rFonts w:asciiTheme="majorBidi" w:hAnsiTheme="majorBidi" w:cs="David" w:hint="cs"/>
          <w:sz w:val="24"/>
          <w:szCs w:val="24"/>
          <w:rtl/>
        </w:rPr>
        <w:t>עם המחלקה הבין-לאומית בפרקליטות המדינה, משרד החוץ, מ</w:t>
      </w:r>
      <w:r w:rsidR="001D4D96">
        <w:rPr>
          <w:rFonts w:asciiTheme="majorBidi" w:hAnsiTheme="majorBidi" w:cs="David" w:hint="cs"/>
          <w:sz w:val="24"/>
          <w:szCs w:val="24"/>
          <w:rtl/>
        </w:rPr>
        <w:t xml:space="preserve">שרד הביטחון והפרקליטות הצבאית. </w:t>
      </w:r>
      <w:r>
        <w:rPr>
          <w:rFonts w:asciiTheme="majorBidi" w:hAnsiTheme="majorBidi" w:cs="David" w:hint="cs"/>
          <w:sz w:val="24"/>
          <w:szCs w:val="24"/>
          <w:rtl/>
        </w:rPr>
        <w:t xml:space="preserve">  </w:t>
      </w:r>
    </w:p>
    <w:p w:rsidR="006A3DF0" w:rsidRPr="0007332D" w:rsidRDefault="00BB5D8B" w:rsidP="00FF6286">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Pr>
          <w:rFonts w:asciiTheme="majorBidi" w:hAnsiTheme="majorBidi" w:cs="David" w:hint="cs"/>
          <w:b/>
          <w:bCs/>
          <w:color w:val="0070C0"/>
          <w:sz w:val="28"/>
          <w:szCs w:val="28"/>
          <w:rtl/>
        </w:rPr>
        <w:t>קידום מדיניות הממשלה בנושא הכניסה לאר</w:t>
      </w:r>
      <w:r w:rsidR="00FF6286">
        <w:rPr>
          <w:rFonts w:asciiTheme="majorBidi" w:hAnsiTheme="majorBidi" w:cs="David" w:hint="cs"/>
          <w:b/>
          <w:bCs/>
          <w:color w:val="0070C0"/>
          <w:sz w:val="28"/>
          <w:szCs w:val="28"/>
          <w:rtl/>
        </w:rPr>
        <w:t>צות הברית</w:t>
      </w:r>
      <w:r>
        <w:rPr>
          <w:rFonts w:asciiTheme="majorBidi" w:hAnsiTheme="majorBidi" w:cs="David" w:hint="cs"/>
          <w:b/>
          <w:bCs/>
          <w:color w:val="0070C0"/>
          <w:sz w:val="28"/>
          <w:szCs w:val="28"/>
          <w:rtl/>
        </w:rPr>
        <w:t xml:space="preserve">: </w:t>
      </w:r>
      <w:r w:rsidR="006A3DF0">
        <w:rPr>
          <w:rFonts w:asciiTheme="majorBidi" w:hAnsiTheme="majorBidi" w:cs="David" w:hint="cs"/>
          <w:b/>
          <w:bCs/>
          <w:color w:val="0070C0"/>
          <w:sz w:val="28"/>
          <w:szCs w:val="28"/>
          <w:rtl/>
        </w:rPr>
        <w:t xml:space="preserve">התקדמות במגעים </w:t>
      </w:r>
      <w:r>
        <w:rPr>
          <w:rFonts w:asciiTheme="majorBidi" w:hAnsiTheme="majorBidi" w:cs="David" w:hint="cs"/>
          <w:b/>
          <w:bCs/>
          <w:color w:val="0070C0"/>
          <w:sz w:val="28"/>
          <w:szCs w:val="28"/>
          <w:rtl/>
        </w:rPr>
        <w:t xml:space="preserve">להצטרפות לתכנית הפטור מוויזות לישראלים </w:t>
      </w:r>
    </w:p>
    <w:p w:rsidR="006A3DF0" w:rsidRPr="006A3DF0" w:rsidRDefault="006A3DF0" w:rsidP="00FF6286">
      <w:pPr>
        <w:spacing w:before="120" w:after="120" w:line="360" w:lineRule="auto"/>
        <w:jc w:val="both"/>
        <w:rPr>
          <w:rFonts w:ascii="Arial" w:hAnsi="Arial" w:cs="David"/>
          <w:color w:val="000000"/>
          <w:sz w:val="24"/>
          <w:szCs w:val="24"/>
          <w:rtl/>
        </w:rPr>
      </w:pPr>
      <w:r w:rsidRPr="00A6025F">
        <w:rPr>
          <w:rFonts w:ascii="Arial" w:hAnsi="Arial" w:cs="David" w:hint="cs"/>
          <w:color w:val="000000"/>
          <w:sz w:val="24"/>
          <w:szCs w:val="24"/>
          <w:rtl/>
        </w:rPr>
        <w:t xml:space="preserve">בהתאם להנחיית הדרג המדיני מתנהל בשנים האחרונות משא ומתן בין מדינת </w:t>
      </w:r>
      <w:r w:rsidRPr="00570109">
        <w:rPr>
          <w:rFonts w:asciiTheme="majorBidi" w:hAnsiTheme="majorBidi" w:cs="David"/>
          <w:color w:val="000000"/>
          <w:sz w:val="24"/>
          <w:szCs w:val="24"/>
          <w:rtl/>
        </w:rPr>
        <w:t>ישראל לארצות הברית על הסכם ה-</w:t>
      </w:r>
      <w:r w:rsidRPr="00570109">
        <w:rPr>
          <w:rFonts w:asciiTheme="majorBidi" w:hAnsiTheme="majorBidi" w:cs="David"/>
          <w:color w:val="000000"/>
          <w:sz w:val="24"/>
          <w:szCs w:val="24"/>
        </w:rPr>
        <w:t xml:space="preserve">PCSC </w:t>
      </w:r>
      <w:r w:rsidRPr="00570109">
        <w:rPr>
          <w:rFonts w:asciiTheme="majorBidi" w:hAnsiTheme="majorBidi" w:cs="David"/>
          <w:color w:val="000000"/>
          <w:sz w:val="24"/>
          <w:szCs w:val="24"/>
          <w:rtl/>
        </w:rPr>
        <w:t xml:space="preserve"> </w:t>
      </w:r>
      <w:r w:rsidRPr="00570109">
        <w:rPr>
          <w:rFonts w:asciiTheme="majorBidi" w:hAnsiTheme="majorBidi" w:cs="David"/>
          <w:color w:val="000000"/>
          <w:sz w:val="24"/>
          <w:szCs w:val="24"/>
        </w:rPr>
        <w:t>Preventing and Combating Serious Crime and Terrorism)</w:t>
      </w:r>
      <w:r w:rsidRPr="00570109">
        <w:rPr>
          <w:rFonts w:asciiTheme="majorBidi" w:hAnsiTheme="majorBidi" w:cs="David"/>
          <w:color w:val="000000"/>
          <w:sz w:val="24"/>
          <w:szCs w:val="24"/>
          <w:rtl/>
        </w:rPr>
        <w:t>), אשר חתימה ויישום שלו מהווים את אחד התנאים להצטרפות לתכנית הפטור מאשרות (</w:t>
      </w:r>
      <w:r w:rsidRPr="00570109">
        <w:rPr>
          <w:rFonts w:asciiTheme="majorBidi" w:hAnsiTheme="majorBidi" w:cs="David"/>
          <w:color w:val="000000"/>
          <w:sz w:val="24"/>
          <w:szCs w:val="24"/>
        </w:rPr>
        <w:t>Visa Waiver</w:t>
      </w:r>
      <w:r w:rsidRPr="00570109">
        <w:rPr>
          <w:rFonts w:asciiTheme="majorBidi" w:hAnsiTheme="majorBidi" w:cs="David"/>
          <w:color w:val="000000"/>
          <w:sz w:val="24"/>
          <w:szCs w:val="24"/>
          <w:rtl/>
        </w:rPr>
        <w:t>) של א</w:t>
      </w:r>
      <w:r w:rsidRPr="00A6025F">
        <w:rPr>
          <w:rFonts w:ascii="Arial" w:hAnsi="Arial" w:cs="David" w:hint="cs"/>
          <w:color w:val="000000"/>
          <w:sz w:val="24"/>
          <w:szCs w:val="24"/>
          <w:rtl/>
        </w:rPr>
        <w:t>רצות הברית. ההסכם נועד לאפשר העברת מידע ישירה ממאגר טביעות האצבע המשטרתי לידי רשויות וגופים באר</w:t>
      </w:r>
      <w:r w:rsidR="00FF6286">
        <w:rPr>
          <w:rFonts w:ascii="Arial" w:hAnsi="Arial" w:cs="David" w:hint="cs"/>
          <w:color w:val="000000"/>
          <w:sz w:val="24"/>
          <w:szCs w:val="24"/>
          <w:rtl/>
        </w:rPr>
        <w:t xml:space="preserve">צות הברית, </w:t>
      </w:r>
      <w:r w:rsidRPr="00A6025F">
        <w:rPr>
          <w:rFonts w:ascii="Arial" w:hAnsi="Arial" w:cs="David" w:hint="cs"/>
          <w:color w:val="000000"/>
          <w:sz w:val="24"/>
          <w:szCs w:val="24"/>
          <w:rtl/>
        </w:rPr>
        <w:t xml:space="preserve">וזאת למטרות שהוגדרו כלוחמה בטרור ופשיעה חמורה. מדובר בהסכם הדדי, כך שמאגר דומה של האמריקאים, בהיקף רחב הרבה יותר, אמור להיות פתוח בפני משטרת ישראל. </w:t>
      </w:r>
      <w:r w:rsidRPr="00A6025F">
        <w:rPr>
          <w:rFonts w:ascii="Arial" w:hAnsi="Arial" w:cs="David"/>
          <w:color w:val="000000"/>
          <w:sz w:val="24"/>
          <w:szCs w:val="24"/>
          <w:rtl/>
        </w:rPr>
        <w:t>במהלך ביקור שרת המשפטים בארצות הברית</w:t>
      </w:r>
      <w:r>
        <w:rPr>
          <w:rFonts w:ascii="Arial" w:hAnsi="Arial" w:cs="David" w:hint="cs"/>
          <w:color w:val="000000"/>
          <w:sz w:val="24"/>
          <w:szCs w:val="24"/>
          <w:rtl/>
        </w:rPr>
        <w:t xml:space="preserve"> שהתקיים בחודש </w:t>
      </w:r>
      <w:r w:rsidRPr="00A6025F">
        <w:rPr>
          <w:rFonts w:ascii="Arial" w:hAnsi="Arial" w:cs="David" w:hint="cs"/>
          <w:color w:val="000000"/>
          <w:sz w:val="24"/>
          <w:szCs w:val="24"/>
          <w:rtl/>
        </w:rPr>
        <w:t>מאי 2017,</w:t>
      </w:r>
      <w:r w:rsidRPr="00A6025F">
        <w:rPr>
          <w:rFonts w:ascii="Arial" w:hAnsi="Arial" w:cs="David"/>
          <w:color w:val="000000"/>
          <w:sz w:val="24"/>
          <w:szCs w:val="24"/>
          <w:rtl/>
        </w:rPr>
        <w:t xml:space="preserve"> נפגש</w:t>
      </w:r>
      <w:r w:rsidRPr="00A6025F">
        <w:rPr>
          <w:rFonts w:ascii="Arial" w:hAnsi="Arial" w:cs="David" w:hint="cs"/>
          <w:color w:val="000000"/>
          <w:sz w:val="24"/>
          <w:szCs w:val="24"/>
          <w:rtl/>
        </w:rPr>
        <w:t xml:space="preserve"> המשנה ליועץ המשפטי לממשלה (משפט בין-לאומי), </w:t>
      </w:r>
      <w:r w:rsidRPr="00A6025F">
        <w:rPr>
          <w:rFonts w:ascii="Arial" w:hAnsi="Arial" w:cs="David"/>
          <w:color w:val="000000"/>
          <w:sz w:val="24"/>
          <w:szCs w:val="24"/>
          <w:rtl/>
        </w:rPr>
        <w:t>לבקשת</w:t>
      </w:r>
      <w:r w:rsidRPr="00A6025F">
        <w:rPr>
          <w:rFonts w:ascii="Arial" w:hAnsi="Arial" w:cs="David" w:hint="cs"/>
          <w:color w:val="000000"/>
          <w:sz w:val="24"/>
          <w:szCs w:val="24"/>
          <w:rtl/>
        </w:rPr>
        <w:t xml:space="preserve"> השרה</w:t>
      </w:r>
      <w:r w:rsidRPr="00A6025F">
        <w:rPr>
          <w:rFonts w:ascii="Arial" w:hAnsi="Arial" w:cs="David"/>
          <w:color w:val="000000"/>
          <w:sz w:val="24"/>
          <w:szCs w:val="24"/>
          <w:rtl/>
        </w:rPr>
        <w:t xml:space="preserve">, עם נציגי המשרד לביטחון המולדת על מנת לדון בהסכם </w:t>
      </w:r>
      <w:r w:rsidRPr="00A6025F">
        <w:rPr>
          <w:rFonts w:ascii="Arial" w:hAnsi="Arial" w:cs="David" w:hint="cs"/>
          <w:color w:val="000000"/>
          <w:sz w:val="24"/>
          <w:szCs w:val="24"/>
          <w:rtl/>
        </w:rPr>
        <w:t xml:space="preserve">זה. במסגרת הפגישה דנו הצדדים במורכבות </w:t>
      </w:r>
      <w:r w:rsidRPr="00A6025F">
        <w:rPr>
          <w:rFonts w:ascii="Arial" w:hAnsi="Arial" w:cs="David"/>
          <w:color w:val="000000"/>
          <w:sz w:val="24"/>
          <w:szCs w:val="24"/>
          <w:rtl/>
        </w:rPr>
        <w:t>הקיימת מבחינת מדינת ישראל במתן גישה למאגר טביעות האצבע של משטרת ישראל ובמסירת מידע אישי</w:t>
      </w:r>
      <w:r w:rsidRPr="00A6025F">
        <w:rPr>
          <w:rFonts w:ascii="Arial" w:hAnsi="Arial" w:cs="David" w:hint="cs"/>
          <w:color w:val="000000"/>
          <w:sz w:val="24"/>
          <w:szCs w:val="24"/>
          <w:rtl/>
        </w:rPr>
        <w:t>, ונעשה מאמץ משמעותי להגיע להבנות עקרוניות עם הצד האמריקאי. שיחות אלו הובילו לפריצת דרך במשא ומתן עם האמריקאים. כיום, על אף שהמשא ומתן עדיין מתנהל, נוכח יחסי האמון שנוצרו אנו עדים לנכונות רבה יותר של האמריקאים לגלות גמישות ביחס לנוסח ה</w:t>
      </w:r>
      <w:r w:rsidR="00F01275">
        <w:rPr>
          <w:rFonts w:ascii="Arial" w:hAnsi="Arial" w:cs="David" w:hint="cs"/>
          <w:color w:val="000000"/>
          <w:sz w:val="24"/>
          <w:szCs w:val="24"/>
          <w:rtl/>
        </w:rPr>
        <w:t xml:space="preserve">הסכם. </w:t>
      </w:r>
      <w:r w:rsidRPr="00A6025F">
        <w:rPr>
          <w:rFonts w:ascii="Arial" w:hAnsi="Arial" w:cs="David" w:hint="cs"/>
          <w:color w:val="000000"/>
          <w:sz w:val="24"/>
          <w:szCs w:val="24"/>
          <w:rtl/>
        </w:rPr>
        <w:t xml:space="preserve">היועץ המשפטי לממשלה מלווה את העבודה על ההסכם, אשר נעשית תוך שיתוף פעולה מרשים של מספר רב של גופים, ביניהם המחלקה למשפט פלילי והמחלקה למשפט חוקתי-ציבורי בייעוץ וחקיקה, משרד החוץ וגופי הביטחון השונים. </w:t>
      </w:r>
    </w:p>
    <w:p w:rsidR="006A3DF0" w:rsidRDefault="006A3DF0" w:rsidP="006A3DF0">
      <w:pPr>
        <w:pStyle w:val="a3"/>
        <w:numPr>
          <w:ilvl w:val="0"/>
          <w:numId w:val="5"/>
        </w:numPr>
        <w:spacing w:before="120" w:after="120" w:line="360" w:lineRule="auto"/>
        <w:contextualSpacing w:val="0"/>
        <w:jc w:val="both"/>
        <w:rPr>
          <w:rFonts w:asciiTheme="majorBidi" w:eastAsia="Calibri" w:hAnsiTheme="majorBidi" w:cs="David"/>
          <w:b/>
          <w:bCs/>
          <w:color w:val="0070C0"/>
          <w:sz w:val="28"/>
          <w:szCs w:val="28"/>
        </w:rPr>
      </w:pPr>
      <w:r w:rsidRPr="00CF269E">
        <w:rPr>
          <w:rFonts w:asciiTheme="majorBidi" w:eastAsia="Calibri" w:hAnsiTheme="majorBidi" w:cs="David" w:hint="cs"/>
          <w:b/>
          <w:bCs/>
          <w:color w:val="0070C0"/>
          <w:sz w:val="28"/>
          <w:szCs w:val="28"/>
          <w:rtl/>
        </w:rPr>
        <w:t xml:space="preserve">השתתפות בפורומים משפטיים בין-לאומיים: נציג המחלקה נבחר לתפקיד דווח </w:t>
      </w:r>
      <w:r>
        <w:rPr>
          <w:rFonts w:asciiTheme="majorBidi" w:eastAsia="Calibri" w:hAnsiTheme="majorBidi" w:cs="David" w:hint="cs"/>
          <w:b/>
          <w:bCs/>
          <w:color w:val="0070C0"/>
          <w:sz w:val="28"/>
          <w:szCs w:val="28"/>
          <w:rtl/>
        </w:rPr>
        <w:t>ב</w:t>
      </w:r>
      <w:r w:rsidRPr="00CF269E">
        <w:rPr>
          <w:rFonts w:asciiTheme="majorBidi" w:eastAsia="Calibri" w:hAnsiTheme="majorBidi" w:cs="David" w:hint="cs"/>
          <w:b/>
          <w:bCs/>
          <w:color w:val="0070C0"/>
          <w:sz w:val="28"/>
          <w:szCs w:val="28"/>
          <w:rtl/>
        </w:rPr>
        <w:t xml:space="preserve">דיוני ועדת האו"ם למשפט בין-לאומי מסחרי </w:t>
      </w:r>
    </w:p>
    <w:p w:rsidR="006A3DF0" w:rsidRPr="006A3DF0" w:rsidRDefault="006A3DF0" w:rsidP="006A3DF0">
      <w:pPr>
        <w:spacing w:before="120" w:after="120" w:line="360" w:lineRule="auto"/>
        <w:jc w:val="both"/>
        <w:rPr>
          <w:rFonts w:asciiTheme="majorBidi" w:eastAsia="Calibri" w:hAnsiTheme="majorBidi" w:cs="David"/>
          <w:sz w:val="24"/>
          <w:szCs w:val="24"/>
          <w:rtl/>
        </w:rPr>
      </w:pPr>
      <w:r w:rsidRPr="00646AC8">
        <w:rPr>
          <w:rFonts w:asciiTheme="majorBidi" w:eastAsia="Calibri" w:hAnsiTheme="majorBidi" w:cs="David" w:hint="cs"/>
          <w:sz w:val="24"/>
          <w:szCs w:val="24"/>
          <w:rtl/>
        </w:rPr>
        <w:t>באוקטובר 2017, נציג המחלקה, עו"ד איתי אפטר, השתתף במפגש של קבוצת העבודה של ועדת האו"ם למשפט בין-לאומי מסחרי (</w:t>
      </w:r>
      <w:r w:rsidRPr="00646AC8">
        <w:rPr>
          <w:rFonts w:asciiTheme="majorBidi" w:eastAsia="Calibri" w:hAnsiTheme="majorBidi" w:cs="David"/>
          <w:sz w:val="24"/>
          <w:szCs w:val="24"/>
        </w:rPr>
        <w:t>UNCITRAL</w:t>
      </w:r>
      <w:r w:rsidRPr="00646AC8">
        <w:rPr>
          <w:rFonts w:asciiTheme="majorBidi" w:eastAsia="Calibri" w:hAnsiTheme="majorBidi" w:cs="David" w:hint="cs"/>
          <w:sz w:val="24"/>
          <w:szCs w:val="24"/>
          <w:rtl/>
        </w:rPr>
        <w:t>) לגיבוש אמנה אוניברסלית לאכיפת הסכמי פשרה בין-לאומיים ליישוב סכסוכים בעסקאות מסחריות, ונבחר לשמש כ-"דווח" (</w:t>
      </w:r>
      <w:r w:rsidRPr="00646AC8">
        <w:rPr>
          <w:rFonts w:asciiTheme="majorBidi" w:eastAsia="Calibri" w:hAnsiTheme="majorBidi" w:cs="David"/>
          <w:sz w:val="24"/>
          <w:szCs w:val="24"/>
        </w:rPr>
        <w:t>rapporteur</w:t>
      </w:r>
      <w:r w:rsidRPr="00646AC8">
        <w:rPr>
          <w:rFonts w:asciiTheme="majorBidi" w:eastAsia="Calibri" w:hAnsiTheme="majorBidi" w:cs="David" w:hint="cs"/>
          <w:sz w:val="24"/>
          <w:szCs w:val="24"/>
          <w:rtl/>
        </w:rPr>
        <w:t xml:space="preserve">) לדיונים. כרקע לדברים, נציין כי </w:t>
      </w:r>
      <w:r w:rsidRPr="00646AC8">
        <w:rPr>
          <w:rFonts w:ascii="Arial" w:hAnsi="Arial" w:cs="David"/>
          <w:sz w:val="24"/>
          <w:szCs w:val="24"/>
          <w:rtl/>
        </w:rPr>
        <w:t xml:space="preserve">ההסדרים המתהווים בעניין אכיפת הסכמי פשרה בסכסוכים </w:t>
      </w:r>
      <w:r w:rsidRPr="00646AC8">
        <w:rPr>
          <w:rFonts w:ascii="Arial" w:hAnsi="Arial" w:cs="David"/>
          <w:sz w:val="24"/>
          <w:szCs w:val="24"/>
          <w:rtl/>
        </w:rPr>
        <w:lastRenderedPageBreak/>
        <w:t>בעסקאות סחר בין-לאומיות, והאמנה שתעוגן בעניין, עשויים לתרום רבות לצדדים המעורבים בסכסוכים לחסוך בעלויות הגבוהות של בוררות בין-לאומית ובמורכבות המתלווה אליה, כולל לגורמים עסקיים ישראלים הפעילים בזירה הבין-לאומית.</w:t>
      </w:r>
      <w:r w:rsidRPr="00646AC8">
        <w:rPr>
          <w:rFonts w:asciiTheme="majorBidi" w:eastAsia="Calibri" w:hAnsiTheme="majorBidi" w:cs="David" w:hint="cs"/>
          <w:sz w:val="24"/>
          <w:szCs w:val="24"/>
          <w:rtl/>
        </w:rPr>
        <w:t xml:space="preserve"> לאורך הזמן, אנשי המחלקה היו מעורבים באופן פעיל ומוביל בדיונים שעסקו בנושאים אלה. במפגש שהתקיים באוקטובר 2017, השתתפו כ-150 איש, כולל נציגים ממדינות רבות וארגונים שונים העוסקים בתחום. מזכירות קבוצת העבודה (מזכירות האו"ם) היא שיזמה את המינוי וגרמניה הציעה את המועמדות, תוך שהיא מציינת את המחויבות הרבה של עו"ד אפטר, בייצגו את מדינת ישראל, לקדם הסכמות בין מדינות שמשתתפות בדיונים, על מנת להגיע לתוצרי עבודה מאוזנים וראויים. </w:t>
      </w:r>
      <w:proofErr w:type="spellStart"/>
      <w:r w:rsidRPr="00646AC8">
        <w:rPr>
          <w:rFonts w:asciiTheme="majorBidi" w:eastAsia="Calibri" w:hAnsiTheme="majorBidi" w:cs="David" w:hint="cs"/>
          <w:sz w:val="24"/>
          <w:szCs w:val="24"/>
          <w:rtl/>
        </w:rPr>
        <w:t>הדווח</w:t>
      </w:r>
      <w:proofErr w:type="spellEnd"/>
      <w:r w:rsidRPr="00646AC8">
        <w:rPr>
          <w:rFonts w:asciiTheme="majorBidi" w:eastAsia="Calibri" w:hAnsiTheme="majorBidi" w:cs="David" w:hint="cs"/>
          <w:sz w:val="24"/>
          <w:szCs w:val="24"/>
          <w:rtl/>
        </w:rPr>
        <w:t xml:space="preserve"> ממלא תפקיד פורמלי ומדווח על תוכן הדיונים וההחלטות שהתקבלו בוועידה. המינוי משקף את האמון לו זוכה עו"ד אפטר ואת ההערכה שרוחשים משתתפי הדיונים למקצועיותו, כמו גם לתרומה הרבה של מדינת ישראל לדיונים שהתקיימו בעניין בשנים האחרונות. </w:t>
      </w:r>
    </w:p>
    <w:p w:rsidR="0098068A" w:rsidRPr="0060046E" w:rsidRDefault="0060046E" w:rsidP="0060046E">
      <w:pPr>
        <w:pStyle w:val="a3"/>
        <w:numPr>
          <w:ilvl w:val="0"/>
          <w:numId w:val="5"/>
        </w:numPr>
        <w:spacing w:before="120" w:after="120" w:line="360" w:lineRule="auto"/>
        <w:jc w:val="both"/>
        <w:rPr>
          <w:rFonts w:asciiTheme="majorBidi" w:hAnsiTheme="majorBidi" w:cs="David"/>
          <w:b/>
          <w:bCs/>
          <w:color w:val="0070C0"/>
          <w:sz w:val="28"/>
          <w:szCs w:val="28"/>
        </w:rPr>
      </w:pPr>
      <w:r w:rsidRPr="0060046E">
        <w:rPr>
          <w:rFonts w:asciiTheme="majorBidi" w:hAnsiTheme="majorBidi" w:cs="David" w:hint="cs"/>
          <w:b/>
          <w:bCs/>
          <w:color w:val="0070C0"/>
          <w:sz w:val="28"/>
          <w:szCs w:val="28"/>
          <w:rtl/>
        </w:rPr>
        <w:t xml:space="preserve">הליכים במדינות זרות: </w:t>
      </w:r>
      <w:r w:rsidR="002D3155" w:rsidRPr="0060046E">
        <w:rPr>
          <w:rFonts w:asciiTheme="majorBidi" w:hAnsiTheme="majorBidi" w:cs="David" w:hint="cs"/>
          <w:b/>
          <w:bCs/>
          <w:color w:val="0070C0"/>
          <w:sz w:val="28"/>
          <w:szCs w:val="28"/>
          <w:rtl/>
        </w:rPr>
        <w:t xml:space="preserve">דחיית תביעה אזרחית בארצות הברית </w:t>
      </w:r>
      <w:r w:rsidR="0098068A" w:rsidRPr="0060046E">
        <w:rPr>
          <w:rFonts w:asciiTheme="majorBidi" w:hAnsiTheme="majorBidi" w:cs="David" w:hint="cs"/>
          <w:b/>
          <w:bCs/>
          <w:color w:val="0070C0"/>
          <w:sz w:val="28"/>
          <w:szCs w:val="28"/>
          <w:rtl/>
        </w:rPr>
        <w:t xml:space="preserve">נגד גורמים פרטיים וחברות בשל זיקתם להתיישבות הישראלית בשטחים שמעבר לקו הירוק </w:t>
      </w:r>
    </w:p>
    <w:p w:rsidR="00A85D5B" w:rsidRDefault="0098068A" w:rsidP="00A85D5B">
      <w:pPr>
        <w:spacing w:before="120" w:after="120" w:line="360" w:lineRule="auto"/>
        <w:jc w:val="both"/>
        <w:rPr>
          <w:rFonts w:asciiTheme="majorBidi" w:hAnsiTheme="majorBidi" w:cs="David"/>
          <w:sz w:val="24"/>
          <w:szCs w:val="24"/>
          <w:rtl/>
        </w:rPr>
      </w:pPr>
      <w:r>
        <w:rPr>
          <w:rFonts w:asciiTheme="majorBidi" w:hAnsiTheme="majorBidi" w:cs="David" w:hint="cs"/>
          <w:sz w:val="24"/>
          <w:szCs w:val="24"/>
          <w:rtl/>
        </w:rPr>
        <w:t xml:space="preserve">במרץ 2016, הוגשה בארצות הברית תביעה אזרחית נגד שורה של גורמים </w:t>
      </w:r>
      <w:r>
        <w:rPr>
          <w:rFonts w:asciiTheme="majorBidi" w:hAnsiTheme="majorBidi" w:cs="David"/>
          <w:sz w:val="24"/>
          <w:szCs w:val="24"/>
          <w:rtl/>
        </w:rPr>
        <w:t>–</w:t>
      </w:r>
      <w:r>
        <w:rPr>
          <w:rFonts w:asciiTheme="majorBidi" w:hAnsiTheme="majorBidi" w:cs="David" w:hint="cs"/>
          <w:sz w:val="24"/>
          <w:szCs w:val="24"/>
          <w:rtl/>
        </w:rPr>
        <w:t xml:space="preserve"> ארגונים, חברות פרטיות, בעלי הון, בנקים ועוד </w:t>
      </w:r>
      <w:r>
        <w:rPr>
          <w:rFonts w:asciiTheme="majorBidi" w:hAnsiTheme="majorBidi" w:cs="David"/>
          <w:sz w:val="24"/>
          <w:szCs w:val="24"/>
          <w:rtl/>
        </w:rPr>
        <w:t>–</w:t>
      </w:r>
      <w:r>
        <w:rPr>
          <w:rFonts w:asciiTheme="majorBidi" w:hAnsiTheme="majorBidi" w:cs="David" w:hint="cs"/>
          <w:sz w:val="24"/>
          <w:szCs w:val="24"/>
          <w:rtl/>
        </w:rPr>
        <w:t xml:space="preserve"> בשל פעילותם הכלכלית הישירה או העקיפה בהתיישבות הישראלית שמעבר לקו הירוק, המהווה, לטענת התובעים, פשעי מלחמה ופשעים נגד האנושות. באוגוסט 2017, בית המשפט הפדרלי בוושינגטון דחה את התביעה</w:t>
      </w:r>
      <w:r w:rsidR="007B59A5">
        <w:rPr>
          <w:rFonts w:asciiTheme="majorBidi" w:hAnsiTheme="majorBidi" w:cs="David" w:hint="cs"/>
          <w:sz w:val="24"/>
          <w:szCs w:val="24"/>
          <w:rtl/>
        </w:rPr>
        <w:t xml:space="preserve"> על הסף בהתבסס על דוקטרינת השאלה הפוליטית. בית המשפט קבע כי טענות התובעים מלאות שאלות פוליטיות ובלתי שפיטות, השוללות את סמכותו העניינית לדון בהן. </w:t>
      </w:r>
      <w:r w:rsidR="00802499">
        <w:rPr>
          <w:rFonts w:asciiTheme="majorBidi" w:hAnsiTheme="majorBidi" w:cs="David" w:hint="cs"/>
          <w:sz w:val="24"/>
          <w:szCs w:val="24"/>
          <w:rtl/>
        </w:rPr>
        <w:t xml:space="preserve">בית המשפט ציין כי דיון בתביעה היה מחייב אותו להכריע בשאלות כמו חוקיות ההתיישבות, הריבונות המדינית, זכויות לקניין פרטי ושליטה במקרקעין שבמחלוקת, אשר מחייבות קביעה מצד הדרגים הפוליטיים, וכי על בית המשפט להימנע </w:t>
      </w:r>
      <w:r w:rsidR="007B59A5">
        <w:rPr>
          <w:rFonts w:asciiTheme="majorBidi" w:hAnsiTheme="majorBidi" w:cs="David" w:hint="cs"/>
          <w:sz w:val="24"/>
          <w:szCs w:val="24"/>
          <w:rtl/>
        </w:rPr>
        <w:t xml:space="preserve">מלחוות דעתו בנושאים </w:t>
      </w:r>
      <w:r w:rsidR="003B6CE9">
        <w:rPr>
          <w:rFonts w:asciiTheme="majorBidi" w:hAnsiTheme="majorBidi" w:cs="David" w:hint="cs"/>
          <w:sz w:val="24"/>
          <w:szCs w:val="24"/>
          <w:rtl/>
        </w:rPr>
        <w:t xml:space="preserve">דיפלומטיים </w:t>
      </w:r>
      <w:proofErr w:type="spellStart"/>
      <w:r w:rsidR="003B6CE9">
        <w:rPr>
          <w:rFonts w:asciiTheme="majorBidi" w:hAnsiTheme="majorBidi" w:cs="David" w:hint="cs"/>
          <w:sz w:val="24"/>
          <w:szCs w:val="24"/>
          <w:rtl/>
        </w:rPr>
        <w:t>וגיאו</w:t>
      </w:r>
      <w:proofErr w:type="spellEnd"/>
      <w:r w:rsidR="003B6CE9">
        <w:rPr>
          <w:rFonts w:asciiTheme="majorBidi" w:hAnsiTheme="majorBidi" w:cs="David" w:hint="cs"/>
          <w:sz w:val="24"/>
          <w:szCs w:val="24"/>
          <w:rtl/>
        </w:rPr>
        <w:t xml:space="preserve">-פוליטיים רגישים אלה. </w:t>
      </w:r>
      <w:r w:rsidR="00802499">
        <w:rPr>
          <w:rFonts w:asciiTheme="majorBidi" w:hAnsiTheme="majorBidi" w:cs="David" w:hint="cs"/>
          <w:sz w:val="24"/>
          <w:szCs w:val="24"/>
          <w:rtl/>
        </w:rPr>
        <w:t xml:space="preserve">בנימה כללית יותר, בית המשפט ציין כי קשה לחשוב על סכסוך פוליטי יותר במהותו מאשר הסכסוך הישראלי-פלסטיני. </w:t>
      </w:r>
      <w:r w:rsidR="003B6CE9">
        <w:rPr>
          <w:rFonts w:asciiTheme="majorBidi" w:hAnsiTheme="majorBidi" w:cs="David" w:hint="cs"/>
          <w:sz w:val="24"/>
          <w:szCs w:val="24"/>
          <w:rtl/>
        </w:rPr>
        <w:t xml:space="preserve">בספטמבר 2017 הוגש ערעור בתיק זה, אשר עודו תלוי ועומד. מדובר בפסק דין חשוב ותקדימי, לא רק בשל דחיית התביעה עצמה, אלא משום שיש בו </w:t>
      </w:r>
      <w:r w:rsidR="00802499">
        <w:rPr>
          <w:rFonts w:asciiTheme="majorBidi" w:hAnsiTheme="majorBidi" w:cs="David" w:hint="cs"/>
          <w:sz w:val="24"/>
          <w:szCs w:val="24"/>
          <w:rtl/>
        </w:rPr>
        <w:t xml:space="preserve">כדי </w:t>
      </w:r>
      <w:r w:rsidR="003B6CE9">
        <w:rPr>
          <w:rFonts w:asciiTheme="majorBidi" w:hAnsiTheme="majorBidi" w:cs="David" w:hint="cs"/>
          <w:sz w:val="24"/>
          <w:szCs w:val="24"/>
          <w:rtl/>
        </w:rPr>
        <w:t xml:space="preserve">לסייע בהתמודדות עם ניסיונות דומים לתקוף את מדיניות ישראל בשטחים שמעבר לקו הירוק, </w:t>
      </w:r>
      <w:r w:rsidR="00802499">
        <w:rPr>
          <w:rFonts w:asciiTheme="majorBidi" w:hAnsiTheme="majorBidi" w:cs="David" w:hint="cs"/>
          <w:sz w:val="24"/>
          <w:szCs w:val="24"/>
          <w:rtl/>
        </w:rPr>
        <w:t xml:space="preserve">בדגש על נושא ההתיישבות הישראלית, </w:t>
      </w:r>
      <w:r w:rsidR="003B6CE9">
        <w:rPr>
          <w:rFonts w:asciiTheme="majorBidi" w:hAnsiTheme="majorBidi" w:cs="David" w:hint="cs"/>
          <w:sz w:val="24"/>
          <w:szCs w:val="24"/>
          <w:rtl/>
        </w:rPr>
        <w:t xml:space="preserve">בפורומים משפטיים זרים. </w:t>
      </w:r>
    </w:p>
    <w:p w:rsidR="00A85D5B" w:rsidRPr="00226818" w:rsidRDefault="00226818" w:rsidP="00226818">
      <w:pPr>
        <w:pStyle w:val="a3"/>
        <w:numPr>
          <w:ilvl w:val="0"/>
          <w:numId w:val="5"/>
        </w:numPr>
        <w:spacing w:before="120" w:after="120" w:line="360" w:lineRule="auto"/>
        <w:jc w:val="both"/>
        <w:rPr>
          <w:rFonts w:ascii="Arial" w:hAnsi="Arial" w:cs="David"/>
          <w:b/>
          <w:bCs/>
          <w:color w:val="0070C0"/>
          <w:sz w:val="28"/>
          <w:szCs w:val="28"/>
          <w:rtl/>
        </w:rPr>
      </w:pPr>
      <w:r>
        <w:rPr>
          <w:rFonts w:ascii="Arial" w:hAnsi="Arial" w:cs="David" w:hint="cs"/>
          <w:b/>
          <w:bCs/>
          <w:color w:val="0070C0"/>
          <w:sz w:val="28"/>
          <w:szCs w:val="28"/>
          <w:rtl/>
        </w:rPr>
        <w:t xml:space="preserve">קידום מדיניות הממשלה בתחום התעופה: </w:t>
      </w:r>
      <w:r w:rsidRPr="00226818">
        <w:rPr>
          <w:rFonts w:ascii="Arial" w:hAnsi="Arial" w:cs="David" w:hint="cs"/>
          <w:b/>
          <w:bCs/>
          <w:color w:val="0070C0"/>
          <w:sz w:val="28"/>
          <w:szCs w:val="28"/>
          <w:rtl/>
        </w:rPr>
        <w:t xml:space="preserve">גיבוש נוהל לכינון קשרי </w:t>
      </w:r>
      <w:r>
        <w:rPr>
          <w:rFonts w:ascii="Arial" w:hAnsi="Arial" w:cs="David" w:hint="cs"/>
          <w:b/>
          <w:bCs/>
          <w:color w:val="0070C0"/>
          <w:sz w:val="28"/>
          <w:szCs w:val="28"/>
          <w:rtl/>
        </w:rPr>
        <w:t xml:space="preserve">תעופה </w:t>
      </w:r>
      <w:r w:rsidRPr="00226818">
        <w:rPr>
          <w:rFonts w:ascii="Arial" w:hAnsi="Arial" w:cs="David" w:hint="cs"/>
          <w:b/>
          <w:bCs/>
          <w:color w:val="0070C0"/>
          <w:sz w:val="28"/>
          <w:szCs w:val="28"/>
          <w:rtl/>
        </w:rPr>
        <w:t>סד</w:t>
      </w:r>
      <w:r>
        <w:rPr>
          <w:rFonts w:ascii="Arial" w:hAnsi="Arial" w:cs="David" w:hint="cs"/>
          <w:b/>
          <w:bCs/>
          <w:color w:val="0070C0"/>
          <w:sz w:val="28"/>
          <w:szCs w:val="28"/>
          <w:rtl/>
        </w:rPr>
        <w:t>י</w:t>
      </w:r>
      <w:r w:rsidRPr="00226818">
        <w:rPr>
          <w:rFonts w:ascii="Arial" w:hAnsi="Arial" w:cs="David" w:hint="cs"/>
          <w:b/>
          <w:bCs/>
          <w:color w:val="0070C0"/>
          <w:sz w:val="28"/>
          <w:szCs w:val="28"/>
          <w:rtl/>
        </w:rPr>
        <w:t xml:space="preserve">רים </w:t>
      </w:r>
      <w:r>
        <w:rPr>
          <w:rFonts w:ascii="Arial" w:hAnsi="Arial" w:cs="David" w:hint="cs"/>
          <w:b/>
          <w:bCs/>
          <w:color w:val="0070C0"/>
          <w:sz w:val="28"/>
          <w:szCs w:val="28"/>
          <w:rtl/>
        </w:rPr>
        <w:t>והסכמי התעופה שאושר</w:t>
      </w:r>
      <w:r w:rsidRPr="00226818">
        <w:rPr>
          <w:rFonts w:ascii="Arial" w:hAnsi="Arial" w:cs="David" w:hint="cs"/>
          <w:b/>
          <w:bCs/>
          <w:color w:val="0070C0"/>
          <w:sz w:val="28"/>
          <w:szCs w:val="28"/>
          <w:rtl/>
        </w:rPr>
        <w:t xml:space="preserve">ו בעקבותיו </w:t>
      </w:r>
    </w:p>
    <w:p w:rsidR="00A85D5B" w:rsidRPr="00A85D5B" w:rsidRDefault="00A85D5B" w:rsidP="00F01275">
      <w:pPr>
        <w:spacing w:before="120" w:after="120" w:line="360" w:lineRule="auto"/>
        <w:jc w:val="both"/>
        <w:rPr>
          <w:rFonts w:asciiTheme="majorBidi" w:hAnsiTheme="majorBidi" w:cs="David"/>
          <w:sz w:val="28"/>
          <w:szCs w:val="28"/>
          <w:rtl/>
        </w:rPr>
      </w:pPr>
      <w:r w:rsidRPr="00A85D5B">
        <w:rPr>
          <w:rFonts w:ascii="Arial" w:hAnsi="Arial" w:cs="David"/>
          <w:sz w:val="24"/>
          <w:szCs w:val="24"/>
          <w:rtl/>
        </w:rPr>
        <w:t xml:space="preserve">בהמשך לפנייה של משרד התחבורה, אשר העלתה בפנינו קשיים המתעוררים מהדרישה המשפטית לסיים את כל הליכי האשרור של הסכמי התעופה הבילטרליים על מנת לכונן קשרי תעופה עם מדינות מסוימות </w:t>
      </w:r>
      <w:r w:rsidR="00F01275">
        <w:rPr>
          <w:rFonts w:ascii="Arial" w:hAnsi="Arial" w:cs="David" w:hint="cs"/>
          <w:sz w:val="24"/>
          <w:szCs w:val="24"/>
          <w:rtl/>
        </w:rPr>
        <w:t xml:space="preserve">- </w:t>
      </w:r>
      <w:r w:rsidRPr="00A85D5B">
        <w:rPr>
          <w:rFonts w:ascii="Arial" w:hAnsi="Arial" w:cs="David"/>
          <w:sz w:val="24"/>
          <w:szCs w:val="24"/>
          <w:rtl/>
        </w:rPr>
        <w:t>בהן הליכי</w:t>
      </w:r>
      <w:r w:rsidR="00F01275">
        <w:rPr>
          <w:rFonts w:ascii="Arial" w:hAnsi="Arial" w:cs="David"/>
          <w:sz w:val="24"/>
          <w:szCs w:val="24"/>
          <w:rtl/>
        </w:rPr>
        <w:t xml:space="preserve"> האשרור נמשכים תקופה ארוכה מאוד</w:t>
      </w:r>
      <w:r w:rsidR="00F01275">
        <w:rPr>
          <w:rFonts w:ascii="Arial" w:hAnsi="Arial" w:cs="David" w:hint="cs"/>
          <w:sz w:val="24"/>
          <w:szCs w:val="24"/>
          <w:rtl/>
        </w:rPr>
        <w:t xml:space="preserve"> -</w:t>
      </w:r>
      <w:r w:rsidRPr="00A85D5B">
        <w:rPr>
          <w:rFonts w:ascii="Arial" w:hAnsi="Arial" w:cs="David"/>
          <w:sz w:val="24"/>
          <w:szCs w:val="24"/>
          <w:rtl/>
        </w:rPr>
        <w:t xml:space="preserve"> נערכה בחינה מקיפה של הנושא במטרה למצוא פתרונות שיעלו בקנה אחד עם המסגרת המשפטית הנוגעת לעריכת הסכמי תעופה בין-לאומיים. בחינה זו נערכה על ידי מחלקתנו בשיתוף המחלקה למשפט כלכלי בייעוץ וחקיקה, משרד החוץ ומשרד התחבורה, וזאת על מנת להתאים את המצב המשפטי </w:t>
      </w:r>
      <w:r w:rsidR="00F01275">
        <w:rPr>
          <w:rFonts w:ascii="Arial" w:hAnsi="Arial" w:cs="David"/>
          <w:sz w:val="24"/>
          <w:szCs w:val="24"/>
          <w:rtl/>
        </w:rPr>
        <w:lastRenderedPageBreak/>
        <w:t>לצרכים של שוק התעופה הדינ</w:t>
      </w:r>
      <w:r w:rsidRPr="00A85D5B">
        <w:rPr>
          <w:rFonts w:ascii="Arial" w:hAnsi="Arial" w:cs="David"/>
          <w:sz w:val="24"/>
          <w:szCs w:val="24"/>
          <w:rtl/>
        </w:rPr>
        <w:t xml:space="preserve">מי תוך שמירה על דרישות הדין. בסיום עבודה זו, גובש נוהל לכינון קשרי תעופה סדירים, המסדיר את האפשרות לכונן יחסי תעופה עם מדינה אחרת, על בסיס טיוטת הסכם שנחתמה בראשי תיבות, וזאת עוד בטרם נחתם ההסכם ונכנס לתוקף. הנוהל שגובש הובא לידיעת היועץ המשפטי לממשלה, ועד כה, בהתאם לבקשת משרד </w:t>
      </w:r>
      <w:r w:rsidR="00F01275">
        <w:rPr>
          <w:rFonts w:ascii="Arial" w:hAnsi="Arial" w:cs="David"/>
          <w:sz w:val="24"/>
          <w:szCs w:val="24"/>
          <w:rtl/>
        </w:rPr>
        <w:t>התחבורה, אושר</w:t>
      </w:r>
      <w:r w:rsidRPr="00A85D5B">
        <w:rPr>
          <w:rFonts w:ascii="Arial" w:hAnsi="Arial" w:cs="David"/>
          <w:sz w:val="24"/>
          <w:szCs w:val="24"/>
          <w:rtl/>
        </w:rPr>
        <w:t xml:space="preserve"> על בסיסו כינון קשרי תעופה סדירים עם ארבע מדינות (איסלנד, אוסטרליה, קמבודיה וניו-זילנד). הנוהל משקף פתרון יצירתי המסייע בקידום מדיניות הממשלה בתחום התעופה, ואף מיטיב עם אזרחי ישראל אשר כבר נהנים מכינ</w:t>
      </w:r>
      <w:r w:rsidR="00F01275">
        <w:rPr>
          <w:rFonts w:ascii="Arial" w:hAnsi="Arial" w:cs="David"/>
          <w:sz w:val="24"/>
          <w:szCs w:val="24"/>
          <w:rtl/>
        </w:rPr>
        <w:t>ון קשרי תעופה כאמור, לרבות כניס</w:t>
      </w:r>
      <w:r w:rsidR="00F01275">
        <w:rPr>
          <w:rFonts w:ascii="Arial" w:hAnsi="Arial" w:cs="David" w:hint="cs"/>
          <w:sz w:val="24"/>
          <w:szCs w:val="24"/>
          <w:rtl/>
        </w:rPr>
        <w:t>תם</w:t>
      </w:r>
      <w:r w:rsidRPr="00A85D5B">
        <w:rPr>
          <w:rFonts w:ascii="Arial" w:hAnsi="Arial" w:cs="David"/>
          <w:sz w:val="24"/>
          <w:szCs w:val="24"/>
          <w:rtl/>
        </w:rPr>
        <w:t xml:space="preserve"> לשוק של מובילים נוספים, ה</w:t>
      </w:r>
      <w:r w:rsidR="00F01275">
        <w:rPr>
          <w:rFonts w:ascii="Arial" w:hAnsi="Arial" w:cs="David"/>
          <w:sz w:val="24"/>
          <w:szCs w:val="24"/>
          <w:rtl/>
        </w:rPr>
        <w:t>גברת התחרות והוזלת מחירי הטיס</w:t>
      </w:r>
      <w:r w:rsidR="00F01275">
        <w:rPr>
          <w:rFonts w:ascii="Arial" w:hAnsi="Arial" w:cs="David" w:hint="cs"/>
          <w:sz w:val="24"/>
          <w:szCs w:val="24"/>
          <w:rtl/>
        </w:rPr>
        <w:t>ות</w:t>
      </w:r>
      <w:r w:rsidRPr="00A85D5B">
        <w:rPr>
          <w:rFonts w:ascii="Arial" w:hAnsi="Arial" w:cs="David"/>
          <w:sz w:val="24"/>
          <w:szCs w:val="24"/>
          <w:rtl/>
        </w:rPr>
        <w:t xml:space="preserve">. </w:t>
      </w:r>
    </w:p>
    <w:p w:rsidR="00E3594C" w:rsidRPr="00E3594C" w:rsidRDefault="001A5799" w:rsidP="00646AC8">
      <w:pPr>
        <w:pStyle w:val="a3"/>
        <w:numPr>
          <w:ilvl w:val="0"/>
          <w:numId w:val="5"/>
        </w:numPr>
        <w:spacing w:before="120" w:after="120" w:line="360" w:lineRule="auto"/>
        <w:contextualSpacing w:val="0"/>
        <w:jc w:val="both"/>
        <w:rPr>
          <w:rFonts w:asciiTheme="majorBidi" w:eastAsia="Calibri" w:hAnsiTheme="majorBidi" w:cs="David"/>
          <w:color w:val="0070C0"/>
          <w:sz w:val="28"/>
          <w:szCs w:val="28"/>
        </w:rPr>
      </w:pPr>
      <w:r>
        <w:rPr>
          <w:rFonts w:asciiTheme="majorBidi" w:eastAsia="Calibri" w:hAnsiTheme="majorBidi" w:cs="David" w:hint="cs"/>
          <w:b/>
          <w:bCs/>
          <w:color w:val="0070C0"/>
          <w:sz w:val="28"/>
          <w:szCs w:val="28"/>
          <w:rtl/>
        </w:rPr>
        <w:t xml:space="preserve">ייעול שירותים: </w:t>
      </w:r>
      <w:r w:rsidR="00E214CD">
        <w:rPr>
          <w:rFonts w:asciiTheme="majorBidi" w:eastAsia="Calibri" w:hAnsiTheme="majorBidi" w:cs="David" w:hint="cs"/>
          <w:b/>
          <w:bCs/>
          <w:color w:val="0070C0"/>
          <w:sz w:val="28"/>
          <w:szCs w:val="28"/>
          <w:rtl/>
        </w:rPr>
        <w:t xml:space="preserve">ייזום תהליכי שיפור וטיוב </w:t>
      </w:r>
      <w:r w:rsidR="00E3594C">
        <w:rPr>
          <w:rFonts w:asciiTheme="majorBidi" w:eastAsia="Calibri" w:hAnsiTheme="majorBidi" w:cs="David" w:hint="cs"/>
          <w:b/>
          <w:bCs/>
          <w:color w:val="0070C0"/>
          <w:sz w:val="28"/>
          <w:szCs w:val="28"/>
          <w:rtl/>
        </w:rPr>
        <w:t xml:space="preserve">ביחידת הממונה על העזרה המשפטית </w:t>
      </w:r>
    </w:p>
    <w:p w:rsidR="00E3594C" w:rsidRDefault="00E214CD" w:rsidP="00F078F5">
      <w:pPr>
        <w:spacing w:before="120" w:after="120" w:line="360" w:lineRule="auto"/>
        <w:jc w:val="both"/>
        <w:rPr>
          <w:rFonts w:asciiTheme="majorBidi" w:eastAsia="Calibri" w:hAnsiTheme="majorBidi" w:cs="David"/>
          <w:sz w:val="24"/>
          <w:szCs w:val="24"/>
          <w:rtl/>
        </w:rPr>
      </w:pPr>
      <w:r>
        <w:rPr>
          <w:rFonts w:asciiTheme="majorBidi" w:eastAsia="Calibri" w:hAnsiTheme="majorBidi" w:cs="David" w:hint="cs"/>
          <w:sz w:val="24"/>
          <w:szCs w:val="24"/>
          <w:rtl/>
        </w:rPr>
        <w:t>במהלך</w:t>
      </w:r>
      <w:r w:rsidR="0007332D">
        <w:rPr>
          <w:rFonts w:asciiTheme="majorBidi" w:eastAsia="Calibri" w:hAnsiTheme="majorBidi" w:cs="David" w:hint="cs"/>
          <w:sz w:val="24"/>
          <w:szCs w:val="24"/>
          <w:rtl/>
        </w:rPr>
        <w:t xml:space="preserve"> שנת 2017, יחידת הממונה על העזרה המשפטית ה</w:t>
      </w:r>
      <w:r w:rsidR="001A5799">
        <w:rPr>
          <w:rFonts w:asciiTheme="majorBidi" w:eastAsia="Calibri" w:hAnsiTheme="majorBidi" w:cs="David" w:hint="cs"/>
          <w:sz w:val="24"/>
          <w:szCs w:val="24"/>
          <w:rtl/>
        </w:rPr>
        <w:t xml:space="preserve">משיכה לקדם תהליכי שינוי ארגוני והתייעלות שנועדו לשפר את השירות לציבור ולמשרדי הממשלה, ולטייב את העבודה המתבצעת ביחידה. </w:t>
      </w:r>
      <w:r w:rsidR="00172B15">
        <w:rPr>
          <w:rFonts w:asciiTheme="majorBidi" w:eastAsia="Calibri" w:hAnsiTheme="majorBidi" w:cs="David" w:hint="cs"/>
          <w:sz w:val="24"/>
          <w:szCs w:val="24"/>
          <w:rtl/>
        </w:rPr>
        <w:t xml:space="preserve">בין היתר, </w:t>
      </w:r>
      <w:r w:rsidR="00F610E8">
        <w:rPr>
          <w:rFonts w:asciiTheme="majorBidi" w:eastAsia="Calibri" w:hAnsiTheme="majorBidi" w:cs="David" w:hint="cs"/>
          <w:sz w:val="24"/>
          <w:szCs w:val="24"/>
          <w:rtl/>
        </w:rPr>
        <w:t xml:space="preserve">חל שיפור משמעותי בתהליכי המצאת כתבי בי-דין לשטחי המועצה הפלסטינית, והודות לכך </w:t>
      </w:r>
      <w:r w:rsidR="00E3594C" w:rsidRPr="00FA0C8B">
        <w:rPr>
          <w:rFonts w:asciiTheme="majorBidi" w:eastAsia="Calibri" w:hAnsiTheme="majorBidi" w:cs="David"/>
          <w:sz w:val="24"/>
          <w:szCs w:val="24"/>
          <w:rtl/>
        </w:rPr>
        <w:t>נפתחו ונדונו תיקים רבים בערכאות המשפטיות השונות במדינת ישראל. כמו כ</w:t>
      </w:r>
      <w:r w:rsidR="00172B15">
        <w:rPr>
          <w:rFonts w:asciiTheme="majorBidi" w:eastAsia="Calibri" w:hAnsiTheme="majorBidi" w:cs="David"/>
          <w:sz w:val="24"/>
          <w:szCs w:val="24"/>
          <w:rtl/>
        </w:rPr>
        <w:t xml:space="preserve">ן, הושלמה הקמת מערכת מחשוב </w:t>
      </w:r>
      <w:r w:rsidR="00E3594C" w:rsidRPr="00FA0C8B">
        <w:rPr>
          <w:rFonts w:asciiTheme="majorBidi" w:eastAsia="Calibri" w:hAnsiTheme="majorBidi" w:cs="David"/>
          <w:sz w:val="24"/>
          <w:szCs w:val="24"/>
          <w:rtl/>
        </w:rPr>
        <w:t>ייעודית עבור ניהול תיקי החייבים הפלסטינים לישראל/ים והושלמה הסבת הנתונים</w:t>
      </w:r>
      <w:r w:rsidR="00172B15">
        <w:rPr>
          <w:rFonts w:asciiTheme="majorBidi" w:eastAsia="Calibri" w:hAnsiTheme="majorBidi" w:cs="David"/>
          <w:sz w:val="24"/>
          <w:szCs w:val="24"/>
          <w:rtl/>
        </w:rPr>
        <w:t xml:space="preserve"> הדרושה לצורך כך</w:t>
      </w:r>
      <w:r w:rsidR="00E3594C" w:rsidRPr="00FA0C8B">
        <w:rPr>
          <w:rFonts w:asciiTheme="majorBidi" w:eastAsia="Calibri" w:hAnsiTheme="majorBidi" w:cs="David"/>
          <w:sz w:val="24"/>
          <w:szCs w:val="24"/>
          <w:rtl/>
        </w:rPr>
        <w:t xml:space="preserve">. בנוסף, הוקמה התשתית הדרושה לבניית מאגר הידע המקצועי בתחום העזרה </w:t>
      </w:r>
      <w:r w:rsidR="00172B15">
        <w:rPr>
          <w:rFonts w:asciiTheme="majorBidi" w:eastAsia="Calibri" w:hAnsiTheme="majorBidi" w:cs="David"/>
          <w:sz w:val="24"/>
          <w:szCs w:val="24"/>
          <w:rtl/>
        </w:rPr>
        <w:t xml:space="preserve">המשפטית והחל תהליך סריקה </w:t>
      </w:r>
      <w:r w:rsidR="00E3594C" w:rsidRPr="00FA0C8B">
        <w:rPr>
          <w:rFonts w:asciiTheme="majorBidi" w:eastAsia="Calibri" w:hAnsiTheme="majorBidi" w:cs="David"/>
          <w:sz w:val="24"/>
          <w:szCs w:val="24"/>
          <w:rtl/>
        </w:rPr>
        <w:t xml:space="preserve">של אלפי מסמכים, </w:t>
      </w:r>
      <w:r w:rsidR="00172B15">
        <w:rPr>
          <w:rFonts w:asciiTheme="majorBidi" w:eastAsia="Calibri" w:hAnsiTheme="majorBidi" w:cs="David" w:hint="cs"/>
          <w:sz w:val="24"/>
          <w:szCs w:val="24"/>
          <w:rtl/>
        </w:rPr>
        <w:t xml:space="preserve">לראשונה </w:t>
      </w:r>
      <w:r w:rsidR="00E3594C" w:rsidRPr="00FA0C8B">
        <w:rPr>
          <w:rFonts w:asciiTheme="majorBidi" w:eastAsia="Calibri" w:hAnsiTheme="majorBidi" w:cs="David"/>
          <w:sz w:val="24"/>
          <w:szCs w:val="24"/>
          <w:rtl/>
        </w:rPr>
        <w:t xml:space="preserve">מאז הקמת היחידה בשנת 1995. לצד זאת, שודרג בינוי היחידה באופן משמעותי, </w:t>
      </w:r>
      <w:r w:rsidR="00F610E8">
        <w:rPr>
          <w:rFonts w:asciiTheme="majorBidi" w:eastAsia="Calibri" w:hAnsiTheme="majorBidi" w:cs="David" w:hint="cs"/>
          <w:sz w:val="24"/>
          <w:szCs w:val="24"/>
          <w:rtl/>
        </w:rPr>
        <w:t xml:space="preserve">תוך </w:t>
      </w:r>
      <w:r w:rsidR="00E3594C" w:rsidRPr="00FA0C8B">
        <w:rPr>
          <w:rFonts w:asciiTheme="majorBidi" w:eastAsia="Calibri" w:hAnsiTheme="majorBidi" w:cs="David"/>
          <w:sz w:val="24"/>
          <w:szCs w:val="24"/>
          <w:rtl/>
        </w:rPr>
        <w:t xml:space="preserve">הוספת </w:t>
      </w:r>
      <w:r w:rsidR="00172B15">
        <w:rPr>
          <w:rFonts w:asciiTheme="majorBidi" w:eastAsia="Calibri" w:hAnsiTheme="majorBidi" w:cs="David"/>
          <w:sz w:val="24"/>
          <w:szCs w:val="24"/>
          <w:rtl/>
        </w:rPr>
        <w:t xml:space="preserve">עמדות עבודה ומתחם שירות. </w:t>
      </w:r>
      <w:r w:rsidR="00F610E8">
        <w:rPr>
          <w:rFonts w:asciiTheme="majorBidi" w:eastAsia="Calibri" w:hAnsiTheme="majorBidi" w:cs="David" w:hint="cs"/>
          <w:sz w:val="24"/>
          <w:szCs w:val="24"/>
          <w:rtl/>
        </w:rPr>
        <w:t xml:space="preserve">כמו כן, הושם דגש על איתור, קליטה והכשרה מקצועית של כוח אדם חדש.  </w:t>
      </w:r>
    </w:p>
    <w:p w:rsidR="006A3DF0" w:rsidRPr="0057535C" w:rsidRDefault="006A3DF0" w:rsidP="006A3DF0">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sidRPr="0057535C">
        <w:rPr>
          <w:rFonts w:asciiTheme="majorBidi" w:hAnsiTheme="majorBidi" w:cs="David" w:hint="cs"/>
          <w:b/>
          <w:bCs/>
          <w:color w:val="0070C0"/>
          <w:sz w:val="28"/>
          <w:szCs w:val="28"/>
          <w:rtl/>
        </w:rPr>
        <w:t xml:space="preserve">פיתוח המשפט הבין-לאומי בהתאם לאינטרסים של מדינת ישראל: </w:t>
      </w:r>
      <w:r>
        <w:rPr>
          <w:rFonts w:asciiTheme="majorBidi" w:hAnsiTheme="majorBidi" w:cs="David" w:hint="cs"/>
          <w:b/>
          <w:bCs/>
          <w:color w:val="0070C0"/>
          <w:sz w:val="28"/>
          <w:szCs w:val="28"/>
          <w:rtl/>
        </w:rPr>
        <w:t>תפנית חיובית במגעים ל</w:t>
      </w:r>
      <w:r w:rsidRPr="0057535C">
        <w:rPr>
          <w:rFonts w:asciiTheme="majorBidi" w:hAnsiTheme="majorBidi" w:cs="David"/>
          <w:b/>
          <w:bCs/>
          <w:color w:val="0070C0"/>
          <w:sz w:val="28"/>
          <w:szCs w:val="28"/>
          <w:rtl/>
        </w:rPr>
        <w:t xml:space="preserve">גיבוש אמנת האג לאכיפה והכרה בפסקי חוץ </w:t>
      </w:r>
    </w:p>
    <w:p w:rsidR="006A3DF0" w:rsidRDefault="006A3DF0" w:rsidP="006A3DF0">
      <w:pPr>
        <w:spacing w:before="120" w:after="120" w:line="360" w:lineRule="auto"/>
        <w:jc w:val="both"/>
        <w:rPr>
          <w:rFonts w:asciiTheme="majorBidi" w:hAnsiTheme="majorBidi" w:cs="David"/>
          <w:sz w:val="24"/>
          <w:szCs w:val="24"/>
          <w:rtl/>
        </w:rPr>
      </w:pPr>
      <w:r w:rsidRPr="0057535C">
        <w:rPr>
          <w:rFonts w:asciiTheme="majorBidi" w:hAnsiTheme="majorBidi" w:cs="David"/>
          <w:sz w:val="24"/>
          <w:szCs w:val="24"/>
          <w:rtl/>
        </w:rPr>
        <w:t xml:space="preserve">במהלך שנת 2017 הובילה המחלקה, בשיתוף פעולה עם המחלקה למשפט אזרחי בייעוץ וחקיקה ועם הלשכה המשפטית במשרד החוץ, את פעילות ישראל במסגרת הדיונים בוועידת האג למשפט בין-לאומי פרטי על גיבוש נוסח האמנה להכרה ואכיפה של פסקי חוץ. העבודה על האמנה מצויה בשלבים מתקדמים וצפוי כי תושלם במהלך שנת 2019. לקראת מפגש הוועידה שהתקיים בנובמבר 2017 הגישה ישראל מספר הצעות, אשר כמעט לכולן הצטרפו מדינות אחרות, ובמסגרת הדיונים התקבלו מרבית ההצעות. </w:t>
      </w:r>
      <w:r w:rsidRPr="00C143D2">
        <w:rPr>
          <w:rFonts w:cs="David" w:hint="cs"/>
          <w:sz w:val="24"/>
          <w:szCs w:val="24"/>
          <w:rtl/>
        </w:rPr>
        <w:t>בעקבות זאת, השתנה נוסח האמנה בצורה משמעותית כך שבניגוד לנוסח שעמד על הפרק בארבע השנים האחרונות, כעת טיוטת האמנה שעל בסיסה ימשיכו להתקיים</w:t>
      </w:r>
      <w:r>
        <w:rPr>
          <w:rFonts w:cs="David" w:hint="cs"/>
          <w:sz w:val="24"/>
          <w:szCs w:val="24"/>
          <w:rtl/>
        </w:rPr>
        <w:t xml:space="preserve"> הדיונים בין המדינות השונות (כ-</w:t>
      </w:r>
      <w:r w:rsidRPr="00C143D2">
        <w:rPr>
          <w:rFonts w:cs="David" w:hint="cs"/>
          <w:sz w:val="24"/>
          <w:szCs w:val="24"/>
          <w:rtl/>
        </w:rPr>
        <w:t xml:space="preserve">60 במספר) </w:t>
      </w:r>
      <w:r w:rsidRPr="0057535C">
        <w:rPr>
          <w:rFonts w:asciiTheme="majorBidi" w:hAnsiTheme="majorBidi" w:cs="David"/>
          <w:sz w:val="24"/>
          <w:szCs w:val="24"/>
          <w:rtl/>
        </w:rPr>
        <w:t>משקפת איזון ראוי בין הצורך במשטר אכיפת פסקי חוץ אשר יקדם סחר בין-לאומי לבין חשיבות עיגונם של מנגנונים להגנה על בעלי-דין ישראלים, הן במסגרת הליכים אזרחיים בישראל והן במסגרת הליכים אזרחיים בחו"ל, כולל הליכים נגד מדינת ישראל עצמה.</w:t>
      </w:r>
    </w:p>
    <w:p w:rsidR="00AF219B" w:rsidRPr="006A3DF0" w:rsidRDefault="00AF219B" w:rsidP="006A3DF0">
      <w:pPr>
        <w:spacing w:before="120" w:after="120" w:line="360" w:lineRule="auto"/>
        <w:jc w:val="both"/>
        <w:rPr>
          <w:rFonts w:asciiTheme="majorBidi" w:hAnsiTheme="majorBidi" w:cs="David"/>
          <w:sz w:val="24"/>
          <w:szCs w:val="24"/>
          <w:rtl/>
        </w:rPr>
      </w:pPr>
    </w:p>
    <w:p w:rsidR="007C1193" w:rsidRDefault="00BB5D8B" w:rsidP="00BB5D8B">
      <w:pPr>
        <w:pStyle w:val="a3"/>
        <w:numPr>
          <w:ilvl w:val="0"/>
          <w:numId w:val="5"/>
        </w:numPr>
        <w:spacing w:before="120" w:after="120" w:line="360" w:lineRule="auto"/>
        <w:contextualSpacing w:val="0"/>
        <w:jc w:val="both"/>
        <w:rPr>
          <w:rFonts w:ascii="Arial" w:hAnsi="Arial" w:cs="David"/>
          <w:b/>
          <w:bCs/>
          <w:color w:val="0070C0"/>
          <w:sz w:val="28"/>
          <w:szCs w:val="28"/>
        </w:rPr>
      </w:pPr>
      <w:r>
        <w:rPr>
          <w:rFonts w:ascii="Arial" w:hAnsi="Arial" w:cs="David" w:hint="cs"/>
          <w:b/>
          <w:bCs/>
          <w:color w:val="0070C0"/>
          <w:sz w:val="28"/>
          <w:szCs w:val="28"/>
          <w:rtl/>
        </w:rPr>
        <w:lastRenderedPageBreak/>
        <w:t xml:space="preserve">קידום מדיניות הממשלה בתחום המסתננים: </w:t>
      </w:r>
      <w:r w:rsidR="0007332D" w:rsidRPr="0007332D">
        <w:rPr>
          <w:rFonts w:ascii="Arial" w:hAnsi="Arial" w:cs="David" w:hint="cs"/>
          <w:b/>
          <w:bCs/>
          <w:color w:val="0070C0"/>
          <w:sz w:val="28"/>
          <w:szCs w:val="28"/>
          <w:rtl/>
        </w:rPr>
        <w:t xml:space="preserve">תיקון הסכם עם מדינה שלישית </w:t>
      </w:r>
      <w:r w:rsidR="0007332D">
        <w:rPr>
          <w:rFonts w:ascii="Arial" w:hAnsi="Arial" w:cs="David" w:hint="cs"/>
          <w:b/>
          <w:bCs/>
          <w:color w:val="0070C0"/>
          <w:sz w:val="28"/>
          <w:szCs w:val="28"/>
          <w:rtl/>
        </w:rPr>
        <w:t>ב</w:t>
      </w:r>
      <w:r w:rsidR="007C1193">
        <w:rPr>
          <w:rFonts w:ascii="Arial" w:hAnsi="Arial" w:cs="David" w:hint="cs"/>
          <w:b/>
          <w:bCs/>
          <w:color w:val="0070C0"/>
          <w:sz w:val="28"/>
          <w:szCs w:val="28"/>
          <w:rtl/>
        </w:rPr>
        <w:t xml:space="preserve">דבר הרחקת מסתננים </w:t>
      </w:r>
    </w:p>
    <w:p w:rsidR="0007332D" w:rsidRPr="0007332D" w:rsidRDefault="0007332D" w:rsidP="00570109">
      <w:pPr>
        <w:spacing w:before="120" w:after="120" w:line="360" w:lineRule="auto"/>
        <w:jc w:val="both"/>
        <w:rPr>
          <w:rFonts w:asciiTheme="minorBidi" w:hAnsiTheme="minorBidi" w:cs="David"/>
          <w:sz w:val="24"/>
          <w:szCs w:val="24"/>
          <w:rtl/>
        </w:rPr>
      </w:pPr>
      <w:r>
        <w:rPr>
          <w:rFonts w:asciiTheme="minorBidi" w:hAnsiTheme="minorBidi" w:cs="David" w:hint="cs"/>
          <w:sz w:val="24"/>
          <w:szCs w:val="24"/>
          <w:rtl/>
        </w:rPr>
        <w:t xml:space="preserve">באוגוסט 2017, </w:t>
      </w:r>
      <w:r w:rsidRPr="0007332D">
        <w:rPr>
          <w:rFonts w:asciiTheme="minorBidi" w:hAnsiTheme="minorBidi" w:cs="David" w:hint="cs"/>
          <w:sz w:val="24"/>
          <w:szCs w:val="24"/>
          <w:rtl/>
        </w:rPr>
        <w:t>ניתן פסק דינו של בית המשפט העליון בשאלה האם ניתן להרחיק מסתננים למדינה שלישית גם ללא הסכמתם וכן האם ניתן להחזיקם במשמורת בשל אי הסכמתם להרחקה</w:t>
      </w:r>
      <w:r>
        <w:rPr>
          <w:rFonts w:asciiTheme="minorBidi" w:hAnsiTheme="minorBidi" w:cs="David" w:hint="cs"/>
          <w:sz w:val="24"/>
          <w:szCs w:val="24"/>
          <w:rtl/>
        </w:rPr>
        <w:t xml:space="preserve">. </w:t>
      </w:r>
      <w:r w:rsidRPr="0007332D">
        <w:rPr>
          <w:rFonts w:asciiTheme="minorBidi" w:hAnsiTheme="minorBidi" w:cs="David" w:hint="cs"/>
          <w:sz w:val="24"/>
          <w:szCs w:val="24"/>
          <w:rtl/>
        </w:rPr>
        <w:t xml:space="preserve">בית המשפט </w:t>
      </w:r>
      <w:r w:rsidR="00570109">
        <w:rPr>
          <w:rFonts w:asciiTheme="minorBidi" w:hAnsiTheme="minorBidi" w:cs="David" w:hint="cs"/>
          <w:sz w:val="24"/>
          <w:szCs w:val="24"/>
          <w:rtl/>
        </w:rPr>
        <w:t>לא מצא טעם לקבוע שישנה מניעה שמקורה בדין הישראלי או בדין הבין-</w:t>
      </w:r>
      <w:r w:rsidRPr="0007332D">
        <w:rPr>
          <w:rFonts w:asciiTheme="minorBidi" w:hAnsiTheme="minorBidi" w:cs="David" w:hint="cs"/>
          <w:sz w:val="24"/>
          <w:szCs w:val="24"/>
          <w:rtl/>
        </w:rPr>
        <w:t xml:space="preserve">לאומי להרחיק </w:t>
      </w:r>
      <w:r w:rsidR="00570109">
        <w:rPr>
          <w:rFonts w:asciiTheme="minorBidi" w:hAnsiTheme="minorBidi" w:cs="David" w:hint="cs"/>
          <w:sz w:val="24"/>
          <w:szCs w:val="24"/>
          <w:rtl/>
        </w:rPr>
        <w:t xml:space="preserve">מסתננים </w:t>
      </w:r>
      <w:r w:rsidRPr="0007332D">
        <w:rPr>
          <w:rFonts w:asciiTheme="minorBidi" w:hAnsiTheme="minorBidi" w:cs="David" w:hint="cs"/>
          <w:sz w:val="24"/>
          <w:szCs w:val="24"/>
          <w:rtl/>
        </w:rPr>
        <w:t>ממדינת ישראל למדינה השלישית</w:t>
      </w:r>
      <w:r w:rsidR="00570109">
        <w:rPr>
          <w:rFonts w:asciiTheme="minorBidi" w:hAnsiTheme="minorBidi" w:cs="David" w:hint="cs"/>
          <w:sz w:val="24"/>
          <w:szCs w:val="24"/>
          <w:rtl/>
        </w:rPr>
        <w:t>.</w:t>
      </w:r>
      <w:r w:rsidRPr="0007332D">
        <w:rPr>
          <w:rFonts w:asciiTheme="minorBidi" w:hAnsiTheme="minorBidi" w:cs="David" w:hint="cs"/>
          <w:sz w:val="24"/>
          <w:szCs w:val="24"/>
          <w:rtl/>
        </w:rPr>
        <w:t xml:space="preserve"> </w:t>
      </w:r>
      <w:r w:rsidRPr="0007332D">
        <w:rPr>
          <w:rFonts w:asciiTheme="minorBidi" w:hAnsiTheme="minorBidi" w:cs="David"/>
          <w:sz w:val="24"/>
          <w:szCs w:val="24"/>
          <w:rtl/>
        </w:rPr>
        <w:t xml:space="preserve">יחד עם זאת, </w:t>
      </w:r>
      <w:r w:rsidRPr="0007332D">
        <w:rPr>
          <w:rFonts w:asciiTheme="minorBidi" w:hAnsiTheme="minorBidi" w:cs="David" w:hint="cs"/>
          <w:sz w:val="24"/>
          <w:szCs w:val="24"/>
          <w:rtl/>
        </w:rPr>
        <w:t>בית</w:t>
      </w:r>
      <w:r w:rsidRPr="0007332D">
        <w:rPr>
          <w:rFonts w:asciiTheme="minorBidi" w:hAnsiTheme="minorBidi" w:cs="David"/>
          <w:sz w:val="24"/>
          <w:szCs w:val="24"/>
          <w:rtl/>
        </w:rPr>
        <w:t xml:space="preserve"> המשפט פירש א</w:t>
      </w:r>
      <w:r w:rsidRPr="0007332D">
        <w:rPr>
          <w:rFonts w:asciiTheme="minorBidi" w:hAnsiTheme="minorBidi" w:cs="David" w:hint="cs"/>
          <w:sz w:val="24"/>
          <w:szCs w:val="24"/>
          <w:rtl/>
        </w:rPr>
        <w:t>ת ההסכם כך שנדרשת הסכמתו של ה</w:t>
      </w:r>
      <w:r w:rsidRPr="0007332D">
        <w:rPr>
          <w:rFonts w:asciiTheme="majorBidi" w:hAnsiTheme="majorBidi" w:cs="David" w:hint="cs"/>
          <w:sz w:val="24"/>
          <w:szCs w:val="24"/>
          <w:rtl/>
        </w:rPr>
        <w:t>מסתנן</w:t>
      </w:r>
      <w:r w:rsidRPr="0007332D">
        <w:rPr>
          <w:rFonts w:asciiTheme="minorBidi" w:hAnsiTheme="minorBidi" w:cs="David" w:hint="cs"/>
          <w:sz w:val="24"/>
          <w:szCs w:val="24"/>
          <w:rtl/>
        </w:rPr>
        <w:t xml:space="preserve"> להרחקה, ומשכך לא ניתן </w:t>
      </w:r>
      <w:proofErr w:type="spellStart"/>
      <w:r w:rsidRPr="0007332D">
        <w:rPr>
          <w:rFonts w:asciiTheme="minorBidi" w:hAnsiTheme="minorBidi" w:cs="David" w:hint="cs"/>
          <w:sz w:val="24"/>
          <w:szCs w:val="24"/>
          <w:rtl/>
        </w:rPr>
        <w:t>להשימו</w:t>
      </w:r>
      <w:proofErr w:type="spellEnd"/>
      <w:r w:rsidRPr="0007332D">
        <w:rPr>
          <w:rFonts w:asciiTheme="minorBidi" w:hAnsiTheme="minorBidi" w:cs="David" w:hint="cs"/>
          <w:sz w:val="24"/>
          <w:szCs w:val="24"/>
          <w:rtl/>
        </w:rPr>
        <w:t xml:space="preserve"> במשמורת עד ליציאתו. נוכח פרשנות זו, על מנת שהדרג המדיני יוכל ליישם את ההסדר שנחתם בעבר בין מדינת ישראל לבין המדינה השלישית, נוצר צורך דחוף לתקן את ההסכם במהירות וביעילות, באופן שיעלה בקנה אחד עם פסק דינו של בית המשפט העליון מחד, ויגשים את האינטרסים של הדרג המדיני מאידך. לאחר מאמצים רבים ושיתוף פעולה הדוק עם המחלקה למשפט ציבורי-מנהלי בייעוץ וחקיקה, משרד החוץ ורשות ההגירה והאוכלוסין, ההסכם תוקן כבר בסוף חודש ספטמבר 2017. תיקון זה מהווה חלק בלתי נפרד מההסכם בין המדינות</w:t>
      </w:r>
      <w:r>
        <w:rPr>
          <w:rFonts w:asciiTheme="minorBidi" w:hAnsiTheme="minorBidi" w:cs="David" w:hint="cs"/>
          <w:sz w:val="24"/>
          <w:szCs w:val="24"/>
          <w:rtl/>
        </w:rPr>
        <w:t>.</w:t>
      </w:r>
      <w:r w:rsidRPr="0007332D">
        <w:rPr>
          <w:rFonts w:asciiTheme="minorBidi" w:hAnsiTheme="minorBidi" w:cs="David" w:hint="cs"/>
          <w:sz w:val="24"/>
          <w:szCs w:val="24"/>
          <w:rtl/>
        </w:rPr>
        <w:t xml:space="preserve"> </w:t>
      </w:r>
    </w:p>
    <w:p w:rsidR="00172B15" w:rsidRPr="00570109" w:rsidRDefault="00172B15" w:rsidP="00570109">
      <w:pPr>
        <w:pStyle w:val="a3"/>
        <w:numPr>
          <w:ilvl w:val="0"/>
          <w:numId w:val="5"/>
        </w:numPr>
        <w:spacing w:before="120" w:after="120" w:line="360" w:lineRule="auto"/>
        <w:jc w:val="both"/>
        <w:rPr>
          <w:rFonts w:asciiTheme="majorBidi" w:hAnsiTheme="majorBidi" w:cs="David"/>
          <w:color w:val="0070C0"/>
          <w:sz w:val="28"/>
          <w:szCs w:val="28"/>
        </w:rPr>
      </w:pPr>
      <w:r w:rsidRPr="00570109">
        <w:rPr>
          <w:rFonts w:asciiTheme="majorBidi" w:hAnsiTheme="majorBidi" w:cs="David" w:hint="cs"/>
          <w:b/>
          <w:bCs/>
          <w:color w:val="0070C0"/>
          <w:sz w:val="28"/>
          <w:szCs w:val="28"/>
          <w:rtl/>
        </w:rPr>
        <w:t xml:space="preserve">המשט הימי לעזה: דחיית תביעה אזרחית בארצות הברית נגד מדינת ישראל </w:t>
      </w:r>
    </w:p>
    <w:p w:rsidR="00172B15" w:rsidRDefault="00172B15" w:rsidP="00FF6286">
      <w:pPr>
        <w:spacing w:before="120" w:after="120" w:line="360" w:lineRule="auto"/>
        <w:jc w:val="both"/>
        <w:rPr>
          <w:rFonts w:asciiTheme="majorBidi" w:hAnsiTheme="majorBidi" w:cs="David"/>
          <w:sz w:val="24"/>
          <w:szCs w:val="24"/>
          <w:rtl/>
        </w:rPr>
      </w:pPr>
      <w:r>
        <w:rPr>
          <w:rFonts w:asciiTheme="majorBidi" w:hAnsiTheme="majorBidi" w:cs="David" w:hint="cs"/>
          <w:sz w:val="24"/>
          <w:szCs w:val="24"/>
          <w:rtl/>
        </w:rPr>
        <w:t>בראשית 2016, הוגשה בארצות הברית תביעה אזרחית נגד מדינת ישראל ומספר משרדי ממשלה, בגין נזקים שנגרמו לכאורה במהלך השתלטות צה"ל על ספינה אמריקאית שהשתתפה במשט הימי לעזה בשנת 2010. ממשלת ארצות הברית התערבה בהליך זה והביעה את עמדתה כי יש לדחות את התביעה על הסף. בינואר 2017,  בית המשפט החליט לדחות את התביעה על הסף בשל היעדר סמכות שיפוט עניינית והתקיימות חסינות ריבון. בדצמבר 2017, בית משפט לערעורים דחה את ערעור התובעים. המחלקה ריכזה את העבודה הבין-משרדית וליוותה בא</w:t>
      </w:r>
      <w:r w:rsidR="00570109">
        <w:rPr>
          <w:rFonts w:asciiTheme="majorBidi" w:hAnsiTheme="majorBidi" w:cs="David" w:hint="cs"/>
          <w:sz w:val="24"/>
          <w:szCs w:val="24"/>
          <w:rtl/>
        </w:rPr>
        <w:t>ופן צמוד את הטיפול בהליך באר</w:t>
      </w:r>
      <w:r w:rsidR="00FF6286">
        <w:rPr>
          <w:rFonts w:asciiTheme="majorBidi" w:hAnsiTheme="majorBidi" w:cs="David" w:hint="cs"/>
          <w:sz w:val="24"/>
          <w:szCs w:val="24"/>
          <w:rtl/>
        </w:rPr>
        <w:t xml:space="preserve">צות הברית, </w:t>
      </w:r>
      <w:r w:rsidR="008D3432">
        <w:rPr>
          <w:rFonts w:asciiTheme="majorBidi" w:hAnsiTheme="majorBidi" w:cs="David" w:hint="cs"/>
          <w:sz w:val="24"/>
          <w:szCs w:val="24"/>
          <w:rtl/>
        </w:rPr>
        <w:t xml:space="preserve">עד לסיומו המוצלח. מדובר בהחלטות מצוינות, המחזקות את ההגנה של מדינת ישראל מפני תביעות נזיקין בארצות הברית. </w:t>
      </w:r>
    </w:p>
    <w:p w:rsidR="006A3DF0" w:rsidRPr="00570109" w:rsidRDefault="006A3DF0" w:rsidP="006A3DF0">
      <w:pPr>
        <w:pStyle w:val="a3"/>
        <w:numPr>
          <w:ilvl w:val="0"/>
          <w:numId w:val="5"/>
        </w:numPr>
        <w:spacing w:before="120" w:after="120" w:line="360" w:lineRule="auto"/>
        <w:jc w:val="both"/>
        <w:rPr>
          <w:rFonts w:asciiTheme="majorBidi" w:hAnsiTheme="majorBidi" w:cs="David"/>
          <w:b/>
          <w:bCs/>
          <w:color w:val="0070C0"/>
          <w:sz w:val="28"/>
          <w:szCs w:val="28"/>
        </w:rPr>
      </w:pPr>
      <w:r w:rsidRPr="00570109">
        <w:rPr>
          <w:rFonts w:asciiTheme="majorBidi" w:hAnsiTheme="majorBidi" w:cs="David" w:hint="cs"/>
          <w:b/>
          <w:bCs/>
          <w:color w:val="0070C0"/>
          <w:sz w:val="28"/>
          <w:szCs w:val="28"/>
          <w:rtl/>
        </w:rPr>
        <w:t xml:space="preserve">פיתוח המשפט הבין-לאומי בהתאם לאינטרסים של מדינת ישראל: </w:t>
      </w:r>
      <w:r w:rsidRPr="00570109">
        <w:rPr>
          <w:rFonts w:asciiTheme="majorBidi" w:hAnsiTheme="majorBidi" w:cs="David"/>
          <w:b/>
          <w:bCs/>
          <w:color w:val="0070C0"/>
          <w:sz w:val="28"/>
          <w:szCs w:val="28"/>
          <w:rtl/>
        </w:rPr>
        <w:t>השתתפות בשיח מומחים בנושא פיצויים לקורבנות של הפרות דיני הלחימה</w:t>
      </w:r>
    </w:p>
    <w:p w:rsidR="006A3DF0" w:rsidRPr="0016225D" w:rsidRDefault="006A3DF0" w:rsidP="006A3DF0">
      <w:pPr>
        <w:spacing w:before="120" w:after="120" w:line="360" w:lineRule="auto"/>
        <w:jc w:val="both"/>
        <w:rPr>
          <w:rFonts w:asciiTheme="majorBidi" w:hAnsiTheme="majorBidi" w:cs="David"/>
          <w:sz w:val="24"/>
          <w:szCs w:val="24"/>
        </w:rPr>
      </w:pPr>
      <w:r w:rsidRPr="00F402EF">
        <w:rPr>
          <w:rFonts w:asciiTheme="majorBidi" w:hAnsiTheme="majorBidi" w:cs="David"/>
          <w:sz w:val="24"/>
          <w:szCs w:val="24"/>
          <w:rtl/>
        </w:rPr>
        <w:t xml:space="preserve">שאלת הזכות לסעד לנפגעים כתוצאה מפעולות לחימה (ופיצויים בפרט) במסגרת המשפט הבין-לאומי זוהתה </w:t>
      </w:r>
      <w:r>
        <w:rPr>
          <w:rFonts w:asciiTheme="majorBidi" w:hAnsiTheme="majorBidi" w:cs="David" w:hint="cs"/>
          <w:sz w:val="24"/>
          <w:szCs w:val="24"/>
          <w:rtl/>
        </w:rPr>
        <w:t>במחלקה</w:t>
      </w:r>
      <w:r w:rsidRPr="00F402EF">
        <w:rPr>
          <w:rFonts w:asciiTheme="majorBidi" w:hAnsiTheme="majorBidi" w:cs="David"/>
          <w:sz w:val="24"/>
          <w:szCs w:val="24"/>
          <w:rtl/>
        </w:rPr>
        <w:t xml:space="preserve"> כנושא אשר עשוי להיות בעל משמעויות שונות עבור מדינת ישראל</w:t>
      </w:r>
      <w:r>
        <w:rPr>
          <w:rFonts w:asciiTheme="majorBidi" w:hAnsiTheme="majorBidi" w:cs="David" w:hint="cs"/>
          <w:sz w:val="24"/>
          <w:szCs w:val="24"/>
          <w:rtl/>
        </w:rPr>
        <w:t xml:space="preserve"> ובפרט בזירה המשפטית הבין-לאומית</w:t>
      </w:r>
      <w:r w:rsidRPr="00F402EF">
        <w:rPr>
          <w:rFonts w:asciiTheme="majorBidi" w:hAnsiTheme="majorBidi" w:cs="David"/>
          <w:sz w:val="24"/>
          <w:szCs w:val="24"/>
          <w:rtl/>
        </w:rPr>
        <w:t xml:space="preserve">. מטבע הדברים, </w:t>
      </w:r>
      <w:r>
        <w:rPr>
          <w:rFonts w:asciiTheme="majorBidi" w:hAnsiTheme="majorBidi" w:cs="David" w:hint="cs"/>
          <w:sz w:val="24"/>
          <w:szCs w:val="24"/>
          <w:rtl/>
        </w:rPr>
        <w:t>לנושא</w:t>
      </w:r>
      <w:r w:rsidRPr="00F402EF">
        <w:rPr>
          <w:rFonts w:asciiTheme="majorBidi" w:hAnsiTheme="majorBidi" w:cs="David"/>
          <w:sz w:val="24"/>
          <w:szCs w:val="24"/>
          <w:rtl/>
        </w:rPr>
        <w:t xml:space="preserve"> </w:t>
      </w:r>
      <w:r>
        <w:rPr>
          <w:rFonts w:asciiTheme="majorBidi" w:hAnsiTheme="majorBidi" w:cs="David" w:hint="cs"/>
          <w:sz w:val="24"/>
          <w:szCs w:val="24"/>
          <w:rtl/>
        </w:rPr>
        <w:t xml:space="preserve">זה </w:t>
      </w:r>
      <w:r w:rsidRPr="00F402EF">
        <w:rPr>
          <w:rFonts w:asciiTheme="majorBidi" w:hAnsiTheme="majorBidi" w:cs="David"/>
          <w:sz w:val="24"/>
          <w:szCs w:val="24"/>
          <w:rtl/>
        </w:rPr>
        <w:t>עשויות להיות השלכות משמעותיות עבור מדינת ישראל, המצויה בעימות מזוין מתמשך הן עם ארגוני טרור פלסטינים והן עם חיזבאללה. לימוד הנושא מקרוב</w:t>
      </w:r>
      <w:r>
        <w:rPr>
          <w:rFonts w:asciiTheme="majorBidi" w:hAnsiTheme="majorBidi" w:cs="David" w:hint="cs"/>
          <w:sz w:val="24"/>
          <w:szCs w:val="24"/>
          <w:rtl/>
        </w:rPr>
        <w:t xml:space="preserve"> הוגדר כאחד מיעדי המחלקה לצורך </w:t>
      </w:r>
      <w:r>
        <w:rPr>
          <w:rFonts w:asciiTheme="majorBidi" w:hAnsiTheme="majorBidi" w:cs="David"/>
          <w:sz w:val="24"/>
          <w:szCs w:val="24"/>
          <w:rtl/>
        </w:rPr>
        <w:t>קידום האינטרסים של</w:t>
      </w:r>
      <w:r>
        <w:rPr>
          <w:rFonts w:asciiTheme="majorBidi" w:hAnsiTheme="majorBidi" w:cs="David" w:hint="cs"/>
          <w:sz w:val="24"/>
          <w:szCs w:val="24"/>
          <w:rtl/>
        </w:rPr>
        <w:t xml:space="preserve"> המדינה</w:t>
      </w:r>
      <w:r w:rsidRPr="00F402EF">
        <w:rPr>
          <w:rFonts w:asciiTheme="majorBidi" w:hAnsiTheme="majorBidi" w:cs="David"/>
          <w:sz w:val="24"/>
          <w:szCs w:val="24"/>
          <w:rtl/>
        </w:rPr>
        <w:t xml:space="preserve"> בפני ערכאות משפטיות זרות ובין-לאומיות </w:t>
      </w:r>
      <w:r>
        <w:rPr>
          <w:rFonts w:asciiTheme="majorBidi" w:hAnsiTheme="majorBidi" w:cs="David" w:hint="cs"/>
          <w:sz w:val="24"/>
          <w:szCs w:val="24"/>
          <w:rtl/>
        </w:rPr>
        <w:t xml:space="preserve">ועל-מנת </w:t>
      </w:r>
      <w:r w:rsidRPr="00F402EF">
        <w:rPr>
          <w:rFonts w:asciiTheme="majorBidi" w:hAnsiTheme="majorBidi" w:cs="David"/>
          <w:sz w:val="24"/>
          <w:szCs w:val="24"/>
          <w:rtl/>
        </w:rPr>
        <w:t>להשפיע על השיח בנושא בזירה המשפטית הבין-לאומית באופן שי</w:t>
      </w:r>
      <w:r>
        <w:rPr>
          <w:rFonts w:asciiTheme="majorBidi" w:hAnsiTheme="majorBidi" w:cs="David"/>
          <w:sz w:val="24"/>
          <w:szCs w:val="24"/>
          <w:rtl/>
        </w:rPr>
        <w:t>טיב עם האינטרסים הישראלים בתחום</w:t>
      </w:r>
      <w:r w:rsidRPr="00F402EF">
        <w:rPr>
          <w:rFonts w:asciiTheme="majorBidi" w:hAnsiTheme="majorBidi" w:cs="David"/>
          <w:sz w:val="24"/>
          <w:szCs w:val="24"/>
          <w:rtl/>
        </w:rPr>
        <w:t>.</w:t>
      </w:r>
      <w:r>
        <w:rPr>
          <w:rFonts w:asciiTheme="majorBidi" w:hAnsiTheme="majorBidi" w:cs="David" w:hint="cs"/>
          <w:sz w:val="24"/>
          <w:szCs w:val="24"/>
          <w:rtl/>
        </w:rPr>
        <w:t xml:space="preserve"> כחלק ממאמץ זה, נציגת המחלקה השתתפה בשיח מצומצם של מומחים משפטיים, </w:t>
      </w:r>
      <w:r w:rsidRPr="00FA0C8B">
        <w:rPr>
          <w:rFonts w:asciiTheme="majorBidi" w:hAnsiTheme="majorBidi" w:cs="David"/>
          <w:sz w:val="24"/>
          <w:szCs w:val="24"/>
          <w:rtl/>
        </w:rPr>
        <w:t xml:space="preserve">שהתקיים במכון מקס </w:t>
      </w:r>
      <w:proofErr w:type="spellStart"/>
      <w:r w:rsidRPr="00FA0C8B">
        <w:rPr>
          <w:rFonts w:asciiTheme="majorBidi" w:hAnsiTheme="majorBidi" w:cs="David"/>
          <w:sz w:val="24"/>
          <w:szCs w:val="24"/>
          <w:rtl/>
        </w:rPr>
        <w:t>פלנק</w:t>
      </w:r>
      <w:proofErr w:type="spellEnd"/>
      <w:r w:rsidRPr="00FA0C8B">
        <w:rPr>
          <w:rFonts w:asciiTheme="majorBidi" w:hAnsiTheme="majorBidi" w:cs="David"/>
          <w:sz w:val="24"/>
          <w:szCs w:val="24"/>
          <w:rtl/>
        </w:rPr>
        <w:t xml:space="preserve"> בגרמניה, בנושא </w:t>
      </w:r>
      <w:r>
        <w:rPr>
          <w:rFonts w:asciiTheme="majorBidi" w:hAnsiTheme="majorBidi" w:cs="David" w:hint="cs"/>
          <w:sz w:val="24"/>
          <w:szCs w:val="24"/>
          <w:rtl/>
        </w:rPr>
        <w:t>זה</w:t>
      </w:r>
      <w:r w:rsidRPr="00FA0C8B">
        <w:rPr>
          <w:rFonts w:asciiTheme="majorBidi" w:hAnsiTheme="majorBidi" w:cs="David"/>
          <w:sz w:val="24"/>
          <w:szCs w:val="24"/>
          <w:rtl/>
        </w:rPr>
        <w:t xml:space="preserve">. המפגש היווה הזדמנות טובה להביע את עמדותיה של ישראל ולתרום לעיצוב הנורמות המשפטיות בנושא, וכן להיחשף למגמות ההולכות ומתפתחות בתחום. בעקבות ההשתתפות במפגש, </w:t>
      </w:r>
      <w:r>
        <w:rPr>
          <w:rFonts w:asciiTheme="majorBidi" w:hAnsiTheme="majorBidi" w:cs="David" w:hint="cs"/>
          <w:sz w:val="24"/>
          <w:szCs w:val="24"/>
          <w:rtl/>
        </w:rPr>
        <w:t>הוצע</w:t>
      </w:r>
      <w:r w:rsidRPr="00FA0C8B">
        <w:rPr>
          <w:rFonts w:asciiTheme="majorBidi" w:hAnsiTheme="majorBidi" w:cs="David"/>
          <w:sz w:val="24"/>
          <w:szCs w:val="24"/>
          <w:rtl/>
        </w:rPr>
        <w:t xml:space="preserve"> </w:t>
      </w:r>
      <w:r>
        <w:rPr>
          <w:rFonts w:asciiTheme="majorBidi" w:hAnsiTheme="majorBidi" w:cs="David" w:hint="cs"/>
          <w:sz w:val="24"/>
          <w:szCs w:val="24"/>
          <w:rtl/>
        </w:rPr>
        <w:t xml:space="preserve">לנציגת המחלקה </w:t>
      </w:r>
      <w:r w:rsidRPr="00FA0C8B">
        <w:rPr>
          <w:rFonts w:asciiTheme="majorBidi" w:hAnsiTheme="majorBidi" w:cs="David"/>
          <w:sz w:val="24"/>
          <w:szCs w:val="24"/>
          <w:rtl/>
        </w:rPr>
        <w:t>לכתוב מאמר דעה קצר בנושא, שיפורסם על-ידי המכון כחלק מלקט פרסומים.</w:t>
      </w:r>
    </w:p>
    <w:p w:rsidR="00843A22" w:rsidRPr="00500267" w:rsidRDefault="00843A22" w:rsidP="00843A22">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Pr>
          <w:rFonts w:asciiTheme="majorBidi" w:hAnsiTheme="majorBidi" w:cs="David" w:hint="cs"/>
          <w:b/>
          <w:bCs/>
          <w:color w:val="0070C0"/>
          <w:sz w:val="28"/>
          <w:szCs w:val="28"/>
          <w:rtl/>
        </w:rPr>
        <w:lastRenderedPageBreak/>
        <w:t xml:space="preserve">קידום חקיקה: </w:t>
      </w:r>
      <w:r w:rsidRPr="00500267">
        <w:rPr>
          <w:rFonts w:asciiTheme="majorBidi" w:hAnsiTheme="majorBidi" w:cs="David"/>
          <w:b/>
          <w:bCs/>
          <w:color w:val="0070C0"/>
          <w:sz w:val="28"/>
          <w:szCs w:val="28"/>
          <w:rtl/>
        </w:rPr>
        <w:t>תזכיר החוק למניעת הפצה ומימון של נשק להשמדה המונית או אמצעים לנשיאתו</w:t>
      </w:r>
    </w:p>
    <w:p w:rsidR="00843A22" w:rsidRPr="00843A22" w:rsidRDefault="00843A22" w:rsidP="002712DA">
      <w:pPr>
        <w:spacing w:before="120" w:after="120" w:line="360" w:lineRule="auto"/>
        <w:jc w:val="both"/>
        <w:rPr>
          <w:rFonts w:asciiTheme="majorBidi" w:hAnsiTheme="majorBidi" w:cs="David"/>
          <w:sz w:val="24"/>
          <w:szCs w:val="24"/>
          <w:rtl/>
        </w:rPr>
      </w:pPr>
      <w:r w:rsidRPr="00FA0C8B">
        <w:rPr>
          <w:rFonts w:asciiTheme="majorBidi" w:hAnsiTheme="majorBidi" w:cs="David"/>
          <w:sz w:val="24"/>
          <w:szCs w:val="24"/>
          <w:rtl/>
        </w:rPr>
        <w:t>בנובמבר 2017</w:t>
      </w:r>
      <w:r>
        <w:rPr>
          <w:rFonts w:asciiTheme="majorBidi" w:hAnsiTheme="majorBidi" w:cs="David" w:hint="cs"/>
          <w:sz w:val="24"/>
          <w:szCs w:val="24"/>
          <w:rtl/>
        </w:rPr>
        <w:t>,</w:t>
      </w:r>
      <w:r w:rsidRPr="00FA0C8B">
        <w:rPr>
          <w:rFonts w:asciiTheme="majorBidi" w:hAnsiTheme="majorBidi" w:cs="David"/>
          <w:sz w:val="24"/>
          <w:szCs w:val="24"/>
          <w:rtl/>
        </w:rPr>
        <w:t xml:space="preserve"> הופץ תזכיר חוק ממשלתי למניעת הפצה ומימון של נשק להשמדה המונית או</w:t>
      </w:r>
      <w:r>
        <w:rPr>
          <w:rFonts w:asciiTheme="majorBidi" w:hAnsiTheme="majorBidi" w:cs="David"/>
          <w:sz w:val="24"/>
          <w:szCs w:val="24"/>
          <w:rtl/>
        </w:rPr>
        <w:t xml:space="preserve"> אמצעים לנשיאתו, ואושר על ידי ו</w:t>
      </w:r>
      <w:r w:rsidRPr="00FA0C8B">
        <w:rPr>
          <w:rFonts w:asciiTheme="majorBidi" w:hAnsiTheme="majorBidi" w:cs="David"/>
          <w:sz w:val="24"/>
          <w:szCs w:val="24"/>
          <w:rtl/>
        </w:rPr>
        <w:t>עדת שרים לחקיקה בדצמבר 2017. צוות בין-משרדי בהובלת משרד האוצר ובליווי ייעוץ וחקיקה (המחלקה הכלכלית, הפלילית ומחלקתנו), הרשות לאיסור הלבנת הון ומשרד החוץ, פועל מאז אפריל 2017 לקידום הצעת החוק, בלוחות זמנים קצרים שדחיפותם נקבעה לנוכח ביקורת ארגון ה-</w:t>
      </w:r>
      <w:r w:rsidRPr="00FA0C8B">
        <w:rPr>
          <w:rFonts w:asciiTheme="majorBidi" w:hAnsiTheme="majorBidi" w:cs="David"/>
          <w:sz w:val="24"/>
          <w:szCs w:val="24"/>
        </w:rPr>
        <w:t>FATF</w:t>
      </w:r>
      <w:r w:rsidRPr="00FA0C8B">
        <w:rPr>
          <w:rFonts w:asciiTheme="majorBidi" w:hAnsiTheme="majorBidi" w:cs="David"/>
          <w:sz w:val="24"/>
          <w:szCs w:val="24"/>
          <w:rtl/>
        </w:rPr>
        <w:t xml:space="preserve"> </w:t>
      </w:r>
      <w:r>
        <w:rPr>
          <w:rFonts w:asciiTheme="majorBidi" w:hAnsiTheme="majorBidi" w:cs="David" w:hint="cs"/>
          <w:sz w:val="24"/>
          <w:szCs w:val="24"/>
          <w:rtl/>
        </w:rPr>
        <w:t>(</w:t>
      </w:r>
      <w:r>
        <w:rPr>
          <w:rFonts w:asciiTheme="majorBidi" w:hAnsiTheme="majorBidi" w:cs="David"/>
          <w:sz w:val="24"/>
          <w:szCs w:val="24"/>
        </w:rPr>
        <w:t>Financial Action Task Force</w:t>
      </w:r>
      <w:r>
        <w:rPr>
          <w:rFonts w:asciiTheme="majorBidi" w:hAnsiTheme="majorBidi" w:cs="David" w:hint="cs"/>
          <w:sz w:val="24"/>
          <w:szCs w:val="24"/>
          <w:rtl/>
        </w:rPr>
        <w:t xml:space="preserve">) </w:t>
      </w:r>
      <w:r w:rsidRPr="00FA0C8B">
        <w:rPr>
          <w:rFonts w:asciiTheme="majorBidi" w:hAnsiTheme="majorBidi" w:cs="David"/>
          <w:sz w:val="24"/>
          <w:szCs w:val="24"/>
          <w:rtl/>
        </w:rPr>
        <w:t>על ישראל המתקיימת בשנה זו. המחלקה נטלה חלק מרכזי בעיצוב החוק ומנגנוניו כך שיעמוד בהתאמה לדרישות הבין-לאומיות באופן המיטבי</w:t>
      </w:r>
      <w:r>
        <w:rPr>
          <w:rFonts w:asciiTheme="majorBidi" w:hAnsiTheme="majorBidi" w:cs="David" w:hint="cs"/>
          <w:sz w:val="24"/>
          <w:szCs w:val="24"/>
          <w:rtl/>
        </w:rPr>
        <w:t>,</w:t>
      </w:r>
      <w:r w:rsidRPr="00FA0C8B">
        <w:rPr>
          <w:rFonts w:asciiTheme="majorBidi" w:hAnsiTheme="majorBidi" w:cs="David"/>
          <w:sz w:val="24"/>
          <w:szCs w:val="24"/>
          <w:rtl/>
        </w:rPr>
        <w:t xml:space="preserve"> תוך איזון עם דרישות הדין הפנימי. מטרת החוק היא להוות מסגרת שתאפשר יישום סנקציות כלכליות באופן מידי על גורמים שמפיצים ומממנים נשק להשמדה המונית בקשר למדינות המנויות בתוספת, שהוכרזו ככאלה על ידי מועצת הביטחון, או אימוץ הכרזות של גורמים שהוכרזו על ידי גורם מוסמך במדינה זרה. החוק יאפשר לישראל לעמוד בהלימה גבוהה יותר בסטנדרטים </w:t>
      </w:r>
      <w:r w:rsidR="002712DA">
        <w:rPr>
          <w:rFonts w:asciiTheme="majorBidi" w:hAnsiTheme="majorBidi" w:cs="David" w:hint="cs"/>
          <w:sz w:val="24"/>
          <w:szCs w:val="24"/>
          <w:rtl/>
        </w:rPr>
        <w:t>הבין-לאומיים</w:t>
      </w:r>
      <w:r w:rsidRPr="00FA0C8B">
        <w:rPr>
          <w:rFonts w:asciiTheme="majorBidi" w:hAnsiTheme="majorBidi" w:cs="David"/>
          <w:sz w:val="24"/>
          <w:szCs w:val="24"/>
          <w:rtl/>
        </w:rPr>
        <w:t xml:space="preserve"> המחייבים בנוגע לאימוץ הכרזות מועצת הביטחון.</w:t>
      </w:r>
    </w:p>
    <w:p w:rsidR="00045CFB" w:rsidRPr="00D45A70" w:rsidRDefault="00045CFB" w:rsidP="00570109">
      <w:pPr>
        <w:pStyle w:val="a3"/>
        <w:numPr>
          <w:ilvl w:val="0"/>
          <w:numId w:val="5"/>
        </w:numPr>
        <w:spacing w:before="120" w:after="120" w:line="360" w:lineRule="auto"/>
        <w:contextualSpacing w:val="0"/>
        <w:jc w:val="both"/>
        <w:rPr>
          <w:rFonts w:asciiTheme="majorBidi" w:hAnsiTheme="majorBidi" w:cs="David"/>
          <w:color w:val="0070C0"/>
          <w:sz w:val="28"/>
          <w:szCs w:val="28"/>
        </w:rPr>
      </w:pPr>
      <w:r>
        <w:rPr>
          <w:rFonts w:asciiTheme="majorBidi" w:hAnsiTheme="majorBidi" w:cs="David" w:hint="cs"/>
          <w:b/>
          <w:bCs/>
          <w:color w:val="0070C0"/>
          <w:sz w:val="28"/>
          <w:szCs w:val="28"/>
          <w:rtl/>
        </w:rPr>
        <w:t xml:space="preserve">קידום חקיקה: אישור חוקים לעיגון הסכמי מעמד כוחות צבאיים עם יוון וקפריסין </w:t>
      </w:r>
    </w:p>
    <w:p w:rsidR="00045CFB" w:rsidRPr="00FA0C8B" w:rsidRDefault="00045CFB" w:rsidP="000D06F6">
      <w:pPr>
        <w:spacing w:before="120" w:after="120" w:line="360" w:lineRule="auto"/>
        <w:jc w:val="both"/>
        <w:rPr>
          <w:rFonts w:asciiTheme="majorBidi" w:hAnsiTheme="majorBidi" w:cs="David"/>
          <w:sz w:val="24"/>
          <w:szCs w:val="24"/>
          <w:rtl/>
        </w:rPr>
      </w:pPr>
      <w:r>
        <w:rPr>
          <w:rFonts w:asciiTheme="majorBidi" w:hAnsiTheme="majorBidi" w:cs="David" w:hint="cs"/>
          <w:sz w:val="24"/>
          <w:szCs w:val="24"/>
          <w:rtl/>
        </w:rPr>
        <w:t xml:space="preserve">בנובמבר 2017, אושרו בכנסת החוקים </w:t>
      </w:r>
      <w:r w:rsidRPr="00FA0C8B">
        <w:rPr>
          <w:rFonts w:asciiTheme="majorBidi" w:hAnsiTheme="majorBidi" w:cs="David"/>
          <w:sz w:val="24"/>
          <w:szCs w:val="24"/>
          <w:rtl/>
        </w:rPr>
        <w:t>המעגנים את הסכמי מעמד הכוחות (</w:t>
      </w:r>
      <w:r w:rsidRPr="00FA0C8B">
        <w:rPr>
          <w:rFonts w:asciiTheme="majorBidi" w:hAnsiTheme="majorBidi" w:cs="David"/>
          <w:sz w:val="24"/>
          <w:szCs w:val="24"/>
        </w:rPr>
        <w:t>SOFA</w:t>
      </w:r>
      <w:r w:rsidRPr="00FA0C8B">
        <w:rPr>
          <w:rFonts w:asciiTheme="majorBidi" w:hAnsiTheme="majorBidi" w:cs="David"/>
          <w:sz w:val="24"/>
          <w:szCs w:val="24"/>
          <w:rtl/>
        </w:rPr>
        <w:t>) של ישראל עם יוון ועם קפריסין. החוקים החדשים מעניקים תוקף בדין הפנימי להוראות ההסכמים שנחתמו בין ישראל ובין יוון וקפריסין בדבר המעמד של כוחותיהן הצבאיים בעת קיום פעילות צבאית משותפת, ומטרתם להסדיר היבטים משפטיים ולוגיסטיים הכרוכים בשיתוף הפעולה הביטחוני בין המדינות. מדובר בשני ההסכמים הראשונים מסוג זה שחתמה ישראל מאז ההסכם עם אר</w:t>
      </w:r>
      <w:r w:rsidR="00FF6286">
        <w:rPr>
          <w:rFonts w:asciiTheme="majorBidi" w:hAnsiTheme="majorBidi" w:cs="David" w:hint="cs"/>
          <w:sz w:val="24"/>
          <w:szCs w:val="24"/>
          <w:rtl/>
        </w:rPr>
        <w:t xml:space="preserve">צות הברית </w:t>
      </w:r>
      <w:r w:rsidRPr="00FA0C8B">
        <w:rPr>
          <w:rFonts w:asciiTheme="majorBidi" w:hAnsiTheme="majorBidi" w:cs="David"/>
          <w:sz w:val="24"/>
          <w:szCs w:val="24"/>
          <w:rtl/>
        </w:rPr>
        <w:t>משנת 1991. המחלקה</w:t>
      </w:r>
      <w:r w:rsidRPr="00FA0C8B">
        <w:rPr>
          <w:rFonts w:asciiTheme="majorBidi" w:hAnsiTheme="majorBidi" w:cs="David"/>
          <w:sz w:val="24"/>
          <w:szCs w:val="24"/>
        </w:rPr>
        <w:t xml:space="preserve"> </w:t>
      </w:r>
      <w:r w:rsidRPr="00FA0C8B">
        <w:rPr>
          <w:rFonts w:asciiTheme="majorBidi" w:hAnsiTheme="majorBidi" w:cs="David"/>
          <w:sz w:val="24"/>
          <w:szCs w:val="24"/>
          <w:rtl/>
        </w:rPr>
        <w:t>ליוותה</w:t>
      </w:r>
      <w:r w:rsidRPr="00FA0C8B">
        <w:rPr>
          <w:rFonts w:asciiTheme="majorBidi" w:hAnsiTheme="majorBidi" w:cs="David"/>
          <w:sz w:val="24"/>
          <w:szCs w:val="24"/>
        </w:rPr>
        <w:t xml:space="preserve"> </w:t>
      </w:r>
      <w:r w:rsidRPr="00FA0C8B">
        <w:rPr>
          <w:rFonts w:asciiTheme="majorBidi" w:hAnsiTheme="majorBidi" w:cs="David"/>
          <w:sz w:val="24"/>
          <w:szCs w:val="24"/>
          <w:rtl/>
        </w:rPr>
        <w:t>באופן</w:t>
      </w:r>
      <w:r w:rsidRPr="00FA0C8B">
        <w:rPr>
          <w:rFonts w:asciiTheme="majorBidi" w:hAnsiTheme="majorBidi" w:cs="David"/>
          <w:sz w:val="24"/>
          <w:szCs w:val="24"/>
        </w:rPr>
        <w:t xml:space="preserve"> </w:t>
      </w:r>
      <w:r w:rsidRPr="00FA0C8B">
        <w:rPr>
          <w:rFonts w:asciiTheme="majorBidi" w:hAnsiTheme="majorBidi" w:cs="David"/>
          <w:sz w:val="24"/>
          <w:szCs w:val="24"/>
          <w:rtl/>
        </w:rPr>
        <w:t>צמוד</w:t>
      </w:r>
      <w:r w:rsidRPr="00FA0C8B">
        <w:rPr>
          <w:rFonts w:asciiTheme="majorBidi" w:hAnsiTheme="majorBidi" w:cs="David"/>
          <w:sz w:val="24"/>
          <w:szCs w:val="24"/>
        </w:rPr>
        <w:t xml:space="preserve"> </w:t>
      </w:r>
      <w:r w:rsidRPr="00FA0C8B">
        <w:rPr>
          <w:rFonts w:asciiTheme="majorBidi" w:hAnsiTheme="majorBidi" w:cs="David"/>
          <w:sz w:val="24"/>
          <w:szCs w:val="24"/>
          <w:rtl/>
        </w:rPr>
        <w:t>את</w:t>
      </w:r>
      <w:r w:rsidRPr="00FA0C8B">
        <w:rPr>
          <w:rFonts w:asciiTheme="majorBidi" w:hAnsiTheme="majorBidi" w:cs="David"/>
          <w:sz w:val="24"/>
          <w:szCs w:val="24"/>
        </w:rPr>
        <w:t xml:space="preserve"> </w:t>
      </w:r>
      <w:r w:rsidRPr="00FA0C8B">
        <w:rPr>
          <w:rFonts w:asciiTheme="majorBidi" w:hAnsiTheme="majorBidi" w:cs="David"/>
          <w:sz w:val="24"/>
          <w:szCs w:val="24"/>
          <w:rtl/>
        </w:rPr>
        <w:t xml:space="preserve">המשא ומתן לחתימת ההסכמים, את ניסוח החוקים המסדירים אותם בדין הפנימי ואת הליכי אישורם, לצד משרד הביטחון, משרד החוץ </w:t>
      </w:r>
      <w:r w:rsidR="000D06F6">
        <w:rPr>
          <w:rFonts w:asciiTheme="majorBidi" w:hAnsiTheme="majorBidi" w:cs="David" w:hint="cs"/>
          <w:sz w:val="24"/>
          <w:szCs w:val="24"/>
          <w:rtl/>
        </w:rPr>
        <w:t>ומחלקת הדין הבין-לאומי בפרקליטות הצבאית</w:t>
      </w:r>
      <w:r w:rsidRPr="00FA0C8B">
        <w:rPr>
          <w:rFonts w:asciiTheme="majorBidi" w:hAnsiTheme="majorBidi" w:cs="David"/>
          <w:sz w:val="24"/>
          <w:szCs w:val="24"/>
          <w:rtl/>
        </w:rPr>
        <w:t>, וכעת ממשיכה ללוות את הליכי אשרור ההסכמים בהתאם לתקנון לעבודת הממשלה.</w:t>
      </w:r>
    </w:p>
    <w:p w:rsidR="008765D0" w:rsidRPr="00500267" w:rsidRDefault="008765D0" w:rsidP="00570109">
      <w:pPr>
        <w:pStyle w:val="a3"/>
        <w:numPr>
          <w:ilvl w:val="0"/>
          <w:numId w:val="5"/>
        </w:numPr>
        <w:spacing w:before="120" w:after="120" w:line="360" w:lineRule="auto"/>
        <w:contextualSpacing w:val="0"/>
        <w:jc w:val="both"/>
        <w:rPr>
          <w:rFonts w:asciiTheme="majorBidi" w:eastAsia="Calibri" w:hAnsiTheme="majorBidi" w:cs="David"/>
          <w:color w:val="0070C0"/>
          <w:sz w:val="28"/>
          <w:szCs w:val="28"/>
        </w:rPr>
      </w:pPr>
      <w:r>
        <w:rPr>
          <w:rFonts w:asciiTheme="majorBidi" w:eastAsia="Calibri" w:hAnsiTheme="majorBidi" w:cs="David" w:hint="cs"/>
          <w:b/>
          <w:bCs/>
          <w:color w:val="0070C0"/>
          <w:sz w:val="28"/>
          <w:szCs w:val="28"/>
          <w:rtl/>
        </w:rPr>
        <w:t xml:space="preserve">קידום חקיקה: </w:t>
      </w:r>
      <w:r w:rsidRPr="00500267">
        <w:rPr>
          <w:rFonts w:asciiTheme="majorBidi" w:eastAsia="Calibri" w:hAnsiTheme="majorBidi" w:cs="David"/>
          <w:b/>
          <w:bCs/>
          <w:color w:val="0070C0"/>
          <w:sz w:val="28"/>
          <w:szCs w:val="28"/>
          <w:rtl/>
        </w:rPr>
        <w:t>נוהל מניעת כניסה של חייבים משטחי המועצה הפלסטינית לישראל</w:t>
      </w:r>
    </w:p>
    <w:p w:rsidR="008765D0" w:rsidRDefault="008765D0" w:rsidP="00F01275">
      <w:pPr>
        <w:spacing w:before="120" w:after="120" w:line="360" w:lineRule="auto"/>
        <w:jc w:val="both"/>
        <w:rPr>
          <w:rFonts w:asciiTheme="majorBidi" w:eastAsia="Calibri" w:hAnsiTheme="majorBidi" w:cs="David"/>
          <w:sz w:val="24"/>
          <w:szCs w:val="24"/>
          <w:rtl/>
        </w:rPr>
      </w:pPr>
      <w:r>
        <w:rPr>
          <w:rFonts w:asciiTheme="majorBidi" w:eastAsia="Calibri" w:hAnsiTheme="majorBidi" w:cs="David" w:hint="cs"/>
          <w:sz w:val="24"/>
          <w:szCs w:val="24"/>
          <w:rtl/>
        </w:rPr>
        <w:t xml:space="preserve">בשנת 1998, אישרה הממשלה </w:t>
      </w:r>
      <w:r w:rsidRPr="00500267">
        <w:rPr>
          <w:rFonts w:asciiTheme="majorBidi" w:eastAsia="Calibri" w:hAnsiTheme="majorBidi" w:cs="David"/>
          <w:sz w:val="24"/>
          <w:szCs w:val="24"/>
          <w:rtl/>
        </w:rPr>
        <w:t>נוהל מניעת כניסה של חייבים משטחי המועצה הפלסטינית</w:t>
      </w:r>
      <w:r>
        <w:rPr>
          <w:rFonts w:asciiTheme="majorBidi" w:eastAsia="Calibri" w:hAnsiTheme="majorBidi" w:cs="David" w:hint="cs"/>
          <w:sz w:val="24"/>
          <w:szCs w:val="24"/>
          <w:rtl/>
        </w:rPr>
        <w:t xml:space="preserve">, </w:t>
      </w:r>
      <w:r w:rsidRPr="00500267">
        <w:rPr>
          <w:rFonts w:asciiTheme="majorBidi" w:eastAsia="Calibri" w:hAnsiTheme="majorBidi" w:cs="David"/>
          <w:sz w:val="24"/>
          <w:szCs w:val="24"/>
          <w:rtl/>
        </w:rPr>
        <w:t xml:space="preserve">במטרה לסייע לרשויות השלטוניות בישראל ובאזור ולנושים ישראלים לגבות תשלומי חובות מצד חייבים פלסטינים באמצעות מניעת כניסה לישראל. ברם, נוכח קשיים מהותיים בהפעלת הנוהל, אשר הלכו וגברו בשנים האחרונות, נוצר צורך חיוני בהתאמת הוראות הנוהל משנת 1998 למציאות בעת הנוכחית. לפיכך, </w:t>
      </w:r>
      <w:r>
        <w:rPr>
          <w:rFonts w:asciiTheme="majorBidi" w:eastAsia="Calibri" w:hAnsiTheme="majorBidi" w:cs="David" w:hint="cs"/>
          <w:sz w:val="24"/>
          <w:szCs w:val="24"/>
          <w:rtl/>
        </w:rPr>
        <w:t xml:space="preserve">יחידת הממונה על העזרה המשפטית יזמה </w:t>
      </w:r>
      <w:r w:rsidRPr="00500267">
        <w:rPr>
          <w:rFonts w:asciiTheme="majorBidi" w:eastAsia="Calibri" w:hAnsiTheme="majorBidi" w:cs="David"/>
          <w:sz w:val="24"/>
          <w:szCs w:val="24"/>
          <w:rtl/>
        </w:rPr>
        <w:t>עבודת מטה בין-משרדית מקיפה לבחינת חלופות</w:t>
      </w:r>
      <w:r>
        <w:rPr>
          <w:rFonts w:asciiTheme="majorBidi" w:eastAsia="Calibri" w:hAnsiTheme="majorBidi" w:cs="David" w:hint="cs"/>
          <w:sz w:val="24"/>
          <w:szCs w:val="24"/>
          <w:rtl/>
        </w:rPr>
        <w:t xml:space="preserve">, שבסופה הומלץ על תיקון הוראות </w:t>
      </w:r>
      <w:r w:rsidRPr="00500267">
        <w:rPr>
          <w:rFonts w:asciiTheme="majorBidi" w:eastAsia="Calibri" w:hAnsiTheme="majorBidi" w:cs="David"/>
          <w:sz w:val="24"/>
          <w:szCs w:val="24"/>
          <w:rtl/>
        </w:rPr>
        <w:t xml:space="preserve">הנוהל, תוך שמירה על מסגרתו הכללית. </w:t>
      </w:r>
      <w:r>
        <w:rPr>
          <w:rFonts w:asciiTheme="majorBidi" w:eastAsia="Calibri" w:hAnsiTheme="majorBidi" w:cs="David" w:hint="cs"/>
          <w:sz w:val="24"/>
          <w:szCs w:val="24"/>
          <w:rtl/>
        </w:rPr>
        <w:t xml:space="preserve">בעקבות זאת, </w:t>
      </w:r>
      <w:r w:rsidRPr="00500267">
        <w:rPr>
          <w:rFonts w:asciiTheme="majorBidi" w:eastAsia="Calibri" w:hAnsiTheme="majorBidi" w:cs="David"/>
          <w:sz w:val="24"/>
          <w:szCs w:val="24"/>
          <w:rtl/>
        </w:rPr>
        <w:t xml:space="preserve">גובשה הצעת מחליטים בדבר תיקון </w:t>
      </w:r>
      <w:r>
        <w:rPr>
          <w:rFonts w:asciiTheme="majorBidi" w:eastAsia="Calibri" w:hAnsiTheme="majorBidi" w:cs="David" w:hint="cs"/>
          <w:sz w:val="24"/>
          <w:szCs w:val="24"/>
          <w:rtl/>
        </w:rPr>
        <w:t xml:space="preserve">הנוהל, אשר </w:t>
      </w:r>
      <w:r w:rsidRPr="00500267">
        <w:rPr>
          <w:rFonts w:asciiTheme="majorBidi" w:eastAsia="Calibri" w:hAnsiTheme="majorBidi" w:cs="David"/>
          <w:sz w:val="24"/>
          <w:szCs w:val="24"/>
          <w:rtl/>
        </w:rPr>
        <w:t>הוגשה לממשלה על ידי שרת המשפטים ושר הביטחון בשלהי שנת 2017. תיקון הנוהל הנ"ל נועד לש</w:t>
      </w:r>
      <w:r>
        <w:rPr>
          <w:rFonts w:asciiTheme="majorBidi" w:eastAsia="Calibri" w:hAnsiTheme="majorBidi" w:cs="David" w:hint="cs"/>
          <w:sz w:val="24"/>
          <w:szCs w:val="24"/>
          <w:rtl/>
        </w:rPr>
        <w:t xml:space="preserve">פר את יכולות </w:t>
      </w:r>
      <w:r>
        <w:rPr>
          <w:rFonts w:asciiTheme="majorBidi" w:eastAsia="Calibri" w:hAnsiTheme="majorBidi" w:cs="David" w:hint="cs"/>
          <w:sz w:val="24"/>
          <w:szCs w:val="24"/>
          <w:rtl/>
        </w:rPr>
        <w:lastRenderedPageBreak/>
        <w:t xml:space="preserve">הגבייה של מדינת ישראל בגין חובות של חייבים פלסטינים, המוערכים במאות מיליוני ₪, </w:t>
      </w:r>
      <w:r w:rsidRPr="00500267">
        <w:rPr>
          <w:rFonts w:asciiTheme="majorBidi" w:eastAsia="Calibri" w:hAnsiTheme="majorBidi" w:cs="David"/>
          <w:sz w:val="24"/>
          <w:szCs w:val="24"/>
          <w:rtl/>
        </w:rPr>
        <w:t>לצד צמצום הפגיעה בחייבים הפלסטינים ובמעסיקים בישראל, ככל הניתן. בנוסף, תיקון הנוהל צפוי להביא לייעול הבירוקרטיה ותהליכי ה</w:t>
      </w:r>
      <w:r>
        <w:rPr>
          <w:rFonts w:asciiTheme="majorBidi" w:eastAsia="Calibri" w:hAnsiTheme="majorBidi" w:cs="David"/>
          <w:sz w:val="24"/>
          <w:szCs w:val="24"/>
          <w:rtl/>
        </w:rPr>
        <w:t>עבודה בין הגורמים המקצועיים ה</w:t>
      </w:r>
      <w:bookmarkStart w:id="0" w:name="_GoBack"/>
      <w:r>
        <w:rPr>
          <w:rFonts w:asciiTheme="majorBidi" w:eastAsia="Calibri" w:hAnsiTheme="majorBidi" w:cs="David"/>
          <w:sz w:val="24"/>
          <w:szCs w:val="24"/>
          <w:rtl/>
        </w:rPr>
        <w:t>רל</w:t>
      </w:r>
      <w:r>
        <w:rPr>
          <w:rFonts w:asciiTheme="majorBidi" w:eastAsia="Calibri" w:hAnsiTheme="majorBidi" w:cs="David" w:hint="cs"/>
          <w:sz w:val="24"/>
          <w:szCs w:val="24"/>
          <w:rtl/>
        </w:rPr>
        <w:t>וו</w:t>
      </w:r>
      <w:r w:rsidRPr="00500267">
        <w:rPr>
          <w:rFonts w:asciiTheme="majorBidi" w:eastAsia="Calibri" w:hAnsiTheme="majorBidi" w:cs="David"/>
          <w:sz w:val="24"/>
          <w:szCs w:val="24"/>
          <w:rtl/>
        </w:rPr>
        <w:t>נטי</w:t>
      </w:r>
      <w:bookmarkEnd w:id="0"/>
      <w:r w:rsidRPr="00500267">
        <w:rPr>
          <w:rFonts w:asciiTheme="majorBidi" w:eastAsia="Calibri" w:hAnsiTheme="majorBidi" w:cs="David"/>
          <w:sz w:val="24"/>
          <w:szCs w:val="24"/>
          <w:rtl/>
        </w:rPr>
        <w:t>ים, וזאת בין היתר באמצעות הקמת תשתיות וממשקים טכנולוגיים ייעודיים חדשניים. אשר על כן, המדובר בצעד בעל משמעות רבה</w:t>
      </w:r>
      <w:r>
        <w:rPr>
          <w:rFonts w:asciiTheme="majorBidi" w:eastAsia="Calibri" w:hAnsiTheme="majorBidi" w:cs="David" w:hint="cs"/>
          <w:sz w:val="24"/>
          <w:szCs w:val="24"/>
          <w:rtl/>
        </w:rPr>
        <w:t>,</w:t>
      </w:r>
      <w:r w:rsidRPr="00500267">
        <w:rPr>
          <w:rFonts w:asciiTheme="majorBidi" w:eastAsia="Calibri" w:hAnsiTheme="majorBidi" w:cs="David"/>
          <w:sz w:val="24"/>
          <w:szCs w:val="24"/>
          <w:rtl/>
        </w:rPr>
        <w:t xml:space="preserve"> אשר לאחר השלמת ההיערכות הלוגיסטית הדרושה</w:t>
      </w:r>
      <w:r>
        <w:rPr>
          <w:rFonts w:asciiTheme="majorBidi" w:eastAsia="Calibri" w:hAnsiTheme="majorBidi" w:cs="David" w:hint="cs"/>
          <w:sz w:val="24"/>
          <w:szCs w:val="24"/>
          <w:rtl/>
        </w:rPr>
        <w:t>,</w:t>
      </w:r>
      <w:r w:rsidRPr="00500267">
        <w:rPr>
          <w:rFonts w:asciiTheme="majorBidi" w:eastAsia="Calibri" w:hAnsiTheme="majorBidi" w:cs="David"/>
          <w:sz w:val="24"/>
          <w:szCs w:val="24"/>
          <w:rtl/>
        </w:rPr>
        <w:t xml:space="preserve"> צפוי לשפר את השירות הניתן לציבור הנושים והחייבים, כאחד. </w:t>
      </w:r>
    </w:p>
    <w:p w:rsidR="001D516C" w:rsidRDefault="001D516C" w:rsidP="001D516C">
      <w:pPr>
        <w:pStyle w:val="a3"/>
        <w:numPr>
          <w:ilvl w:val="0"/>
          <w:numId w:val="5"/>
        </w:numPr>
        <w:spacing w:before="120" w:after="120" w:line="360" w:lineRule="auto"/>
        <w:contextualSpacing w:val="0"/>
        <w:jc w:val="both"/>
        <w:rPr>
          <w:rFonts w:asciiTheme="majorBidi" w:hAnsiTheme="majorBidi" w:cs="David"/>
          <w:b/>
          <w:bCs/>
          <w:color w:val="0070C0"/>
          <w:sz w:val="28"/>
          <w:szCs w:val="28"/>
        </w:rPr>
      </w:pPr>
      <w:r>
        <w:rPr>
          <w:rFonts w:asciiTheme="majorBidi" w:hAnsiTheme="majorBidi" w:cs="David" w:hint="cs"/>
          <w:b/>
          <w:bCs/>
          <w:color w:val="0070C0"/>
          <w:sz w:val="28"/>
          <w:szCs w:val="28"/>
          <w:rtl/>
        </w:rPr>
        <w:t xml:space="preserve">הסברה ותקשורת: השקת אתר אינטרנט חדש למחלקה  </w:t>
      </w:r>
    </w:p>
    <w:p w:rsidR="001D516C" w:rsidRDefault="001D516C" w:rsidP="001D516C">
      <w:pPr>
        <w:spacing w:before="120" w:after="120" w:line="360" w:lineRule="auto"/>
        <w:jc w:val="both"/>
        <w:rPr>
          <w:rFonts w:cs="David"/>
          <w:sz w:val="24"/>
          <w:szCs w:val="24"/>
          <w:rtl/>
        </w:rPr>
      </w:pPr>
      <w:r>
        <w:rPr>
          <w:rFonts w:cs="David" w:hint="cs"/>
          <w:sz w:val="24"/>
          <w:szCs w:val="24"/>
          <w:rtl/>
        </w:rPr>
        <w:t>בתקופה האחרונה, הושלמה הקמת אתר האינטרנט החדש של המחלקה, והוא מתוכנן לעלות לרשת במועד קרוב. האתר נועד לקדם את ההיכרות עם עבודת המחלקה ולחזק את העניין בה, בקרב קהלי יעד והציבור הרחב, ויש בו מידע מקיף אודות המחלקה, מבנה ארגוני, תחומי עיסוק, תוצרי עבודה, חדשות ועדכונים. ניתן דגש מיוחד לכך שהאתר יהיה שימושי עבור מי ששוקלים להתמחות או לעבוד במחלקה, כדי לעודד משיכת כוח אדם איכותי. כמו כן, האתר יאפשר גישה קלה ונוחה לפרסומים ודו"חות מרכזיים של ישראל בתחום המשפט הבין-לאומי, שנמצאים באחריות המחלקה, וכך יסייע לשיפור המודעות לעמדותיה של מדינת ישראל בתחום המשפט הבין-לאומי, ופעולות הננקטות על ידה בהקשרים אלה. בהמשך,</w:t>
      </w:r>
      <w:r w:rsidR="006A3DF0">
        <w:rPr>
          <w:rFonts w:cs="David" w:hint="cs"/>
          <w:sz w:val="24"/>
          <w:szCs w:val="24"/>
          <w:rtl/>
        </w:rPr>
        <w:t xml:space="preserve"> האתר י</w:t>
      </w:r>
      <w:r>
        <w:rPr>
          <w:rFonts w:cs="David" w:hint="cs"/>
          <w:sz w:val="24"/>
          <w:szCs w:val="24"/>
          <w:rtl/>
        </w:rPr>
        <w:t xml:space="preserve">עלה גם בשפה האנגלית, על מנת לפנות גם לקהלים בחו"ל. </w:t>
      </w:r>
    </w:p>
    <w:p w:rsidR="001D516C" w:rsidRPr="001D3609" w:rsidRDefault="001D516C" w:rsidP="001D3609">
      <w:pPr>
        <w:spacing w:before="120" w:after="120" w:line="360" w:lineRule="auto"/>
        <w:jc w:val="both"/>
        <w:rPr>
          <w:rFonts w:asciiTheme="majorBidi" w:eastAsia="Calibri" w:hAnsiTheme="majorBidi" w:cs="David"/>
          <w:sz w:val="24"/>
          <w:szCs w:val="24"/>
          <w:rtl/>
        </w:rPr>
      </w:pPr>
    </w:p>
    <w:sectPr w:rsidR="001D516C" w:rsidRPr="001D3609" w:rsidSect="000E6943">
      <w:headerReference w:type="even" r:id="rId9"/>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54" w:rsidRDefault="00C40454" w:rsidP="00A50702">
      <w:r>
        <w:separator/>
      </w:r>
    </w:p>
  </w:endnote>
  <w:endnote w:type="continuationSeparator" w:id="0">
    <w:p w:rsidR="00C40454" w:rsidRDefault="00C40454" w:rsidP="00A5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8829637"/>
      <w:docPartObj>
        <w:docPartGallery w:val="Page Numbers (Bottom of Page)"/>
        <w:docPartUnique/>
      </w:docPartObj>
    </w:sdtPr>
    <w:sdtEndPr/>
    <w:sdtContent>
      <w:p w:rsidR="00B95DD7" w:rsidRPr="008765D0" w:rsidRDefault="00B95DD7">
        <w:pPr>
          <w:pStyle w:val="a9"/>
          <w:rPr>
            <w:rFonts w:cs="David"/>
            <w:rtl/>
            <w:cs/>
          </w:rPr>
        </w:pPr>
        <w:r w:rsidRPr="008765D0">
          <w:rPr>
            <w:rFonts w:cs="David"/>
          </w:rPr>
          <w:fldChar w:fldCharType="begin"/>
        </w:r>
        <w:r w:rsidRPr="008765D0">
          <w:rPr>
            <w:rFonts w:cs="David"/>
            <w:rtl/>
            <w:cs/>
          </w:rPr>
          <w:instrText>PAGE   \* MERGEFORMAT</w:instrText>
        </w:r>
        <w:r w:rsidRPr="008765D0">
          <w:rPr>
            <w:rFonts w:cs="David"/>
          </w:rPr>
          <w:fldChar w:fldCharType="separate"/>
        </w:r>
        <w:r w:rsidR="007D311F" w:rsidRPr="007D311F">
          <w:rPr>
            <w:rFonts w:cs="David"/>
            <w:noProof/>
            <w:rtl/>
            <w:lang w:val="he-IL"/>
          </w:rPr>
          <w:t>2</w:t>
        </w:r>
        <w:r w:rsidRPr="008765D0">
          <w:rPr>
            <w:rFonts w:cs="David"/>
          </w:rPr>
          <w:fldChar w:fldCharType="end"/>
        </w:r>
      </w:p>
    </w:sdtContent>
  </w:sdt>
  <w:p w:rsidR="00B95DD7" w:rsidRPr="008765D0" w:rsidRDefault="00B95DD7">
    <w:pPr>
      <w:pStyle w:val="a9"/>
      <w:rPr>
        <w:rFonts w:cs="Dav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D7" w:rsidRPr="008765D0" w:rsidRDefault="00B95DD7" w:rsidP="008765D0">
    <w:pPr>
      <w:pStyle w:val="a9"/>
      <w:jc w:val="center"/>
      <w:rPr>
        <w:rFonts w:asciiTheme="majorBidi" w:hAnsiTheme="majorBidi" w:cs="David"/>
        <w:b/>
        <w:bCs/>
        <w:rtl/>
      </w:rPr>
    </w:pPr>
    <w:r w:rsidRPr="008765D0">
      <w:rPr>
        <w:rFonts w:asciiTheme="majorBidi" w:hAnsiTheme="majorBidi" w:cs="David"/>
        <w:b/>
        <w:bCs/>
        <w:rtl/>
      </w:rPr>
      <w:t>רח' השלושה 2, ת.ד. 9299 תל אביב 61092 טל' 03-6899801 פקס 03-6899792</w:t>
    </w:r>
  </w:p>
  <w:p w:rsidR="00B95DD7" w:rsidRPr="008765D0" w:rsidRDefault="00B95DD7" w:rsidP="008765D0">
    <w:pPr>
      <w:pStyle w:val="a9"/>
      <w:rPr>
        <w:rFonts w:asciiTheme="majorBidi" w:hAnsiTheme="majorBidi" w:cs="David"/>
      </w:rPr>
    </w:pPr>
    <w:r w:rsidRPr="008765D0">
      <w:rPr>
        <w:rFonts w:asciiTheme="majorBidi" w:hAnsiTheme="majorBidi" w:cs="David"/>
      </w:rPr>
      <w:t>P.O. Box 9299 Tel Aviv 61092 Tel: 972-3-6899801 Fax: 972-3-6899792</w:t>
    </w:r>
    <w:r>
      <w:rPr>
        <w:rFonts w:asciiTheme="majorBidi" w:hAnsiTheme="majorBidi" w:cs="David"/>
      </w:rPr>
      <w:t xml:space="preserve"> </w:t>
    </w:r>
    <w:r w:rsidRPr="008765D0">
      <w:rPr>
        <w:rFonts w:asciiTheme="majorBidi" w:hAnsiTheme="majorBidi" w:cs="David"/>
      </w:rPr>
      <w:t xml:space="preserve">              1</w:t>
    </w:r>
    <w:r w:rsidRPr="008765D0">
      <w:rPr>
        <w:rFonts w:asciiTheme="majorBidi" w:hAnsiTheme="majorBidi" w:cs="Dav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54" w:rsidRDefault="00C40454" w:rsidP="00A50702">
      <w:r>
        <w:separator/>
      </w:r>
    </w:p>
  </w:footnote>
  <w:footnote w:type="continuationSeparator" w:id="0">
    <w:p w:rsidR="00C40454" w:rsidRDefault="00C40454" w:rsidP="00A50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D7" w:rsidRDefault="00C4045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14989" o:spid="_x0000_s2050" type="#_x0000_t136" style="position:absolute;left:0;text-align:left;margin-left:0;margin-top:0;width:365.95pt;height:219.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D7" w:rsidRDefault="00C4045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14990" o:spid="_x0000_s2051" type="#_x0000_t136" style="position:absolute;left:0;text-align:left;margin-left:0;margin-top:0;width:365.95pt;height:219.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D7" w:rsidRDefault="00C40454" w:rsidP="00A40F29">
    <w:pPr>
      <w:pStyle w:val="a7"/>
      <w:rPr>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14988" o:spid="_x0000_s2049" type="#_x0000_t136" style="position:absolute;left:0;text-align:left;margin-left:0;margin-top:0;width:365.95pt;height:219.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95DD7">
      <w:rPr>
        <w:noProof/>
        <w:rtl/>
      </w:rPr>
      <w:drawing>
        <wp:anchor distT="0" distB="0" distL="114300" distR="114300" simplePos="0" relativeHeight="251658240" behindDoc="0" locked="0" layoutInCell="1" allowOverlap="1" wp14:anchorId="693269D7" wp14:editId="4E135ECE">
          <wp:simplePos x="0" y="0"/>
          <wp:positionH relativeFrom="margin">
            <wp:posOffset>-1123950</wp:posOffset>
          </wp:positionH>
          <wp:positionV relativeFrom="margin">
            <wp:posOffset>-685800</wp:posOffset>
          </wp:positionV>
          <wp:extent cx="7553325" cy="1447800"/>
          <wp:effectExtent l="0" t="0" r="9525"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המחלקה.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447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C2A"/>
    <w:multiLevelType w:val="hybridMultilevel"/>
    <w:tmpl w:val="B158069E"/>
    <w:lvl w:ilvl="0" w:tplc="1822303E">
      <w:start w:val="1"/>
      <w:numFmt w:val="decimal"/>
      <w:lvlText w:val="%1."/>
      <w:lvlJc w:val="left"/>
      <w:pPr>
        <w:ind w:left="360" w:hanging="360"/>
      </w:pPr>
      <w:rPr>
        <w:rFonts w:cs="David" w:hint="default"/>
        <w:b/>
        <w:bCs/>
        <w:color w:val="0070C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867B09"/>
    <w:multiLevelType w:val="hybridMultilevel"/>
    <w:tmpl w:val="459AA73E"/>
    <w:lvl w:ilvl="0" w:tplc="60BEB836">
      <w:start w:val="1"/>
      <w:numFmt w:val="decimal"/>
      <w:lvlText w:val="%1."/>
      <w:lvlJc w:val="left"/>
      <w:pPr>
        <w:ind w:left="360" w:hanging="360"/>
      </w:pPr>
      <w:rPr>
        <w:rFonts w:cs="David" w:hint="default"/>
        <w:b w:val="0"/>
        <w:bCs/>
        <w:color w:val="0070C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726597"/>
    <w:multiLevelType w:val="hybridMultilevel"/>
    <w:tmpl w:val="F850A6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425B8E"/>
    <w:multiLevelType w:val="hybridMultilevel"/>
    <w:tmpl w:val="4326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C1B8F"/>
    <w:multiLevelType w:val="hybridMultilevel"/>
    <w:tmpl w:val="D65C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51C9E"/>
    <w:multiLevelType w:val="hybridMultilevel"/>
    <w:tmpl w:val="DB7EEA48"/>
    <w:lvl w:ilvl="0" w:tplc="B562EBB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17A94"/>
    <w:multiLevelType w:val="hybridMultilevel"/>
    <w:tmpl w:val="B158069E"/>
    <w:lvl w:ilvl="0" w:tplc="1822303E">
      <w:start w:val="1"/>
      <w:numFmt w:val="decimal"/>
      <w:lvlText w:val="%1."/>
      <w:lvlJc w:val="left"/>
      <w:pPr>
        <w:ind w:left="360" w:hanging="360"/>
      </w:pPr>
      <w:rPr>
        <w:rFonts w:cs="David" w:hint="default"/>
        <w:b/>
        <w:bCs/>
        <w:color w:val="0070C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EB7B1E"/>
    <w:multiLevelType w:val="hybridMultilevel"/>
    <w:tmpl w:val="BF3A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D01502"/>
    <w:multiLevelType w:val="hybridMultilevel"/>
    <w:tmpl w:val="5C0A8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3B"/>
    <w:rsid w:val="00033879"/>
    <w:rsid w:val="00037E70"/>
    <w:rsid w:val="00042981"/>
    <w:rsid w:val="00045CFB"/>
    <w:rsid w:val="000616E6"/>
    <w:rsid w:val="000713D4"/>
    <w:rsid w:val="0007332D"/>
    <w:rsid w:val="000A0E76"/>
    <w:rsid w:val="000C5501"/>
    <w:rsid w:val="000D06F6"/>
    <w:rsid w:val="000E6943"/>
    <w:rsid w:val="000F0032"/>
    <w:rsid w:val="00122C39"/>
    <w:rsid w:val="0016225D"/>
    <w:rsid w:val="00172B15"/>
    <w:rsid w:val="00195C68"/>
    <w:rsid w:val="001A5799"/>
    <w:rsid w:val="001A786C"/>
    <w:rsid w:val="001D1C0A"/>
    <w:rsid w:val="001D3609"/>
    <w:rsid w:val="001D4D96"/>
    <w:rsid w:val="001D516C"/>
    <w:rsid w:val="001F4944"/>
    <w:rsid w:val="00226818"/>
    <w:rsid w:val="00245442"/>
    <w:rsid w:val="002712DA"/>
    <w:rsid w:val="002A6A50"/>
    <w:rsid w:val="002D3155"/>
    <w:rsid w:val="002E67BC"/>
    <w:rsid w:val="003247E1"/>
    <w:rsid w:val="00384384"/>
    <w:rsid w:val="003A1FC8"/>
    <w:rsid w:val="003B6CE9"/>
    <w:rsid w:val="003E2819"/>
    <w:rsid w:val="00404B2D"/>
    <w:rsid w:val="004079C1"/>
    <w:rsid w:val="0047652D"/>
    <w:rsid w:val="00484F15"/>
    <w:rsid w:val="004A4801"/>
    <w:rsid w:val="00500267"/>
    <w:rsid w:val="00511886"/>
    <w:rsid w:val="00536239"/>
    <w:rsid w:val="00543FE3"/>
    <w:rsid w:val="00552C61"/>
    <w:rsid w:val="00570109"/>
    <w:rsid w:val="0057535C"/>
    <w:rsid w:val="00577A1A"/>
    <w:rsid w:val="00596992"/>
    <w:rsid w:val="0060046E"/>
    <w:rsid w:val="0061281D"/>
    <w:rsid w:val="0062360B"/>
    <w:rsid w:val="00644F2B"/>
    <w:rsid w:val="00646AC8"/>
    <w:rsid w:val="006536BC"/>
    <w:rsid w:val="006962B1"/>
    <w:rsid w:val="006A3DF0"/>
    <w:rsid w:val="006B226B"/>
    <w:rsid w:val="006F0C84"/>
    <w:rsid w:val="006F7C3B"/>
    <w:rsid w:val="00710AC3"/>
    <w:rsid w:val="00735BD7"/>
    <w:rsid w:val="007475F4"/>
    <w:rsid w:val="00787A6A"/>
    <w:rsid w:val="007B59A5"/>
    <w:rsid w:val="007C1193"/>
    <w:rsid w:val="007D0766"/>
    <w:rsid w:val="007D311F"/>
    <w:rsid w:val="007E593A"/>
    <w:rsid w:val="007F0218"/>
    <w:rsid w:val="007F0F37"/>
    <w:rsid w:val="00802499"/>
    <w:rsid w:val="00826EFF"/>
    <w:rsid w:val="00843A22"/>
    <w:rsid w:val="00847F76"/>
    <w:rsid w:val="008500B2"/>
    <w:rsid w:val="00855387"/>
    <w:rsid w:val="00876567"/>
    <w:rsid w:val="008765D0"/>
    <w:rsid w:val="008B74F7"/>
    <w:rsid w:val="008D3432"/>
    <w:rsid w:val="008F5217"/>
    <w:rsid w:val="0094689D"/>
    <w:rsid w:val="009538C6"/>
    <w:rsid w:val="00972B6F"/>
    <w:rsid w:val="0098068A"/>
    <w:rsid w:val="00997519"/>
    <w:rsid w:val="009F2401"/>
    <w:rsid w:val="00A21B8E"/>
    <w:rsid w:val="00A40F29"/>
    <w:rsid w:val="00A421A1"/>
    <w:rsid w:val="00A50702"/>
    <w:rsid w:val="00A6025F"/>
    <w:rsid w:val="00A85D5B"/>
    <w:rsid w:val="00AB3CE1"/>
    <w:rsid w:val="00AB5748"/>
    <w:rsid w:val="00AB70A4"/>
    <w:rsid w:val="00AD240A"/>
    <w:rsid w:val="00AD3ADF"/>
    <w:rsid w:val="00AE2F62"/>
    <w:rsid w:val="00AF219B"/>
    <w:rsid w:val="00B171D0"/>
    <w:rsid w:val="00B41B08"/>
    <w:rsid w:val="00B5337A"/>
    <w:rsid w:val="00B57D80"/>
    <w:rsid w:val="00B95DD7"/>
    <w:rsid w:val="00BB5D8B"/>
    <w:rsid w:val="00BC3529"/>
    <w:rsid w:val="00C01742"/>
    <w:rsid w:val="00C143D2"/>
    <w:rsid w:val="00C16B7E"/>
    <w:rsid w:val="00C344F9"/>
    <w:rsid w:val="00C40454"/>
    <w:rsid w:val="00CF05F1"/>
    <w:rsid w:val="00CF269E"/>
    <w:rsid w:val="00D23944"/>
    <w:rsid w:val="00D32415"/>
    <w:rsid w:val="00D45A70"/>
    <w:rsid w:val="00D47527"/>
    <w:rsid w:val="00D74EC3"/>
    <w:rsid w:val="00DD1C59"/>
    <w:rsid w:val="00DE4266"/>
    <w:rsid w:val="00E214CD"/>
    <w:rsid w:val="00E3518B"/>
    <w:rsid w:val="00E3594C"/>
    <w:rsid w:val="00E63885"/>
    <w:rsid w:val="00ED2012"/>
    <w:rsid w:val="00F01275"/>
    <w:rsid w:val="00F078F5"/>
    <w:rsid w:val="00F12204"/>
    <w:rsid w:val="00F402EF"/>
    <w:rsid w:val="00F56DFF"/>
    <w:rsid w:val="00F610E8"/>
    <w:rsid w:val="00F644AA"/>
    <w:rsid w:val="00F66719"/>
    <w:rsid w:val="00F71492"/>
    <w:rsid w:val="00FA0C8B"/>
    <w:rsid w:val="00FD7BA4"/>
    <w:rsid w:val="00FF62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B1"/>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2B1"/>
    <w:pPr>
      <w:spacing w:after="200" w:line="276" w:lineRule="auto"/>
      <w:ind w:left="720"/>
      <w:contextualSpacing/>
    </w:pPr>
  </w:style>
  <w:style w:type="paragraph" w:styleId="a4">
    <w:name w:val="footnote text"/>
    <w:basedOn w:val="a"/>
    <w:link w:val="a5"/>
    <w:uiPriority w:val="99"/>
    <w:semiHidden/>
    <w:unhideWhenUsed/>
    <w:rsid w:val="00A50702"/>
    <w:rPr>
      <w:sz w:val="20"/>
      <w:szCs w:val="20"/>
    </w:rPr>
  </w:style>
  <w:style w:type="character" w:customStyle="1" w:styleId="a5">
    <w:name w:val="טקסט הערת שוליים תו"/>
    <w:basedOn w:val="a0"/>
    <w:link w:val="a4"/>
    <w:uiPriority w:val="99"/>
    <w:semiHidden/>
    <w:rsid w:val="00A50702"/>
    <w:rPr>
      <w:rFonts w:ascii="Calibri" w:hAnsi="Calibri" w:cs="Times New Roman"/>
      <w:sz w:val="20"/>
      <w:szCs w:val="20"/>
    </w:rPr>
  </w:style>
  <w:style w:type="character" w:styleId="a6">
    <w:name w:val="footnote reference"/>
    <w:basedOn w:val="a0"/>
    <w:uiPriority w:val="99"/>
    <w:semiHidden/>
    <w:unhideWhenUsed/>
    <w:rsid w:val="00A50702"/>
    <w:rPr>
      <w:vertAlign w:val="superscript"/>
    </w:rPr>
  </w:style>
  <w:style w:type="paragraph" w:styleId="a7">
    <w:name w:val="header"/>
    <w:basedOn w:val="a"/>
    <w:link w:val="a8"/>
    <w:uiPriority w:val="99"/>
    <w:unhideWhenUsed/>
    <w:rsid w:val="006B226B"/>
    <w:pPr>
      <w:tabs>
        <w:tab w:val="center" w:pos="4153"/>
        <w:tab w:val="right" w:pos="8306"/>
      </w:tabs>
    </w:pPr>
  </w:style>
  <w:style w:type="character" w:customStyle="1" w:styleId="a8">
    <w:name w:val="כותרת עליונה תו"/>
    <w:basedOn w:val="a0"/>
    <w:link w:val="a7"/>
    <w:uiPriority w:val="99"/>
    <w:rsid w:val="006B226B"/>
    <w:rPr>
      <w:rFonts w:ascii="Calibri" w:hAnsi="Calibri" w:cs="Times New Roman"/>
    </w:rPr>
  </w:style>
  <w:style w:type="paragraph" w:styleId="a9">
    <w:name w:val="footer"/>
    <w:basedOn w:val="a"/>
    <w:link w:val="aa"/>
    <w:uiPriority w:val="99"/>
    <w:unhideWhenUsed/>
    <w:rsid w:val="006B226B"/>
    <w:pPr>
      <w:tabs>
        <w:tab w:val="center" w:pos="4153"/>
        <w:tab w:val="right" w:pos="8306"/>
      </w:tabs>
    </w:pPr>
  </w:style>
  <w:style w:type="character" w:customStyle="1" w:styleId="aa">
    <w:name w:val="כותרת תחתונה תו"/>
    <w:basedOn w:val="a0"/>
    <w:link w:val="a9"/>
    <w:uiPriority w:val="99"/>
    <w:rsid w:val="006B226B"/>
    <w:rPr>
      <w:rFonts w:ascii="Calibri" w:hAnsi="Calibri" w:cs="Times New Roman"/>
    </w:rPr>
  </w:style>
  <w:style w:type="paragraph" w:customStyle="1" w:styleId="Default">
    <w:name w:val="Default"/>
    <w:rsid w:val="006F0C84"/>
    <w:pPr>
      <w:autoSpaceDE w:val="0"/>
      <w:autoSpaceDN w:val="0"/>
      <w:adjustRightInd w:val="0"/>
      <w:spacing w:after="0" w:line="240" w:lineRule="auto"/>
    </w:pPr>
    <w:rPr>
      <w:rFonts w:ascii="Palatino Linotype" w:hAnsi="Palatino Linotype" w:cs="Palatino Linotype"/>
      <w:color w:val="000000"/>
      <w:sz w:val="24"/>
      <w:szCs w:val="24"/>
    </w:rPr>
  </w:style>
  <w:style w:type="paragraph" w:styleId="ab">
    <w:name w:val="endnote text"/>
    <w:basedOn w:val="a"/>
    <w:link w:val="ac"/>
    <w:uiPriority w:val="99"/>
    <w:semiHidden/>
    <w:unhideWhenUsed/>
    <w:rsid w:val="00AB3CE1"/>
    <w:rPr>
      <w:sz w:val="20"/>
      <w:szCs w:val="20"/>
    </w:rPr>
  </w:style>
  <w:style w:type="character" w:customStyle="1" w:styleId="ac">
    <w:name w:val="טקסט הערת סיום תו"/>
    <w:basedOn w:val="a0"/>
    <w:link w:val="ab"/>
    <w:uiPriority w:val="99"/>
    <w:semiHidden/>
    <w:rsid w:val="00AB3CE1"/>
    <w:rPr>
      <w:rFonts w:ascii="Calibri" w:hAnsi="Calibri" w:cs="Times New Roman"/>
      <w:sz w:val="20"/>
      <w:szCs w:val="20"/>
    </w:rPr>
  </w:style>
  <w:style w:type="character" w:styleId="ad">
    <w:name w:val="endnote reference"/>
    <w:basedOn w:val="a0"/>
    <w:uiPriority w:val="99"/>
    <w:semiHidden/>
    <w:unhideWhenUsed/>
    <w:rsid w:val="00AB3CE1"/>
    <w:rPr>
      <w:vertAlign w:val="superscript"/>
    </w:rPr>
  </w:style>
  <w:style w:type="paragraph" w:styleId="ae">
    <w:name w:val="Balloon Text"/>
    <w:basedOn w:val="a"/>
    <w:link w:val="af"/>
    <w:uiPriority w:val="99"/>
    <w:semiHidden/>
    <w:unhideWhenUsed/>
    <w:rsid w:val="00D74EC3"/>
    <w:rPr>
      <w:rFonts w:ascii="Tahoma" w:hAnsi="Tahoma" w:cs="Tahoma"/>
      <w:sz w:val="16"/>
      <w:szCs w:val="16"/>
    </w:rPr>
  </w:style>
  <w:style w:type="character" w:customStyle="1" w:styleId="af">
    <w:name w:val="טקסט בלונים תו"/>
    <w:basedOn w:val="a0"/>
    <w:link w:val="ae"/>
    <w:uiPriority w:val="99"/>
    <w:semiHidden/>
    <w:rsid w:val="00D74EC3"/>
    <w:rPr>
      <w:rFonts w:ascii="Tahoma" w:hAnsi="Tahoma" w:cs="Tahoma"/>
      <w:sz w:val="16"/>
      <w:szCs w:val="16"/>
    </w:rPr>
  </w:style>
  <w:style w:type="paragraph" w:styleId="NormalWeb">
    <w:name w:val="Normal (Web)"/>
    <w:basedOn w:val="a"/>
    <w:uiPriority w:val="99"/>
    <w:unhideWhenUsed/>
    <w:rsid w:val="00E214CD"/>
    <w:pPr>
      <w:bidi w:val="0"/>
      <w:spacing w:before="100" w:beforeAutospacing="1" w:after="100" w:afterAutospacing="1"/>
    </w:pPr>
    <w:rPr>
      <w:rFonts w:ascii="Times New Roman" w:hAnsi="Times New Roman"/>
      <w:sz w:val="24"/>
      <w:szCs w:val="24"/>
    </w:rPr>
  </w:style>
  <w:style w:type="character" w:styleId="af0">
    <w:name w:val="annotation reference"/>
    <w:basedOn w:val="a0"/>
    <w:uiPriority w:val="99"/>
    <w:semiHidden/>
    <w:unhideWhenUsed/>
    <w:rsid w:val="00F078F5"/>
    <w:rPr>
      <w:sz w:val="16"/>
      <w:szCs w:val="16"/>
    </w:rPr>
  </w:style>
  <w:style w:type="paragraph" w:styleId="af1">
    <w:name w:val="annotation text"/>
    <w:basedOn w:val="a"/>
    <w:link w:val="af2"/>
    <w:uiPriority w:val="99"/>
    <w:semiHidden/>
    <w:unhideWhenUsed/>
    <w:rsid w:val="00F078F5"/>
    <w:rPr>
      <w:rFonts w:cs="Calibri"/>
      <w:sz w:val="20"/>
      <w:szCs w:val="20"/>
    </w:rPr>
  </w:style>
  <w:style w:type="character" w:customStyle="1" w:styleId="af2">
    <w:name w:val="טקסט הערה תו"/>
    <w:basedOn w:val="a0"/>
    <w:link w:val="af1"/>
    <w:uiPriority w:val="99"/>
    <w:semiHidden/>
    <w:rsid w:val="00F078F5"/>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B1"/>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2B1"/>
    <w:pPr>
      <w:spacing w:after="200" w:line="276" w:lineRule="auto"/>
      <w:ind w:left="720"/>
      <w:contextualSpacing/>
    </w:pPr>
  </w:style>
  <w:style w:type="paragraph" w:styleId="a4">
    <w:name w:val="footnote text"/>
    <w:basedOn w:val="a"/>
    <w:link w:val="a5"/>
    <w:uiPriority w:val="99"/>
    <w:semiHidden/>
    <w:unhideWhenUsed/>
    <w:rsid w:val="00A50702"/>
    <w:rPr>
      <w:sz w:val="20"/>
      <w:szCs w:val="20"/>
    </w:rPr>
  </w:style>
  <w:style w:type="character" w:customStyle="1" w:styleId="a5">
    <w:name w:val="טקסט הערת שוליים תו"/>
    <w:basedOn w:val="a0"/>
    <w:link w:val="a4"/>
    <w:uiPriority w:val="99"/>
    <w:semiHidden/>
    <w:rsid w:val="00A50702"/>
    <w:rPr>
      <w:rFonts w:ascii="Calibri" w:hAnsi="Calibri" w:cs="Times New Roman"/>
      <w:sz w:val="20"/>
      <w:szCs w:val="20"/>
    </w:rPr>
  </w:style>
  <w:style w:type="character" w:styleId="a6">
    <w:name w:val="footnote reference"/>
    <w:basedOn w:val="a0"/>
    <w:uiPriority w:val="99"/>
    <w:semiHidden/>
    <w:unhideWhenUsed/>
    <w:rsid w:val="00A50702"/>
    <w:rPr>
      <w:vertAlign w:val="superscript"/>
    </w:rPr>
  </w:style>
  <w:style w:type="paragraph" w:styleId="a7">
    <w:name w:val="header"/>
    <w:basedOn w:val="a"/>
    <w:link w:val="a8"/>
    <w:uiPriority w:val="99"/>
    <w:unhideWhenUsed/>
    <w:rsid w:val="006B226B"/>
    <w:pPr>
      <w:tabs>
        <w:tab w:val="center" w:pos="4153"/>
        <w:tab w:val="right" w:pos="8306"/>
      </w:tabs>
    </w:pPr>
  </w:style>
  <w:style w:type="character" w:customStyle="1" w:styleId="a8">
    <w:name w:val="כותרת עליונה תו"/>
    <w:basedOn w:val="a0"/>
    <w:link w:val="a7"/>
    <w:uiPriority w:val="99"/>
    <w:rsid w:val="006B226B"/>
    <w:rPr>
      <w:rFonts w:ascii="Calibri" w:hAnsi="Calibri" w:cs="Times New Roman"/>
    </w:rPr>
  </w:style>
  <w:style w:type="paragraph" w:styleId="a9">
    <w:name w:val="footer"/>
    <w:basedOn w:val="a"/>
    <w:link w:val="aa"/>
    <w:uiPriority w:val="99"/>
    <w:unhideWhenUsed/>
    <w:rsid w:val="006B226B"/>
    <w:pPr>
      <w:tabs>
        <w:tab w:val="center" w:pos="4153"/>
        <w:tab w:val="right" w:pos="8306"/>
      </w:tabs>
    </w:pPr>
  </w:style>
  <w:style w:type="character" w:customStyle="1" w:styleId="aa">
    <w:name w:val="כותרת תחתונה תו"/>
    <w:basedOn w:val="a0"/>
    <w:link w:val="a9"/>
    <w:uiPriority w:val="99"/>
    <w:rsid w:val="006B226B"/>
    <w:rPr>
      <w:rFonts w:ascii="Calibri" w:hAnsi="Calibri" w:cs="Times New Roman"/>
    </w:rPr>
  </w:style>
  <w:style w:type="paragraph" w:customStyle="1" w:styleId="Default">
    <w:name w:val="Default"/>
    <w:rsid w:val="006F0C84"/>
    <w:pPr>
      <w:autoSpaceDE w:val="0"/>
      <w:autoSpaceDN w:val="0"/>
      <w:adjustRightInd w:val="0"/>
      <w:spacing w:after="0" w:line="240" w:lineRule="auto"/>
    </w:pPr>
    <w:rPr>
      <w:rFonts w:ascii="Palatino Linotype" w:hAnsi="Palatino Linotype" w:cs="Palatino Linotype"/>
      <w:color w:val="000000"/>
      <w:sz w:val="24"/>
      <w:szCs w:val="24"/>
    </w:rPr>
  </w:style>
  <w:style w:type="paragraph" w:styleId="ab">
    <w:name w:val="endnote text"/>
    <w:basedOn w:val="a"/>
    <w:link w:val="ac"/>
    <w:uiPriority w:val="99"/>
    <w:semiHidden/>
    <w:unhideWhenUsed/>
    <w:rsid w:val="00AB3CE1"/>
    <w:rPr>
      <w:sz w:val="20"/>
      <w:szCs w:val="20"/>
    </w:rPr>
  </w:style>
  <w:style w:type="character" w:customStyle="1" w:styleId="ac">
    <w:name w:val="טקסט הערת סיום תו"/>
    <w:basedOn w:val="a0"/>
    <w:link w:val="ab"/>
    <w:uiPriority w:val="99"/>
    <w:semiHidden/>
    <w:rsid w:val="00AB3CE1"/>
    <w:rPr>
      <w:rFonts w:ascii="Calibri" w:hAnsi="Calibri" w:cs="Times New Roman"/>
      <w:sz w:val="20"/>
      <w:szCs w:val="20"/>
    </w:rPr>
  </w:style>
  <w:style w:type="character" w:styleId="ad">
    <w:name w:val="endnote reference"/>
    <w:basedOn w:val="a0"/>
    <w:uiPriority w:val="99"/>
    <w:semiHidden/>
    <w:unhideWhenUsed/>
    <w:rsid w:val="00AB3CE1"/>
    <w:rPr>
      <w:vertAlign w:val="superscript"/>
    </w:rPr>
  </w:style>
  <w:style w:type="paragraph" w:styleId="ae">
    <w:name w:val="Balloon Text"/>
    <w:basedOn w:val="a"/>
    <w:link w:val="af"/>
    <w:uiPriority w:val="99"/>
    <w:semiHidden/>
    <w:unhideWhenUsed/>
    <w:rsid w:val="00D74EC3"/>
    <w:rPr>
      <w:rFonts w:ascii="Tahoma" w:hAnsi="Tahoma" w:cs="Tahoma"/>
      <w:sz w:val="16"/>
      <w:szCs w:val="16"/>
    </w:rPr>
  </w:style>
  <w:style w:type="character" w:customStyle="1" w:styleId="af">
    <w:name w:val="טקסט בלונים תו"/>
    <w:basedOn w:val="a0"/>
    <w:link w:val="ae"/>
    <w:uiPriority w:val="99"/>
    <w:semiHidden/>
    <w:rsid w:val="00D74EC3"/>
    <w:rPr>
      <w:rFonts w:ascii="Tahoma" w:hAnsi="Tahoma" w:cs="Tahoma"/>
      <w:sz w:val="16"/>
      <w:szCs w:val="16"/>
    </w:rPr>
  </w:style>
  <w:style w:type="paragraph" w:styleId="NormalWeb">
    <w:name w:val="Normal (Web)"/>
    <w:basedOn w:val="a"/>
    <w:uiPriority w:val="99"/>
    <w:unhideWhenUsed/>
    <w:rsid w:val="00E214CD"/>
    <w:pPr>
      <w:bidi w:val="0"/>
      <w:spacing w:before="100" w:beforeAutospacing="1" w:after="100" w:afterAutospacing="1"/>
    </w:pPr>
    <w:rPr>
      <w:rFonts w:ascii="Times New Roman" w:hAnsi="Times New Roman"/>
      <w:sz w:val="24"/>
      <w:szCs w:val="24"/>
    </w:rPr>
  </w:style>
  <w:style w:type="character" w:styleId="af0">
    <w:name w:val="annotation reference"/>
    <w:basedOn w:val="a0"/>
    <w:uiPriority w:val="99"/>
    <w:semiHidden/>
    <w:unhideWhenUsed/>
    <w:rsid w:val="00F078F5"/>
    <w:rPr>
      <w:sz w:val="16"/>
      <w:szCs w:val="16"/>
    </w:rPr>
  </w:style>
  <w:style w:type="paragraph" w:styleId="af1">
    <w:name w:val="annotation text"/>
    <w:basedOn w:val="a"/>
    <w:link w:val="af2"/>
    <w:uiPriority w:val="99"/>
    <w:semiHidden/>
    <w:unhideWhenUsed/>
    <w:rsid w:val="00F078F5"/>
    <w:rPr>
      <w:rFonts w:cs="Calibri"/>
      <w:sz w:val="20"/>
      <w:szCs w:val="20"/>
    </w:rPr>
  </w:style>
  <w:style w:type="character" w:customStyle="1" w:styleId="af2">
    <w:name w:val="טקסט הערה תו"/>
    <w:basedOn w:val="a0"/>
    <w:link w:val="af1"/>
    <w:uiPriority w:val="99"/>
    <w:semiHidden/>
    <w:rsid w:val="00F078F5"/>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5937">
      <w:bodyDiv w:val="1"/>
      <w:marLeft w:val="0"/>
      <w:marRight w:val="0"/>
      <w:marTop w:val="0"/>
      <w:marBottom w:val="0"/>
      <w:divBdr>
        <w:top w:val="none" w:sz="0" w:space="0" w:color="auto"/>
        <w:left w:val="none" w:sz="0" w:space="0" w:color="auto"/>
        <w:bottom w:val="none" w:sz="0" w:space="0" w:color="auto"/>
        <w:right w:val="none" w:sz="0" w:space="0" w:color="auto"/>
      </w:divBdr>
    </w:div>
    <w:div w:id="695544200">
      <w:bodyDiv w:val="1"/>
      <w:marLeft w:val="0"/>
      <w:marRight w:val="0"/>
      <w:marTop w:val="0"/>
      <w:marBottom w:val="0"/>
      <w:divBdr>
        <w:top w:val="none" w:sz="0" w:space="0" w:color="auto"/>
        <w:left w:val="none" w:sz="0" w:space="0" w:color="auto"/>
        <w:bottom w:val="none" w:sz="0" w:space="0" w:color="auto"/>
        <w:right w:val="none" w:sz="0" w:space="0" w:color="auto"/>
      </w:divBdr>
    </w:div>
    <w:div w:id="919603403">
      <w:bodyDiv w:val="1"/>
      <w:marLeft w:val="0"/>
      <w:marRight w:val="0"/>
      <w:marTop w:val="0"/>
      <w:marBottom w:val="0"/>
      <w:divBdr>
        <w:top w:val="none" w:sz="0" w:space="0" w:color="auto"/>
        <w:left w:val="none" w:sz="0" w:space="0" w:color="auto"/>
        <w:bottom w:val="none" w:sz="0" w:space="0" w:color="auto"/>
        <w:right w:val="none" w:sz="0" w:space="0" w:color="auto"/>
      </w:divBdr>
    </w:div>
    <w:div w:id="1233735438">
      <w:bodyDiv w:val="1"/>
      <w:marLeft w:val="0"/>
      <w:marRight w:val="0"/>
      <w:marTop w:val="0"/>
      <w:marBottom w:val="0"/>
      <w:divBdr>
        <w:top w:val="none" w:sz="0" w:space="0" w:color="auto"/>
        <w:left w:val="none" w:sz="0" w:space="0" w:color="auto"/>
        <w:bottom w:val="none" w:sz="0" w:space="0" w:color="auto"/>
        <w:right w:val="none" w:sz="0" w:space="0" w:color="auto"/>
      </w:divBdr>
    </w:div>
    <w:div w:id="1261446678">
      <w:bodyDiv w:val="1"/>
      <w:marLeft w:val="0"/>
      <w:marRight w:val="0"/>
      <w:marTop w:val="0"/>
      <w:marBottom w:val="0"/>
      <w:divBdr>
        <w:top w:val="none" w:sz="0" w:space="0" w:color="auto"/>
        <w:left w:val="none" w:sz="0" w:space="0" w:color="auto"/>
        <w:bottom w:val="none" w:sz="0" w:space="0" w:color="auto"/>
        <w:right w:val="none" w:sz="0" w:space="0" w:color="auto"/>
      </w:divBdr>
    </w:div>
    <w:div w:id="1898279680">
      <w:bodyDiv w:val="1"/>
      <w:marLeft w:val="0"/>
      <w:marRight w:val="0"/>
      <w:marTop w:val="0"/>
      <w:marBottom w:val="0"/>
      <w:divBdr>
        <w:top w:val="none" w:sz="0" w:space="0" w:color="auto"/>
        <w:left w:val="none" w:sz="0" w:space="0" w:color="auto"/>
        <w:bottom w:val="none" w:sz="0" w:space="0" w:color="auto"/>
        <w:right w:val="none" w:sz="0" w:space="0" w:color="auto"/>
      </w:divBdr>
    </w:div>
    <w:div w:id="20275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0A75-F2BE-4A77-82E1-8A1FD202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9</Pages>
  <Words>3433</Words>
  <Characters>17169</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Haramaty</dc:creator>
  <cp:keywords/>
  <dc:description/>
  <cp:lastModifiedBy>Tomer Haramaty</cp:lastModifiedBy>
  <cp:revision>58</cp:revision>
  <cp:lastPrinted>2017-12-28T12:37:00Z</cp:lastPrinted>
  <dcterms:created xsi:type="dcterms:W3CDTF">2017-11-13T10:03:00Z</dcterms:created>
  <dcterms:modified xsi:type="dcterms:W3CDTF">2017-12-28T13:37:00Z</dcterms:modified>
</cp:coreProperties>
</file>