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71" w:rsidRDefault="00161371" w:rsidP="00E0059B">
      <w:pPr>
        <w:tabs>
          <w:tab w:val="left" w:pos="226"/>
        </w:tabs>
        <w:bidi/>
        <w:spacing w:line="360" w:lineRule="auto"/>
        <w:jc w:val="both"/>
        <w:rPr>
          <w:rtl/>
        </w:rPr>
      </w:pPr>
    </w:p>
    <w:p w:rsidR="004E0B39" w:rsidRPr="00706059" w:rsidRDefault="004E0B39" w:rsidP="00E0059B">
      <w:pPr>
        <w:pStyle w:val="aa"/>
        <w:bidi/>
        <w:spacing w:line="360" w:lineRule="auto"/>
        <w:jc w:val="center"/>
        <w:rPr>
          <w:b/>
          <w:bCs/>
          <w:szCs w:val="36"/>
        </w:rPr>
      </w:pPr>
      <w:r w:rsidRPr="00706059">
        <w:rPr>
          <w:b/>
          <w:bCs/>
          <w:szCs w:val="36"/>
          <w:rtl/>
        </w:rPr>
        <w:t>מדינת ישראל</w:t>
      </w:r>
    </w:p>
    <w:p w:rsidR="004E0B39" w:rsidRPr="00706059" w:rsidRDefault="004E0B39" w:rsidP="00E0059B">
      <w:pPr>
        <w:pStyle w:val="aa"/>
        <w:bidi/>
        <w:spacing w:line="360" w:lineRule="auto"/>
        <w:jc w:val="center"/>
        <w:rPr>
          <w:b/>
          <w:bCs/>
          <w:szCs w:val="32"/>
          <w:rtl/>
        </w:rPr>
      </w:pPr>
      <w:r w:rsidRPr="00706059">
        <w:rPr>
          <w:b/>
          <w:bCs/>
          <w:szCs w:val="32"/>
          <w:rtl/>
        </w:rPr>
        <w:t>משרד המשפטים</w:t>
      </w:r>
    </w:p>
    <w:p w:rsidR="0072179B" w:rsidRPr="00706059" w:rsidRDefault="0072179B" w:rsidP="00E0059B">
      <w:pPr>
        <w:pStyle w:val="aa"/>
        <w:pBdr>
          <w:top w:val="double" w:sz="6" w:space="1" w:color="auto"/>
        </w:pBdr>
        <w:bidi/>
        <w:spacing w:line="360" w:lineRule="auto"/>
        <w:ind w:left="720"/>
        <w:jc w:val="center"/>
        <w:rPr>
          <w:rtl/>
        </w:rPr>
      </w:pPr>
      <w:r w:rsidRPr="00706059">
        <w:rPr>
          <w:rFonts w:hint="cs"/>
          <w:rtl/>
        </w:rPr>
        <w:t>‏</w:t>
      </w:r>
    </w:p>
    <w:p w:rsidR="00656453" w:rsidRPr="00706059" w:rsidRDefault="00656453" w:rsidP="00656453">
      <w:pPr>
        <w:pStyle w:val="aa"/>
        <w:pBdr>
          <w:top w:val="double" w:sz="6" w:space="1" w:color="auto"/>
        </w:pBdr>
        <w:bidi/>
        <w:spacing w:line="360" w:lineRule="auto"/>
        <w:ind w:left="720"/>
        <w:jc w:val="center"/>
        <w:rPr>
          <w:rtl/>
        </w:rPr>
      </w:pPr>
      <w:r w:rsidRPr="00706059">
        <w:rPr>
          <w:rFonts w:hint="cs"/>
          <w:rtl/>
        </w:rPr>
        <w:tab/>
      </w:r>
      <w:r w:rsidRPr="00706059">
        <w:rPr>
          <w:rFonts w:hint="cs"/>
          <w:rtl/>
        </w:rPr>
        <w:tab/>
        <w:t>‏י</w:t>
      </w:r>
      <w:r w:rsidRPr="00706059">
        <w:rPr>
          <w:rtl/>
        </w:rPr>
        <w:t>"</w:t>
      </w:r>
      <w:r w:rsidRPr="00706059">
        <w:rPr>
          <w:rFonts w:hint="cs"/>
          <w:rtl/>
        </w:rPr>
        <w:t>ח</w:t>
      </w:r>
      <w:r w:rsidRPr="00706059">
        <w:rPr>
          <w:rtl/>
        </w:rPr>
        <w:t xml:space="preserve"> </w:t>
      </w:r>
      <w:r w:rsidRPr="00706059">
        <w:rPr>
          <w:rFonts w:hint="cs"/>
          <w:rtl/>
        </w:rPr>
        <w:t>שבט</w:t>
      </w:r>
      <w:r w:rsidRPr="00706059">
        <w:rPr>
          <w:rtl/>
        </w:rPr>
        <w:t xml:space="preserve"> </w:t>
      </w:r>
      <w:r w:rsidRPr="00706059">
        <w:rPr>
          <w:rFonts w:hint="cs"/>
          <w:rtl/>
        </w:rPr>
        <w:t>תשע</w:t>
      </w:r>
      <w:r w:rsidRPr="00706059">
        <w:rPr>
          <w:rtl/>
        </w:rPr>
        <w:t>"</w:t>
      </w:r>
      <w:r w:rsidRPr="00706059">
        <w:rPr>
          <w:rFonts w:hint="cs"/>
          <w:rtl/>
        </w:rPr>
        <w:t>ז</w:t>
      </w:r>
    </w:p>
    <w:p w:rsidR="0072179B" w:rsidRPr="00706059" w:rsidRDefault="0072179B" w:rsidP="00656453">
      <w:pPr>
        <w:pStyle w:val="aa"/>
        <w:pBdr>
          <w:top w:val="double" w:sz="6" w:space="1" w:color="auto"/>
        </w:pBdr>
        <w:bidi/>
        <w:spacing w:line="360" w:lineRule="auto"/>
        <w:ind w:left="720"/>
        <w:jc w:val="center"/>
        <w:rPr>
          <w:rtl/>
        </w:rPr>
      </w:pPr>
      <w:r w:rsidRPr="00706059">
        <w:rPr>
          <w:rFonts w:hint="cs"/>
          <w:rtl/>
        </w:rPr>
        <w:tab/>
      </w:r>
      <w:r w:rsidRPr="00706059">
        <w:rPr>
          <w:rFonts w:hint="cs"/>
          <w:rtl/>
        </w:rPr>
        <w:tab/>
      </w:r>
      <w:r w:rsidR="00656453" w:rsidRPr="00706059">
        <w:rPr>
          <w:rFonts w:hint="cs"/>
          <w:rtl/>
        </w:rPr>
        <w:t>14.2.17</w:t>
      </w:r>
    </w:p>
    <w:p w:rsidR="00973C72" w:rsidRPr="00706059" w:rsidRDefault="00973C72" w:rsidP="00E0059B">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rPr>
          <w:rFonts w:cs="David"/>
          <w:sz w:val="24"/>
          <w:rtl/>
        </w:rPr>
      </w:pPr>
      <w:r w:rsidRPr="00706059">
        <w:rPr>
          <w:rFonts w:cs="David" w:hint="cs"/>
          <w:sz w:val="24"/>
          <w:rtl/>
        </w:rPr>
        <w:t xml:space="preserve">אל: היועץ המשפטי לממשלה </w:t>
      </w:r>
    </w:p>
    <w:p w:rsidR="00973C72" w:rsidRPr="00706059" w:rsidRDefault="0092648D" w:rsidP="00E0059B">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rPr>
          <w:rFonts w:cs="David"/>
          <w:sz w:val="24"/>
          <w:rtl/>
        </w:rPr>
      </w:pPr>
      <w:r w:rsidRPr="00706059">
        <w:rPr>
          <w:rFonts w:cs="David"/>
          <w:sz w:val="24"/>
          <w:rtl/>
        </w:rPr>
        <w:fldChar w:fldCharType="begin"/>
      </w:r>
      <w:r w:rsidR="00973C72" w:rsidRPr="00706059">
        <w:rPr>
          <w:rFonts w:cs="David"/>
          <w:sz w:val="24"/>
          <w:rtl/>
        </w:rPr>
        <w:instrText xml:space="preserve"> </w:instrText>
      </w:r>
      <w:r w:rsidR="00973C72" w:rsidRPr="00706059">
        <w:rPr>
          <w:rFonts w:cs="David"/>
          <w:sz w:val="24"/>
        </w:rPr>
        <w:instrText>DOCPROPERTY  DocLegTo  \* MERGEFORMAT</w:instrText>
      </w:r>
      <w:r w:rsidR="00973C72" w:rsidRPr="00706059">
        <w:rPr>
          <w:rFonts w:cs="David"/>
          <w:sz w:val="24"/>
          <w:rtl/>
        </w:rPr>
        <w:instrText xml:space="preserve"> </w:instrText>
      </w:r>
      <w:r w:rsidRPr="00706059">
        <w:rPr>
          <w:rFonts w:cs="David"/>
          <w:sz w:val="24"/>
          <w:rtl/>
        </w:rPr>
        <w:fldChar w:fldCharType="end"/>
      </w:r>
    </w:p>
    <w:p w:rsidR="00973C72" w:rsidRPr="00706059" w:rsidRDefault="00973C72" w:rsidP="00E0059B">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rPr>
          <w:rFonts w:cs="David"/>
          <w:sz w:val="24"/>
          <w:rtl/>
        </w:rPr>
      </w:pPr>
      <w:r w:rsidRPr="00706059">
        <w:rPr>
          <w:rFonts w:cs="David"/>
          <w:sz w:val="24"/>
          <w:rtl/>
        </w:rPr>
        <w:t>שלום רב,</w:t>
      </w:r>
    </w:p>
    <w:p w:rsidR="00973C72" w:rsidRPr="00706059" w:rsidRDefault="00973C72" w:rsidP="00E0059B">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rPr>
          <w:rFonts w:cs="David"/>
          <w:sz w:val="24"/>
          <w:rtl/>
        </w:rPr>
      </w:pPr>
    </w:p>
    <w:p w:rsidR="00973C72" w:rsidRPr="00706059" w:rsidRDefault="00973C72" w:rsidP="00E0059B">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jc w:val="center"/>
        <w:rPr>
          <w:rFonts w:cs="David"/>
          <w:b/>
          <w:bCs/>
          <w:u w:val="single"/>
          <w:rtl/>
        </w:rPr>
      </w:pPr>
      <w:r w:rsidRPr="00706059">
        <w:rPr>
          <w:rFonts w:cs="David"/>
          <w:rtl/>
        </w:rPr>
        <w:t>הנדון</w:t>
      </w:r>
      <w:r w:rsidRPr="00706059">
        <w:rPr>
          <w:rFonts w:cs="David"/>
          <w:b/>
          <w:bCs/>
          <w:rtl/>
        </w:rPr>
        <w:t xml:space="preserve">: </w:t>
      </w:r>
      <w:r w:rsidRPr="00706059">
        <w:rPr>
          <w:rFonts w:cs="David" w:hint="cs"/>
          <w:b/>
          <w:bCs/>
          <w:u w:val="single"/>
          <w:rtl/>
        </w:rPr>
        <w:t>אישור</w:t>
      </w:r>
      <w:r w:rsidR="007F274B" w:rsidRPr="00706059">
        <w:rPr>
          <w:rFonts w:cs="David" w:hint="cs"/>
          <w:b/>
          <w:bCs/>
          <w:u w:val="single"/>
          <w:rtl/>
        </w:rPr>
        <w:t xml:space="preserve"> נוסח</w:t>
      </w:r>
      <w:r w:rsidRPr="00706059">
        <w:rPr>
          <w:rFonts w:cs="David" w:hint="cs"/>
          <w:b/>
          <w:bCs/>
          <w:u w:val="single"/>
          <w:rtl/>
        </w:rPr>
        <w:t xml:space="preserve"> </w:t>
      </w:r>
      <w:r w:rsidR="00C71605" w:rsidRPr="00706059">
        <w:rPr>
          <w:rFonts w:cs="David" w:hint="cs"/>
          <w:b/>
          <w:bCs/>
          <w:u w:val="single"/>
          <w:rtl/>
        </w:rPr>
        <w:t xml:space="preserve">אחיד של </w:t>
      </w:r>
      <w:proofErr w:type="spellStart"/>
      <w:r w:rsidRPr="00706059">
        <w:rPr>
          <w:rFonts w:cs="David" w:hint="cs"/>
          <w:b/>
          <w:bCs/>
          <w:u w:val="single"/>
          <w:rtl/>
        </w:rPr>
        <w:t>תנ</w:t>
      </w:r>
      <w:r w:rsidR="00D01AFF" w:rsidRPr="00706059">
        <w:rPr>
          <w:rFonts w:cs="David" w:hint="cs"/>
          <w:b/>
          <w:bCs/>
          <w:u w:val="single"/>
          <w:rtl/>
        </w:rPr>
        <w:t>י</w:t>
      </w:r>
      <w:r w:rsidR="00956C72" w:rsidRPr="00706059">
        <w:rPr>
          <w:rFonts w:cs="David" w:hint="cs"/>
          <w:b/>
          <w:bCs/>
          <w:u w:val="single"/>
          <w:rtl/>
        </w:rPr>
        <w:t>ו</w:t>
      </w:r>
      <w:r w:rsidRPr="00706059">
        <w:rPr>
          <w:rFonts w:cs="David" w:hint="cs"/>
          <w:b/>
          <w:bCs/>
          <w:u w:val="single"/>
          <w:rtl/>
        </w:rPr>
        <w:t>ת</w:t>
      </w:r>
      <w:proofErr w:type="spellEnd"/>
      <w:r w:rsidRPr="00706059">
        <w:rPr>
          <w:rFonts w:cs="David" w:hint="cs"/>
          <w:b/>
          <w:bCs/>
          <w:u w:val="single"/>
          <w:rtl/>
        </w:rPr>
        <w:t xml:space="preserve"> בוררות </w:t>
      </w:r>
      <w:r w:rsidR="00DC38AD" w:rsidRPr="00706059">
        <w:rPr>
          <w:rFonts w:cs="David" w:hint="cs"/>
          <w:b/>
          <w:bCs/>
          <w:u w:val="single"/>
          <w:rtl/>
        </w:rPr>
        <w:t>ב</w:t>
      </w:r>
      <w:r w:rsidR="00D01AFF" w:rsidRPr="00706059">
        <w:rPr>
          <w:rFonts w:cs="David" w:hint="cs"/>
          <w:b/>
          <w:bCs/>
          <w:u w:val="single"/>
          <w:rtl/>
        </w:rPr>
        <w:t>הסכ</w:t>
      </w:r>
      <w:r w:rsidR="00CD6564" w:rsidRPr="00706059">
        <w:rPr>
          <w:rFonts w:cs="David" w:hint="cs"/>
          <w:b/>
          <w:bCs/>
          <w:u w:val="single"/>
          <w:rtl/>
        </w:rPr>
        <w:t>מי</w:t>
      </w:r>
      <w:r w:rsidR="00D01AFF" w:rsidRPr="00706059">
        <w:rPr>
          <w:rFonts w:cs="David"/>
          <w:b/>
          <w:bCs/>
          <w:u w:val="single"/>
        </w:rPr>
        <w:t xml:space="preserve">BOT </w:t>
      </w:r>
      <w:r w:rsidR="00D01AFF" w:rsidRPr="00706059">
        <w:rPr>
          <w:rFonts w:cs="David" w:hint="cs"/>
          <w:b/>
          <w:bCs/>
          <w:u w:val="single"/>
          <w:rtl/>
        </w:rPr>
        <w:t xml:space="preserve"> </w:t>
      </w:r>
      <w:r w:rsidR="00816B33" w:rsidRPr="00706059">
        <w:rPr>
          <w:rFonts w:cs="David" w:hint="cs"/>
          <w:b/>
          <w:bCs/>
          <w:u w:val="single"/>
          <w:rtl/>
        </w:rPr>
        <w:t>עתידיים</w:t>
      </w:r>
    </w:p>
    <w:p w:rsidR="002D7C9C" w:rsidRPr="00706059" w:rsidRDefault="002D7C9C" w:rsidP="00E0059B">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rPr>
          <w:rFonts w:cs="David"/>
          <w:b/>
          <w:bCs/>
          <w:u w:val="single"/>
          <w:rtl/>
        </w:rPr>
      </w:pPr>
    </w:p>
    <w:p w:rsidR="00161371" w:rsidRPr="00706059" w:rsidRDefault="00342206" w:rsidP="00940E58">
      <w:pPr>
        <w:bidi/>
        <w:spacing w:line="360" w:lineRule="auto"/>
        <w:jc w:val="both"/>
        <w:rPr>
          <w:rFonts w:ascii="Times New Roman" w:hAnsi="Times New Roman"/>
          <w:rtl/>
        </w:rPr>
      </w:pPr>
      <w:r w:rsidRPr="00706059">
        <w:rPr>
          <w:rFonts w:hint="cs"/>
          <w:rtl/>
        </w:rPr>
        <w:t>על</w:t>
      </w:r>
      <w:r w:rsidRPr="00706059">
        <w:rPr>
          <w:rtl/>
        </w:rPr>
        <w:t xml:space="preserve"> </w:t>
      </w:r>
      <w:r w:rsidRPr="00706059">
        <w:rPr>
          <w:rFonts w:hint="cs"/>
          <w:rtl/>
        </w:rPr>
        <w:t>דעת</w:t>
      </w:r>
      <w:r w:rsidRPr="00706059">
        <w:rPr>
          <w:rtl/>
        </w:rPr>
        <w:t xml:space="preserve"> </w:t>
      </w:r>
      <w:r w:rsidRPr="00706059">
        <w:rPr>
          <w:rFonts w:hint="cs"/>
          <w:rtl/>
        </w:rPr>
        <w:t>הגורמים</w:t>
      </w:r>
      <w:r w:rsidRPr="00706059">
        <w:rPr>
          <w:rtl/>
        </w:rPr>
        <w:t xml:space="preserve"> </w:t>
      </w:r>
      <w:r w:rsidRPr="00706059">
        <w:rPr>
          <w:rFonts w:hint="cs"/>
          <w:rtl/>
        </w:rPr>
        <w:t>האמונים</w:t>
      </w:r>
      <w:r w:rsidRPr="00706059">
        <w:rPr>
          <w:rtl/>
        </w:rPr>
        <w:t xml:space="preserve"> </w:t>
      </w:r>
      <w:r w:rsidRPr="00706059">
        <w:rPr>
          <w:rFonts w:hint="cs"/>
          <w:rtl/>
        </w:rPr>
        <w:t>על</w:t>
      </w:r>
      <w:r w:rsidRPr="00706059">
        <w:rPr>
          <w:rtl/>
        </w:rPr>
        <w:t xml:space="preserve"> </w:t>
      </w:r>
      <w:r w:rsidRPr="00706059">
        <w:rPr>
          <w:rFonts w:hint="cs"/>
          <w:rtl/>
        </w:rPr>
        <w:t>הטיפול</w:t>
      </w:r>
      <w:r w:rsidRPr="00706059">
        <w:rPr>
          <w:rtl/>
        </w:rPr>
        <w:t xml:space="preserve"> </w:t>
      </w:r>
      <w:r w:rsidRPr="00706059">
        <w:rPr>
          <w:rFonts w:hint="cs"/>
          <w:rtl/>
        </w:rPr>
        <w:t>בתחום</w:t>
      </w:r>
      <w:r w:rsidRPr="00706059">
        <w:rPr>
          <w:rtl/>
        </w:rPr>
        <w:t xml:space="preserve"> </w:t>
      </w:r>
      <w:r w:rsidRPr="00706059">
        <w:rPr>
          <w:rFonts w:hint="cs"/>
          <w:rtl/>
        </w:rPr>
        <w:t>ביעוץ</w:t>
      </w:r>
      <w:r w:rsidRPr="00706059">
        <w:rPr>
          <w:rtl/>
        </w:rPr>
        <w:t xml:space="preserve"> </w:t>
      </w:r>
      <w:r w:rsidRPr="00706059">
        <w:rPr>
          <w:rFonts w:hint="cs"/>
          <w:rtl/>
        </w:rPr>
        <w:t>וחקיקה</w:t>
      </w:r>
      <w:r w:rsidRPr="00706059">
        <w:rPr>
          <w:rtl/>
        </w:rPr>
        <w:t xml:space="preserve"> </w:t>
      </w:r>
      <w:r w:rsidRPr="00706059">
        <w:rPr>
          <w:rFonts w:hint="cs"/>
          <w:rtl/>
        </w:rPr>
        <w:t>ובפרקליטות</w:t>
      </w:r>
      <w:r w:rsidR="00A342CC" w:rsidRPr="00706059">
        <w:rPr>
          <w:rFonts w:ascii="Times New Roman" w:hAnsi="Times New Roman" w:hint="cs"/>
          <w:rtl/>
        </w:rPr>
        <w:t xml:space="preserve">, </w:t>
      </w:r>
      <w:r w:rsidR="00CD6564" w:rsidRPr="00706059">
        <w:rPr>
          <w:rFonts w:ascii="Times New Roman" w:hAnsi="Times New Roman" w:hint="cs"/>
          <w:rtl/>
        </w:rPr>
        <w:t xml:space="preserve">אנו </w:t>
      </w:r>
      <w:r w:rsidR="00CD6564" w:rsidRPr="00706059">
        <w:rPr>
          <w:rFonts w:hint="cs"/>
          <w:rtl/>
        </w:rPr>
        <w:t xml:space="preserve">פונים אליך </w:t>
      </w:r>
      <w:r w:rsidR="007F274B" w:rsidRPr="00706059">
        <w:rPr>
          <w:rFonts w:hint="cs"/>
          <w:rtl/>
        </w:rPr>
        <w:t xml:space="preserve">בבקשה לאשר נוסח אחיד של </w:t>
      </w:r>
      <w:proofErr w:type="spellStart"/>
      <w:r w:rsidR="007F274B" w:rsidRPr="00706059">
        <w:rPr>
          <w:rFonts w:hint="cs"/>
          <w:rtl/>
        </w:rPr>
        <w:t>תניית</w:t>
      </w:r>
      <w:proofErr w:type="spellEnd"/>
      <w:r w:rsidR="007F274B" w:rsidRPr="00706059">
        <w:rPr>
          <w:rFonts w:hint="cs"/>
          <w:rtl/>
        </w:rPr>
        <w:t xml:space="preserve"> בוררות בהסכמי </w:t>
      </w:r>
      <w:r w:rsidR="00940E58" w:rsidRPr="00706059">
        <w:rPr>
          <w:rStyle w:val="a9"/>
        </w:rPr>
        <w:footnoteReference w:id="1"/>
      </w:r>
      <w:r w:rsidR="007F274B" w:rsidRPr="00706059">
        <w:t>BOT</w:t>
      </w:r>
      <w:r w:rsidR="00940E58" w:rsidRPr="00706059">
        <w:rPr>
          <w:rFonts w:hint="cs"/>
          <w:rtl/>
        </w:rPr>
        <w:t xml:space="preserve">/ </w:t>
      </w:r>
      <w:r w:rsidR="00940E58" w:rsidRPr="00706059">
        <w:t>PPP</w:t>
      </w:r>
      <w:r w:rsidR="00940E58" w:rsidRPr="00706059">
        <w:rPr>
          <w:rStyle w:val="a9"/>
          <w:rtl/>
        </w:rPr>
        <w:footnoteReference w:id="2"/>
      </w:r>
      <w:r w:rsidR="007F274B" w:rsidRPr="00706059">
        <w:rPr>
          <w:rFonts w:hint="cs"/>
          <w:rtl/>
        </w:rPr>
        <w:t xml:space="preserve"> </w:t>
      </w:r>
      <w:r w:rsidR="00940E58" w:rsidRPr="00706059">
        <w:rPr>
          <w:rFonts w:hint="cs"/>
          <w:rtl/>
        </w:rPr>
        <w:t>(להלן ביחד: "</w:t>
      </w:r>
      <w:r w:rsidR="00940E58" w:rsidRPr="00706059">
        <w:t>BOT</w:t>
      </w:r>
      <w:r w:rsidR="00940E58" w:rsidRPr="00706059">
        <w:rPr>
          <w:rFonts w:hint="cs"/>
          <w:rtl/>
        </w:rPr>
        <w:t xml:space="preserve">") </w:t>
      </w:r>
      <w:r w:rsidR="007F274B" w:rsidRPr="00706059">
        <w:rPr>
          <w:rFonts w:hint="cs"/>
          <w:rtl/>
        </w:rPr>
        <w:t>עתידיים, כמפורט להלן</w:t>
      </w:r>
      <w:r w:rsidR="00A342CC" w:rsidRPr="00706059">
        <w:rPr>
          <w:rFonts w:hint="cs"/>
          <w:rtl/>
        </w:rPr>
        <w:t>.</w:t>
      </w:r>
    </w:p>
    <w:p w:rsidR="00A342CC" w:rsidRPr="00706059" w:rsidRDefault="00A342CC" w:rsidP="00E0059B">
      <w:pPr>
        <w:bidi/>
        <w:spacing w:line="360" w:lineRule="auto"/>
        <w:jc w:val="both"/>
        <w:rPr>
          <w:rFonts w:ascii="Times New Roman" w:hAnsi="Times New Roman"/>
          <w:rtl/>
        </w:rPr>
      </w:pPr>
    </w:p>
    <w:p w:rsidR="007F274B" w:rsidRPr="00706059" w:rsidRDefault="007F274B" w:rsidP="00F13A36">
      <w:pPr>
        <w:pStyle w:val="a3"/>
        <w:numPr>
          <w:ilvl w:val="0"/>
          <w:numId w:val="13"/>
        </w:numPr>
        <w:spacing w:line="360" w:lineRule="auto"/>
        <w:jc w:val="both"/>
        <w:rPr>
          <w:rFonts w:ascii="Times New Roman" w:hAnsi="Times New Roman"/>
          <w:b/>
          <w:bCs/>
          <w:u w:val="single"/>
          <w:rtl/>
        </w:rPr>
      </w:pPr>
      <w:r w:rsidRPr="00706059">
        <w:rPr>
          <w:rFonts w:ascii="Times New Roman" w:hAnsi="Times New Roman" w:hint="cs"/>
          <w:b/>
          <w:bCs/>
          <w:u w:val="single"/>
          <w:rtl/>
        </w:rPr>
        <w:t>רקע:</w:t>
      </w:r>
    </w:p>
    <w:p w:rsidR="00CD2521" w:rsidRPr="00706059" w:rsidRDefault="00CD2521" w:rsidP="00E0059B">
      <w:pPr>
        <w:pStyle w:val="a3"/>
        <w:numPr>
          <w:ilvl w:val="0"/>
          <w:numId w:val="8"/>
        </w:numPr>
        <w:spacing w:line="360" w:lineRule="auto"/>
        <w:jc w:val="both"/>
        <w:rPr>
          <w:rFonts w:ascii="Times New Roman" w:hAnsi="Times New Roman"/>
          <w:rtl/>
        </w:rPr>
      </w:pPr>
      <w:r w:rsidRPr="00706059">
        <w:rPr>
          <w:rFonts w:hint="cs"/>
          <w:rtl/>
        </w:rPr>
        <w:t>כידוע, לפי ההודעה (</w:t>
      </w:r>
      <w:proofErr w:type="spellStart"/>
      <w:r w:rsidRPr="00706059">
        <w:rPr>
          <w:rFonts w:hint="cs"/>
          <w:rtl/>
        </w:rPr>
        <w:t>י"פ</w:t>
      </w:r>
      <w:proofErr w:type="spellEnd"/>
      <w:r w:rsidRPr="00706059">
        <w:rPr>
          <w:rFonts w:hint="cs"/>
          <w:rtl/>
        </w:rPr>
        <w:t xml:space="preserve"> 143, </w:t>
      </w:r>
      <w:proofErr w:type="spellStart"/>
      <w:r w:rsidRPr="00706059">
        <w:rPr>
          <w:rFonts w:hint="cs"/>
          <w:rtl/>
        </w:rPr>
        <w:t>התשי"א</w:t>
      </w:r>
      <w:proofErr w:type="spellEnd"/>
      <w:r w:rsidRPr="00706059">
        <w:rPr>
          <w:rFonts w:hint="cs"/>
          <w:rtl/>
        </w:rPr>
        <w:t xml:space="preserve">, עמ' 669) שבה הוסמך היועץ המשפטי לממשלה לחתום בשם הממשלה על שטרי </w:t>
      </w:r>
      <w:proofErr w:type="spellStart"/>
      <w:r w:rsidRPr="00706059">
        <w:rPr>
          <w:rFonts w:hint="cs"/>
          <w:rtl/>
        </w:rPr>
        <w:t>בוררין</w:t>
      </w:r>
      <w:proofErr w:type="spellEnd"/>
      <w:r w:rsidRPr="00706059">
        <w:rPr>
          <w:rFonts w:hint="cs"/>
          <w:rtl/>
        </w:rPr>
        <w:t xml:space="preserve">, תוקפה של </w:t>
      </w:r>
      <w:proofErr w:type="spellStart"/>
      <w:r w:rsidRPr="00706059">
        <w:rPr>
          <w:rFonts w:hint="cs"/>
          <w:rtl/>
        </w:rPr>
        <w:t>תניית</w:t>
      </w:r>
      <w:proofErr w:type="spellEnd"/>
      <w:r w:rsidRPr="00706059">
        <w:rPr>
          <w:rFonts w:hint="cs"/>
          <w:rtl/>
        </w:rPr>
        <w:t xml:space="preserve"> בוררות מותנה באישורו של היועץ  המשפטי לממשלה</w:t>
      </w:r>
      <w:r w:rsidRPr="00706059">
        <w:rPr>
          <w:rFonts w:ascii="Times New Roman" w:hAnsi="Times New Roman" w:hint="cs"/>
          <w:rtl/>
        </w:rPr>
        <w:t>.</w:t>
      </w:r>
    </w:p>
    <w:p w:rsidR="00CD2521" w:rsidRPr="00706059" w:rsidRDefault="00CD2521" w:rsidP="00E0059B">
      <w:pPr>
        <w:bidi/>
        <w:spacing w:line="360" w:lineRule="auto"/>
        <w:jc w:val="both"/>
        <w:rPr>
          <w:rFonts w:ascii="Times New Roman" w:hAnsi="Times New Roman"/>
          <w:rtl/>
        </w:rPr>
      </w:pPr>
    </w:p>
    <w:p w:rsidR="002632AF" w:rsidRPr="00706059" w:rsidRDefault="00CD2521" w:rsidP="00940E58">
      <w:pPr>
        <w:pStyle w:val="a3"/>
        <w:numPr>
          <w:ilvl w:val="0"/>
          <w:numId w:val="8"/>
        </w:numPr>
        <w:spacing w:line="360" w:lineRule="auto"/>
        <w:jc w:val="both"/>
        <w:rPr>
          <w:rFonts w:ascii="Times New Roman" w:hAnsi="Times New Roman"/>
          <w:rtl/>
        </w:rPr>
      </w:pPr>
      <w:r w:rsidRPr="00706059">
        <w:rPr>
          <w:rFonts w:ascii="Times New Roman" w:hAnsi="Times New Roman" w:hint="cs"/>
          <w:rtl/>
        </w:rPr>
        <w:t xml:space="preserve">בהתאם לכך, </w:t>
      </w:r>
      <w:r w:rsidR="002632AF" w:rsidRPr="00706059">
        <w:rPr>
          <w:rFonts w:ascii="Times New Roman" w:hAnsi="Times New Roman" w:hint="cs"/>
          <w:rtl/>
        </w:rPr>
        <w:t xml:space="preserve">אושרו </w:t>
      </w:r>
      <w:r w:rsidRPr="00706059">
        <w:rPr>
          <w:rFonts w:ascii="Times New Roman" w:hAnsi="Times New Roman" w:hint="cs"/>
          <w:rtl/>
        </w:rPr>
        <w:t xml:space="preserve">בשנים האחרונות </w:t>
      </w:r>
      <w:r w:rsidR="002632AF" w:rsidRPr="00706059">
        <w:rPr>
          <w:rFonts w:ascii="Times New Roman" w:hAnsi="Times New Roman" w:hint="cs"/>
          <w:rtl/>
        </w:rPr>
        <w:t xml:space="preserve">ע"י היועץ המשפטי לממשלה מספר </w:t>
      </w:r>
      <w:proofErr w:type="spellStart"/>
      <w:r w:rsidR="002632AF" w:rsidRPr="00706059">
        <w:rPr>
          <w:rFonts w:ascii="Times New Roman" w:hAnsi="Times New Roman" w:hint="cs"/>
          <w:rtl/>
        </w:rPr>
        <w:t>תניות</w:t>
      </w:r>
      <w:proofErr w:type="spellEnd"/>
      <w:r w:rsidR="002632AF" w:rsidRPr="00706059">
        <w:rPr>
          <w:rFonts w:ascii="Times New Roman" w:hAnsi="Times New Roman" w:hint="cs"/>
          <w:rtl/>
        </w:rPr>
        <w:t xml:space="preserve"> בוררות בהסכמי</w:t>
      </w:r>
      <w:r w:rsidR="00C21009" w:rsidRPr="00706059">
        <w:rPr>
          <w:rFonts w:ascii="Times New Roman" w:hAnsi="Times New Roman" w:hint="cs"/>
          <w:rtl/>
        </w:rPr>
        <w:t>ם הנוגעים לפרויקטים המבוצעים בשיטת</w:t>
      </w:r>
      <w:r w:rsidR="002632AF" w:rsidRPr="00706059">
        <w:rPr>
          <w:rFonts w:ascii="Times New Roman" w:hAnsi="Times New Roman" w:hint="cs"/>
          <w:rtl/>
        </w:rPr>
        <w:t xml:space="preserve"> </w:t>
      </w:r>
      <w:r w:rsidR="002632AF" w:rsidRPr="00706059">
        <w:rPr>
          <w:rFonts w:ascii="Times New Roman" w:hAnsi="Times New Roman"/>
        </w:rPr>
        <w:t>BOT</w:t>
      </w:r>
      <w:r w:rsidR="00387FBD" w:rsidRPr="00706059">
        <w:rPr>
          <w:rFonts w:ascii="Times New Roman" w:hAnsi="Times New Roman" w:hint="cs"/>
          <w:rtl/>
        </w:rPr>
        <w:t xml:space="preserve"> ודומ</w:t>
      </w:r>
      <w:r w:rsidR="000E237B" w:rsidRPr="00706059">
        <w:rPr>
          <w:rFonts w:ascii="Times New Roman" w:hAnsi="Times New Roman" w:hint="cs"/>
          <w:rtl/>
        </w:rPr>
        <w:t>ות</w:t>
      </w:r>
      <w:r w:rsidR="00387FBD" w:rsidRPr="00706059">
        <w:rPr>
          <w:rFonts w:ascii="Times New Roman" w:hAnsi="Times New Roman" w:hint="cs"/>
          <w:rtl/>
        </w:rPr>
        <w:t>יה</w:t>
      </w:r>
      <w:r w:rsidR="002632AF" w:rsidRPr="00706059">
        <w:rPr>
          <w:rFonts w:ascii="Times New Roman" w:hAnsi="Times New Roman" w:hint="cs"/>
          <w:rtl/>
        </w:rPr>
        <w:t xml:space="preserve">, שנכללו בהתקשרויות של משרד האוצר עם </w:t>
      </w:r>
      <w:r w:rsidR="00C21009" w:rsidRPr="00706059">
        <w:rPr>
          <w:rFonts w:ascii="Times New Roman" w:hAnsi="Times New Roman" w:hint="cs"/>
          <w:rtl/>
        </w:rPr>
        <w:t>זכייני הפרויקטים</w:t>
      </w:r>
      <w:r w:rsidR="002632AF" w:rsidRPr="00706059">
        <w:rPr>
          <w:rFonts w:ascii="Times New Roman" w:hAnsi="Times New Roman" w:hint="cs"/>
          <w:rtl/>
        </w:rPr>
        <w:t xml:space="preserve">. </w:t>
      </w:r>
      <w:r w:rsidR="000F1927" w:rsidRPr="00706059">
        <w:rPr>
          <w:rFonts w:ascii="Times New Roman" w:hAnsi="Times New Roman" w:hint="cs"/>
          <w:rtl/>
        </w:rPr>
        <w:t xml:space="preserve">בין הפרויקטים, </w:t>
      </w:r>
      <w:r w:rsidR="00E538B0" w:rsidRPr="00706059">
        <w:rPr>
          <w:rFonts w:ascii="Times New Roman" w:hAnsi="Times New Roman" w:hint="cs"/>
          <w:rtl/>
        </w:rPr>
        <w:t xml:space="preserve">ניתן למנות פרויקט </w:t>
      </w:r>
      <w:r w:rsidR="00D502E0" w:rsidRPr="00706059">
        <w:rPr>
          <w:rFonts w:hint="cs"/>
          <w:rtl/>
        </w:rPr>
        <w:t>להקמה והפעלה של</w:t>
      </w:r>
      <w:r w:rsidR="00E538B0" w:rsidRPr="00706059">
        <w:rPr>
          <w:rFonts w:hint="cs"/>
          <w:rtl/>
        </w:rPr>
        <w:t xml:space="preserve"> מרכז ההדרכה הארצי למשטרת ישראל</w:t>
      </w:r>
      <w:r w:rsidR="000F1927" w:rsidRPr="00706059">
        <w:rPr>
          <w:rFonts w:ascii="Times New Roman" w:hAnsi="Times New Roman" w:hint="cs"/>
          <w:rtl/>
        </w:rPr>
        <w:t xml:space="preserve">, </w:t>
      </w:r>
      <w:r w:rsidR="00D502E0" w:rsidRPr="00706059">
        <w:rPr>
          <w:rFonts w:ascii="Times New Roman" w:hAnsi="Times New Roman" w:hint="cs"/>
          <w:rtl/>
        </w:rPr>
        <w:t xml:space="preserve">מתקן </w:t>
      </w:r>
      <w:r w:rsidR="00D502E0" w:rsidRPr="00706059">
        <w:rPr>
          <w:rFonts w:hint="cs"/>
          <w:rtl/>
        </w:rPr>
        <w:t>התפלה באשדוד</w:t>
      </w:r>
      <w:r w:rsidR="000F1927" w:rsidRPr="00706059">
        <w:rPr>
          <w:rFonts w:ascii="Times New Roman" w:hAnsi="Times New Roman" w:hint="cs"/>
          <w:rtl/>
        </w:rPr>
        <w:t xml:space="preserve">, כביש 6 במקטעים שונים, </w:t>
      </w:r>
      <w:r w:rsidR="00ED747E" w:rsidRPr="00706059">
        <w:rPr>
          <w:rFonts w:ascii="Times New Roman" w:hAnsi="Times New Roman" w:hint="cs"/>
          <w:rtl/>
        </w:rPr>
        <w:t>תחנת כוח סולאריות ב</w:t>
      </w:r>
      <w:r w:rsidR="000F1927" w:rsidRPr="00706059">
        <w:rPr>
          <w:rFonts w:ascii="Times New Roman" w:hAnsi="Times New Roman" w:hint="cs"/>
          <w:rtl/>
        </w:rPr>
        <w:t>אשלים</w:t>
      </w:r>
      <w:r w:rsidR="00037621" w:rsidRPr="00706059">
        <w:rPr>
          <w:rFonts w:ascii="Times New Roman" w:hAnsi="Times New Roman" w:hint="cs"/>
          <w:rtl/>
        </w:rPr>
        <w:t>, ועוד</w:t>
      </w:r>
      <w:r w:rsidR="000F1927" w:rsidRPr="00706059">
        <w:rPr>
          <w:rFonts w:ascii="Times New Roman" w:hAnsi="Times New Roman" w:hint="cs"/>
          <w:rtl/>
        </w:rPr>
        <w:t>.</w:t>
      </w:r>
    </w:p>
    <w:p w:rsidR="00D755B1" w:rsidRPr="00706059" w:rsidRDefault="00D755B1" w:rsidP="00E0059B">
      <w:pPr>
        <w:bidi/>
        <w:spacing w:line="360" w:lineRule="auto"/>
        <w:jc w:val="both"/>
        <w:rPr>
          <w:rFonts w:ascii="Times New Roman" w:hAnsi="Times New Roman"/>
          <w:rtl/>
        </w:rPr>
      </w:pPr>
    </w:p>
    <w:p w:rsidR="00DE5FDD" w:rsidRPr="00706059" w:rsidRDefault="00D755B1" w:rsidP="007A3A2C">
      <w:pPr>
        <w:pStyle w:val="a3"/>
        <w:numPr>
          <w:ilvl w:val="0"/>
          <w:numId w:val="8"/>
        </w:numPr>
        <w:spacing w:line="360" w:lineRule="auto"/>
        <w:jc w:val="both"/>
        <w:rPr>
          <w:rFonts w:ascii="Times New Roman" w:hAnsi="Times New Roman"/>
          <w:rtl/>
        </w:rPr>
      </w:pPr>
      <w:r w:rsidRPr="00706059">
        <w:rPr>
          <w:rFonts w:ascii="Times New Roman" w:hAnsi="Times New Roman" w:hint="cs"/>
          <w:rtl/>
        </w:rPr>
        <w:t xml:space="preserve">בדיונים שקדמו לאישור </w:t>
      </w:r>
      <w:proofErr w:type="spellStart"/>
      <w:r w:rsidRPr="00706059">
        <w:rPr>
          <w:rFonts w:ascii="Times New Roman" w:hAnsi="Times New Roman" w:hint="cs"/>
          <w:rtl/>
        </w:rPr>
        <w:t>תניות</w:t>
      </w:r>
      <w:proofErr w:type="spellEnd"/>
      <w:r w:rsidRPr="00706059">
        <w:rPr>
          <w:rFonts w:ascii="Times New Roman" w:hAnsi="Times New Roman" w:hint="cs"/>
          <w:rtl/>
        </w:rPr>
        <w:t xml:space="preserve"> הבוררות בהסכמי </w:t>
      </w:r>
      <w:r w:rsidRPr="00706059">
        <w:rPr>
          <w:rFonts w:ascii="Times New Roman" w:hAnsi="Times New Roman"/>
        </w:rPr>
        <w:t>BOT</w:t>
      </w:r>
      <w:r w:rsidRPr="00706059">
        <w:rPr>
          <w:rFonts w:ascii="Times New Roman" w:hAnsi="Times New Roman" w:hint="cs"/>
          <w:rtl/>
        </w:rPr>
        <w:t>, עלו שתי גישות</w:t>
      </w:r>
      <w:r w:rsidR="007A3A2C" w:rsidRPr="00706059">
        <w:rPr>
          <w:rFonts w:ascii="Times New Roman" w:hAnsi="Times New Roman" w:hint="cs"/>
          <w:rtl/>
        </w:rPr>
        <w:t xml:space="preserve"> שונות</w:t>
      </w:r>
      <w:r w:rsidRPr="00706059">
        <w:rPr>
          <w:rFonts w:ascii="Times New Roman" w:hAnsi="Times New Roman" w:hint="cs"/>
          <w:rtl/>
        </w:rPr>
        <w:t xml:space="preserve">: </w:t>
      </w:r>
      <w:r w:rsidR="007A3A2C" w:rsidRPr="00706059">
        <w:rPr>
          <w:rFonts w:ascii="Times New Roman" w:hAnsi="Times New Roman" w:hint="cs"/>
          <w:rtl/>
        </w:rPr>
        <w:t>האחת של משרד האוצר והשנייה של משרד המשפטים</w:t>
      </w:r>
      <w:r w:rsidR="00DE5FDD" w:rsidRPr="00706059">
        <w:rPr>
          <w:rFonts w:ascii="Times New Roman" w:hAnsi="Times New Roman" w:hint="cs"/>
          <w:rtl/>
        </w:rPr>
        <w:t xml:space="preserve">. גישת משרד האוצר הייתה כי יש צורך בהכללת </w:t>
      </w:r>
      <w:proofErr w:type="spellStart"/>
      <w:r w:rsidR="00DE5FDD" w:rsidRPr="00706059">
        <w:rPr>
          <w:rFonts w:ascii="Times New Roman" w:hAnsi="Times New Roman" w:hint="cs"/>
          <w:rtl/>
        </w:rPr>
        <w:t>תניית</w:t>
      </w:r>
      <w:proofErr w:type="spellEnd"/>
      <w:r w:rsidR="00DE5FDD" w:rsidRPr="00706059">
        <w:rPr>
          <w:rFonts w:ascii="Times New Roman" w:hAnsi="Times New Roman" w:hint="cs"/>
          <w:rtl/>
        </w:rPr>
        <w:t xml:space="preserve"> בוררות בהסכמי ה-</w:t>
      </w:r>
      <w:r w:rsidR="00DE5FDD" w:rsidRPr="00706059">
        <w:rPr>
          <w:rFonts w:ascii="Times New Roman" w:hAnsi="Times New Roman"/>
        </w:rPr>
        <w:t xml:space="preserve">BOT </w:t>
      </w:r>
      <w:r w:rsidR="00DE5FDD" w:rsidRPr="00706059">
        <w:rPr>
          <w:rFonts w:ascii="Times New Roman" w:hAnsi="Times New Roman" w:hint="cs"/>
          <w:rtl/>
        </w:rPr>
        <w:t xml:space="preserve"> מן הטעמים הבאים: מורכבות ההסכם- מבחינה משפטית ומקצועית; תקופת ההסכם</w:t>
      </w:r>
      <w:r w:rsidR="00657A29" w:rsidRPr="00706059">
        <w:rPr>
          <w:rFonts w:ascii="Times New Roman" w:hAnsi="Times New Roman" w:hint="cs"/>
          <w:rtl/>
        </w:rPr>
        <w:t xml:space="preserve"> הארוכה</w:t>
      </w:r>
      <w:r w:rsidR="00DE5FDD" w:rsidRPr="00706059">
        <w:rPr>
          <w:rFonts w:ascii="Times New Roman" w:hAnsi="Times New Roman" w:hint="cs"/>
          <w:rtl/>
        </w:rPr>
        <w:t xml:space="preserve">; צורך ביעילות וקבלת החלטות מהירה, וכן שמירה על מערכת יחסים תקינה לאורך חיי ההסכם; חשש כי הגורמים המממנים, ובפרט גורמים מממנים זרים, לא ירצו לממן את הפרויקטים הללו ללא </w:t>
      </w:r>
      <w:proofErr w:type="spellStart"/>
      <w:r w:rsidR="00DE5FDD" w:rsidRPr="00706059">
        <w:rPr>
          <w:rFonts w:ascii="Times New Roman" w:hAnsi="Times New Roman" w:hint="cs"/>
          <w:rtl/>
        </w:rPr>
        <w:t>תניית</w:t>
      </w:r>
      <w:proofErr w:type="spellEnd"/>
      <w:r w:rsidR="00DE5FDD" w:rsidRPr="00706059">
        <w:rPr>
          <w:rFonts w:ascii="Times New Roman" w:hAnsi="Times New Roman" w:hint="cs"/>
          <w:rtl/>
        </w:rPr>
        <w:t xml:space="preserve"> בוררות, אשר לטענת משרד האוצר מקובלת בהסכמי </w:t>
      </w:r>
      <w:r w:rsidR="00DE5FDD" w:rsidRPr="00706059">
        <w:rPr>
          <w:rFonts w:ascii="Times New Roman" w:hAnsi="Times New Roman"/>
        </w:rPr>
        <w:t xml:space="preserve">BOT </w:t>
      </w:r>
      <w:r w:rsidR="00DE5FDD" w:rsidRPr="00706059">
        <w:rPr>
          <w:rFonts w:ascii="Times New Roman" w:hAnsi="Times New Roman" w:hint="cs"/>
          <w:rtl/>
        </w:rPr>
        <w:t xml:space="preserve"> במדינות אחרות בעולם. </w:t>
      </w:r>
    </w:p>
    <w:p w:rsidR="00DE5FDD" w:rsidRPr="00706059" w:rsidRDefault="00DE5FDD" w:rsidP="00E0059B">
      <w:pPr>
        <w:bidi/>
        <w:spacing w:line="360" w:lineRule="auto"/>
        <w:jc w:val="both"/>
        <w:rPr>
          <w:rFonts w:ascii="Times New Roman" w:hAnsi="Times New Roman"/>
          <w:rtl/>
        </w:rPr>
      </w:pPr>
    </w:p>
    <w:p w:rsidR="00B11C2E" w:rsidRPr="00706059" w:rsidRDefault="00DE5FDD" w:rsidP="00657A29">
      <w:pPr>
        <w:pStyle w:val="a3"/>
        <w:numPr>
          <w:ilvl w:val="0"/>
          <w:numId w:val="8"/>
        </w:numPr>
        <w:spacing w:line="360" w:lineRule="auto"/>
        <w:jc w:val="both"/>
        <w:rPr>
          <w:rFonts w:ascii="Times New Roman" w:hAnsi="Times New Roman"/>
        </w:rPr>
      </w:pPr>
      <w:r w:rsidRPr="00706059">
        <w:rPr>
          <w:rFonts w:ascii="Times New Roman" w:hAnsi="Times New Roman" w:hint="cs"/>
          <w:rtl/>
        </w:rPr>
        <w:t xml:space="preserve">לעומת זאת, משרד המשפטים הביע חשש </w:t>
      </w:r>
      <w:r w:rsidR="00657A29" w:rsidRPr="00706059">
        <w:rPr>
          <w:rFonts w:ascii="Times New Roman" w:hAnsi="Times New Roman" w:hint="cs"/>
          <w:rtl/>
        </w:rPr>
        <w:t>מ</w:t>
      </w:r>
      <w:r w:rsidRPr="00706059">
        <w:rPr>
          <w:rFonts w:ascii="Times New Roman" w:hAnsi="Times New Roman" w:hint="cs"/>
          <w:rtl/>
        </w:rPr>
        <w:t xml:space="preserve">עמדת משרד האוצר, וסבר כי הכללת </w:t>
      </w:r>
      <w:proofErr w:type="spellStart"/>
      <w:r w:rsidRPr="00706059">
        <w:rPr>
          <w:rFonts w:ascii="Times New Roman" w:hAnsi="Times New Roman" w:hint="cs"/>
          <w:rtl/>
        </w:rPr>
        <w:t>תניית</w:t>
      </w:r>
      <w:proofErr w:type="spellEnd"/>
      <w:r w:rsidRPr="00706059">
        <w:rPr>
          <w:rFonts w:ascii="Times New Roman" w:hAnsi="Times New Roman" w:hint="cs"/>
          <w:rtl/>
        </w:rPr>
        <w:t xml:space="preserve"> בוררות בהסכמים מורכבים ובעלי היקף כספי ניכר כל כך אינו פשוט, מן הטעמים הבאים:</w:t>
      </w:r>
      <w:r w:rsidRPr="00706059">
        <w:rPr>
          <w:rFonts w:ascii="Times New Roman" w:hAnsi="Times New Roman"/>
          <w:rtl/>
        </w:rPr>
        <w:t xml:space="preserve"> </w:t>
      </w:r>
      <w:r w:rsidRPr="00706059">
        <w:rPr>
          <w:rFonts w:ascii="Times New Roman" w:hAnsi="Times New Roman" w:hint="eastAsia"/>
          <w:rtl/>
        </w:rPr>
        <w:t>התפישה</w:t>
      </w:r>
      <w:r w:rsidRPr="00706059">
        <w:rPr>
          <w:rFonts w:ascii="Times New Roman" w:hAnsi="Times New Roman"/>
          <w:rtl/>
        </w:rPr>
        <w:t xml:space="preserve"> </w:t>
      </w:r>
      <w:r w:rsidRPr="00706059">
        <w:rPr>
          <w:rFonts w:ascii="Times New Roman" w:hAnsi="Times New Roman" w:hint="eastAsia"/>
          <w:rtl/>
        </w:rPr>
        <w:t>כי</w:t>
      </w:r>
      <w:r w:rsidRPr="00706059">
        <w:rPr>
          <w:rFonts w:ascii="Times New Roman" w:hAnsi="Times New Roman"/>
          <w:rtl/>
        </w:rPr>
        <w:t xml:space="preserve"> </w:t>
      </w:r>
      <w:r w:rsidRPr="00706059">
        <w:rPr>
          <w:rFonts w:ascii="Times New Roman" w:hAnsi="Times New Roman" w:hint="eastAsia"/>
          <w:rtl/>
        </w:rPr>
        <w:t>בתי</w:t>
      </w:r>
      <w:r w:rsidRPr="00706059">
        <w:rPr>
          <w:rFonts w:ascii="Times New Roman" w:hAnsi="Times New Roman"/>
          <w:rtl/>
        </w:rPr>
        <w:t xml:space="preserve"> </w:t>
      </w:r>
      <w:r w:rsidRPr="00706059">
        <w:rPr>
          <w:rFonts w:ascii="Times New Roman" w:hAnsi="Times New Roman" w:hint="eastAsia"/>
          <w:rtl/>
        </w:rPr>
        <w:t>המשפט</w:t>
      </w:r>
      <w:r w:rsidRPr="00706059">
        <w:rPr>
          <w:rFonts w:ascii="Times New Roman" w:hAnsi="Times New Roman"/>
          <w:rtl/>
        </w:rPr>
        <w:t xml:space="preserve"> </w:t>
      </w:r>
      <w:r w:rsidRPr="00706059">
        <w:rPr>
          <w:rFonts w:ascii="Times New Roman" w:hAnsi="Times New Roman" w:hint="eastAsia"/>
          <w:rtl/>
        </w:rPr>
        <w:t>שוקלים</w:t>
      </w:r>
      <w:r w:rsidRPr="00706059">
        <w:rPr>
          <w:rFonts w:ascii="Times New Roman" w:hAnsi="Times New Roman"/>
          <w:rtl/>
        </w:rPr>
        <w:t xml:space="preserve"> </w:t>
      </w:r>
      <w:r w:rsidRPr="00706059">
        <w:rPr>
          <w:rFonts w:ascii="Times New Roman" w:hAnsi="Times New Roman" w:hint="eastAsia"/>
          <w:rtl/>
        </w:rPr>
        <w:t>שיקולים</w:t>
      </w:r>
      <w:r w:rsidRPr="00706059">
        <w:rPr>
          <w:rFonts w:ascii="Times New Roman" w:hAnsi="Times New Roman"/>
          <w:rtl/>
        </w:rPr>
        <w:t xml:space="preserve"> </w:t>
      </w:r>
      <w:r w:rsidRPr="00706059">
        <w:rPr>
          <w:rFonts w:ascii="Times New Roman" w:hAnsi="Times New Roman" w:hint="eastAsia"/>
          <w:rtl/>
        </w:rPr>
        <w:t>מערכתיים</w:t>
      </w:r>
      <w:r w:rsidRPr="00706059">
        <w:rPr>
          <w:rFonts w:ascii="Times New Roman" w:hAnsi="Times New Roman"/>
          <w:rtl/>
        </w:rPr>
        <w:t xml:space="preserve">, </w:t>
      </w:r>
      <w:r w:rsidRPr="00706059">
        <w:rPr>
          <w:rFonts w:ascii="Times New Roman" w:hAnsi="Times New Roman" w:hint="eastAsia"/>
          <w:rtl/>
        </w:rPr>
        <w:t>ביניהם</w:t>
      </w:r>
      <w:r w:rsidRPr="00706059">
        <w:rPr>
          <w:rFonts w:ascii="Times New Roman" w:hAnsi="Times New Roman"/>
          <w:rtl/>
        </w:rPr>
        <w:t xml:space="preserve"> </w:t>
      </w:r>
      <w:r w:rsidRPr="00706059">
        <w:rPr>
          <w:rFonts w:ascii="Times New Roman" w:hAnsi="Times New Roman" w:hint="eastAsia"/>
          <w:rtl/>
        </w:rPr>
        <w:t>האינטרס</w:t>
      </w:r>
      <w:r w:rsidRPr="00706059">
        <w:rPr>
          <w:rFonts w:ascii="Times New Roman" w:hAnsi="Times New Roman"/>
          <w:rtl/>
        </w:rPr>
        <w:t xml:space="preserve"> </w:t>
      </w:r>
      <w:r w:rsidRPr="00706059">
        <w:rPr>
          <w:rFonts w:ascii="Times New Roman" w:hAnsi="Times New Roman" w:hint="eastAsia"/>
          <w:rtl/>
        </w:rPr>
        <w:t>הציבורי</w:t>
      </w:r>
      <w:r w:rsidRPr="00706059">
        <w:rPr>
          <w:rFonts w:ascii="Times New Roman" w:hAnsi="Times New Roman"/>
          <w:rtl/>
        </w:rPr>
        <w:t xml:space="preserve"> </w:t>
      </w:r>
      <w:r w:rsidRPr="00706059">
        <w:rPr>
          <w:rFonts w:ascii="Times New Roman" w:hAnsi="Times New Roman" w:hint="eastAsia"/>
          <w:rtl/>
        </w:rPr>
        <w:t>והשמירה</w:t>
      </w:r>
      <w:r w:rsidRPr="00706059">
        <w:rPr>
          <w:rFonts w:ascii="Times New Roman" w:hAnsi="Times New Roman"/>
          <w:rtl/>
        </w:rPr>
        <w:t xml:space="preserve"> </w:t>
      </w:r>
      <w:r w:rsidRPr="00706059">
        <w:rPr>
          <w:rFonts w:ascii="Times New Roman" w:hAnsi="Times New Roman" w:hint="eastAsia"/>
          <w:rtl/>
        </w:rPr>
        <w:t>על</w:t>
      </w:r>
      <w:r w:rsidRPr="00706059">
        <w:rPr>
          <w:rFonts w:ascii="Times New Roman" w:hAnsi="Times New Roman"/>
          <w:rtl/>
        </w:rPr>
        <w:t xml:space="preserve"> </w:t>
      </w:r>
      <w:r w:rsidRPr="00706059">
        <w:rPr>
          <w:rFonts w:ascii="Times New Roman" w:hAnsi="Times New Roman" w:hint="eastAsia"/>
          <w:rtl/>
        </w:rPr>
        <w:t>הקופה</w:t>
      </w:r>
      <w:r w:rsidRPr="00706059">
        <w:rPr>
          <w:rFonts w:ascii="Times New Roman" w:hAnsi="Times New Roman"/>
          <w:rtl/>
        </w:rPr>
        <w:t xml:space="preserve"> </w:t>
      </w:r>
      <w:r w:rsidRPr="00706059">
        <w:rPr>
          <w:rFonts w:ascii="Times New Roman" w:hAnsi="Times New Roman" w:hint="eastAsia"/>
          <w:rtl/>
        </w:rPr>
        <w:t>הציבורית</w:t>
      </w:r>
      <w:r w:rsidRPr="00706059">
        <w:rPr>
          <w:rFonts w:ascii="Times New Roman" w:hAnsi="Times New Roman"/>
          <w:rtl/>
        </w:rPr>
        <w:t xml:space="preserve">, </w:t>
      </w:r>
      <w:r w:rsidRPr="00706059">
        <w:rPr>
          <w:rFonts w:ascii="Times New Roman" w:hAnsi="Times New Roman" w:hint="eastAsia"/>
          <w:rtl/>
        </w:rPr>
        <w:t>באופן</w:t>
      </w:r>
      <w:r w:rsidRPr="00706059">
        <w:rPr>
          <w:rFonts w:ascii="Times New Roman" w:hAnsi="Times New Roman"/>
          <w:rtl/>
        </w:rPr>
        <w:t xml:space="preserve"> </w:t>
      </w:r>
      <w:r w:rsidRPr="00706059">
        <w:rPr>
          <w:rFonts w:ascii="Times New Roman" w:hAnsi="Times New Roman" w:hint="eastAsia"/>
          <w:rtl/>
        </w:rPr>
        <w:t>שונה</w:t>
      </w:r>
      <w:r w:rsidRPr="00706059">
        <w:rPr>
          <w:rFonts w:ascii="Times New Roman" w:hAnsi="Times New Roman"/>
          <w:rtl/>
        </w:rPr>
        <w:t xml:space="preserve"> </w:t>
      </w:r>
      <w:r w:rsidRPr="00706059">
        <w:rPr>
          <w:rFonts w:ascii="Times New Roman" w:hAnsi="Times New Roman" w:hint="eastAsia"/>
          <w:rtl/>
        </w:rPr>
        <w:t>מאשר</w:t>
      </w:r>
      <w:r w:rsidRPr="00706059">
        <w:rPr>
          <w:rFonts w:ascii="Times New Roman" w:hAnsi="Times New Roman"/>
          <w:rtl/>
        </w:rPr>
        <w:t xml:space="preserve"> </w:t>
      </w:r>
      <w:r w:rsidRPr="00706059">
        <w:rPr>
          <w:rFonts w:ascii="Times New Roman" w:hAnsi="Times New Roman" w:hint="eastAsia"/>
          <w:rtl/>
        </w:rPr>
        <w:t>בורר</w:t>
      </w:r>
      <w:r w:rsidRPr="00706059">
        <w:rPr>
          <w:rFonts w:ascii="Times New Roman" w:hAnsi="Times New Roman"/>
          <w:rtl/>
        </w:rPr>
        <w:t xml:space="preserve"> </w:t>
      </w:r>
      <w:r w:rsidRPr="00706059">
        <w:rPr>
          <w:rFonts w:ascii="Times New Roman" w:hAnsi="Times New Roman" w:hint="eastAsia"/>
          <w:rtl/>
        </w:rPr>
        <w:t>פרטי</w:t>
      </w:r>
      <w:r w:rsidRPr="00706059">
        <w:rPr>
          <w:rFonts w:ascii="Times New Roman" w:hAnsi="Times New Roman"/>
          <w:rtl/>
        </w:rPr>
        <w:t>;</w:t>
      </w:r>
      <w:r w:rsidRPr="00706059">
        <w:rPr>
          <w:rFonts w:ascii="Times New Roman" w:hAnsi="Times New Roman" w:hint="cs"/>
          <w:rtl/>
        </w:rPr>
        <w:t xml:space="preserve"> החשיבות שבניהול הליכים אלו בשקיפות;</w:t>
      </w:r>
      <w:r w:rsidRPr="00706059">
        <w:rPr>
          <w:rFonts w:ascii="Times New Roman" w:hAnsi="Times New Roman"/>
          <w:rtl/>
        </w:rPr>
        <w:t xml:space="preserve"> </w:t>
      </w:r>
      <w:r w:rsidRPr="00706059">
        <w:rPr>
          <w:rFonts w:ascii="Times New Roman" w:hAnsi="Times New Roman" w:hint="cs"/>
          <w:rtl/>
        </w:rPr>
        <w:t>השאלות</w:t>
      </w:r>
      <w:r w:rsidRPr="00706059">
        <w:rPr>
          <w:rFonts w:ascii="Times New Roman" w:hAnsi="Times New Roman"/>
          <w:rtl/>
        </w:rPr>
        <w:t xml:space="preserve"> </w:t>
      </w:r>
      <w:r w:rsidRPr="00706059">
        <w:rPr>
          <w:rFonts w:ascii="Times New Roman" w:hAnsi="Times New Roman" w:hint="cs"/>
          <w:rtl/>
        </w:rPr>
        <w:t>המשפטיות</w:t>
      </w:r>
      <w:r w:rsidRPr="00706059">
        <w:rPr>
          <w:rFonts w:ascii="Times New Roman" w:hAnsi="Times New Roman"/>
          <w:rtl/>
        </w:rPr>
        <w:t xml:space="preserve"> </w:t>
      </w:r>
      <w:r w:rsidRPr="00706059">
        <w:rPr>
          <w:rFonts w:ascii="Times New Roman" w:hAnsi="Times New Roman" w:hint="cs"/>
          <w:rtl/>
        </w:rPr>
        <w:t>וההיבטים</w:t>
      </w:r>
      <w:r w:rsidRPr="00706059">
        <w:rPr>
          <w:rFonts w:ascii="Times New Roman" w:hAnsi="Times New Roman"/>
          <w:rtl/>
        </w:rPr>
        <w:t xml:space="preserve"> </w:t>
      </w:r>
      <w:r w:rsidRPr="00706059">
        <w:rPr>
          <w:rFonts w:ascii="Times New Roman" w:hAnsi="Times New Roman" w:hint="cs"/>
          <w:rtl/>
        </w:rPr>
        <w:t>השלטוניים</w:t>
      </w:r>
      <w:r w:rsidRPr="00706059">
        <w:rPr>
          <w:rFonts w:ascii="Times New Roman" w:hAnsi="Times New Roman"/>
          <w:rtl/>
        </w:rPr>
        <w:t xml:space="preserve"> </w:t>
      </w:r>
      <w:r w:rsidRPr="00706059">
        <w:rPr>
          <w:rFonts w:ascii="Times New Roman" w:hAnsi="Times New Roman" w:hint="cs"/>
          <w:rtl/>
        </w:rPr>
        <w:t>שעלולים</w:t>
      </w:r>
      <w:r w:rsidRPr="00706059">
        <w:rPr>
          <w:rFonts w:ascii="Times New Roman" w:hAnsi="Times New Roman"/>
          <w:rtl/>
        </w:rPr>
        <w:t xml:space="preserve"> </w:t>
      </w:r>
      <w:r w:rsidRPr="00706059">
        <w:rPr>
          <w:rFonts w:ascii="Times New Roman" w:hAnsi="Times New Roman" w:hint="cs"/>
          <w:rtl/>
        </w:rPr>
        <w:t>להתעורר</w:t>
      </w:r>
      <w:r w:rsidRPr="00706059">
        <w:rPr>
          <w:rFonts w:ascii="Times New Roman" w:hAnsi="Times New Roman"/>
          <w:rtl/>
        </w:rPr>
        <w:t xml:space="preserve"> </w:t>
      </w:r>
      <w:r w:rsidRPr="00706059">
        <w:rPr>
          <w:rFonts w:ascii="Times New Roman" w:hAnsi="Times New Roman" w:hint="cs"/>
          <w:rtl/>
        </w:rPr>
        <w:t>אגב</w:t>
      </w:r>
      <w:r w:rsidRPr="00706059">
        <w:rPr>
          <w:rFonts w:ascii="Times New Roman" w:hAnsi="Times New Roman"/>
          <w:rtl/>
        </w:rPr>
        <w:t xml:space="preserve"> </w:t>
      </w:r>
      <w:r w:rsidRPr="00706059">
        <w:rPr>
          <w:rFonts w:ascii="Times New Roman" w:hAnsi="Times New Roman" w:hint="cs"/>
          <w:rtl/>
        </w:rPr>
        <w:t>סכסוכים</w:t>
      </w:r>
      <w:r w:rsidRPr="00706059">
        <w:rPr>
          <w:rFonts w:ascii="Times New Roman" w:hAnsi="Times New Roman"/>
          <w:rtl/>
        </w:rPr>
        <w:t xml:space="preserve"> </w:t>
      </w:r>
      <w:r w:rsidRPr="00706059">
        <w:rPr>
          <w:rFonts w:ascii="Times New Roman" w:hAnsi="Times New Roman" w:hint="cs"/>
          <w:rtl/>
        </w:rPr>
        <w:t xml:space="preserve">בהסכם </w:t>
      </w:r>
      <w:r w:rsidRPr="00706059">
        <w:rPr>
          <w:rFonts w:ascii="Times New Roman" w:hAnsi="Times New Roman"/>
          <w:rtl/>
        </w:rPr>
        <w:t xml:space="preserve">- </w:t>
      </w:r>
      <w:r w:rsidRPr="00706059">
        <w:rPr>
          <w:rFonts w:ascii="Times New Roman" w:hAnsi="Times New Roman" w:hint="cs"/>
          <w:rtl/>
        </w:rPr>
        <w:t>בפרט</w:t>
      </w:r>
      <w:r w:rsidRPr="00706059">
        <w:rPr>
          <w:rFonts w:ascii="Times New Roman" w:hAnsi="Times New Roman"/>
          <w:rtl/>
        </w:rPr>
        <w:t xml:space="preserve"> </w:t>
      </w:r>
      <w:r w:rsidRPr="00706059">
        <w:rPr>
          <w:rFonts w:ascii="Times New Roman" w:hAnsi="Times New Roman" w:hint="cs"/>
          <w:rtl/>
        </w:rPr>
        <w:t>שאלות</w:t>
      </w:r>
      <w:r w:rsidRPr="00706059">
        <w:rPr>
          <w:rFonts w:ascii="Times New Roman" w:hAnsi="Times New Roman"/>
          <w:rtl/>
        </w:rPr>
        <w:t xml:space="preserve"> </w:t>
      </w:r>
      <w:r w:rsidRPr="00706059">
        <w:rPr>
          <w:rFonts w:ascii="Times New Roman" w:hAnsi="Times New Roman" w:hint="cs"/>
          <w:rtl/>
        </w:rPr>
        <w:t>של</w:t>
      </w:r>
      <w:r w:rsidRPr="00706059">
        <w:rPr>
          <w:rFonts w:ascii="Times New Roman" w:hAnsi="Times New Roman"/>
          <w:rtl/>
        </w:rPr>
        <w:t xml:space="preserve"> </w:t>
      </w:r>
      <w:r w:rsidRPr="00706059">
        <w:rPr>
          <w:rFonts w:ascii="Times New Roman" w:hAnsi="Times New Roman" w:hint="cs"/>
          <w:rtl/>
        </w:rPr>
        <w:t>השתחררות</w:t>
      </w:r>
      <w:r w:rsidRPr="00706059">
        <w:rPr>
          <w:rFonts w:ascii="Times New Roman" w:hAnsi="Times New Roman"/>
          <w:rtl/>
        </w:rPr>
        <w:t xml:space="preserve"> </w:t>
      </w:r>
      <w:r w:rsidRPr="00706059">
        <w:rPr>
          <w:rFonts w:ascii="Times New Roman" w:hAnsi="Times New Roman" w:hint="cs"/>
          <w:rtl/>
        </w:rPr>
        <w:t>שלטונית</w:t>
      </w:r>
      <w:r w:rsidRPr="00706059">
        <w:rPr>
          <w:rFonts w:ascii="Times New Roman" w:hAnsi="Times New Roman"/>
          <w:rtl/>
        </w:rPr>
        <w:t xml:space="preserve">, </w:t>
      </w:r>
      <w:r w:rsidRPr="00706059">
        <w:rPr>
          <w:rFonts w:ascii="Times New Roman" w:hAnsi="Times New Roman" w:hint="cs"/>
          <w:rtl/>
        </w:rPr>
        <w:t>הבטחה</w:t>
      </w:r>
      <w:r w:rsidRPr="00706059">
        <w:rPr>
          <w:rFonts w:ascii="Times New Roman" w:hAnsi="Times New Roman"/>
          <w:rtl/>
        </w:rPr>
        <w:t xml:space="preserve"> </w:t>
      </w:r>
      <w:r w:rsidRPr="00706059">
        <w:rPr>
          <w:rFonts w:ascii="Times New Roman" w:hAnsi="Times New Roman" w:hint="cs"/>
          <w:rtl/>
        </w:rPr>
        <w:t>שלטונית</w:t>
      </w:r>
      <w:r w:rsidRPr="00706059">
        <w:rPr>
          <w:rFonts w:ascii="Times New Roman" w:hAnsi="Times New Roman"/>
          <w:rtl/>
        </w:rPr>
        <w:t xml:space="preserve">, </w:t>
      </w:r>
      <w:r w:rsidRPr="00706059">
        <w:rPr>
          <w:rFonts w:ascii="Times New Roman" w:hAnsi="Times New Roman" w:hint="cs"/>
          <w:rtl/>
        </w:rPr>
        <w:t>השגה</w:t>
      </w:r>
      <w:r w:rsidRPr="00706059">
        <w:rPr>
          <w:rFonts w:ascii="Times New Roman" w:hAnsi="Times New Roman"/>
          <w:rtl/>
        </w:rPr>
        <w:t xml:space="preserve"> </w:t>
      </w:r>
      <w:r w:rsidRPr="00706059">
        <w:rPr>
          <w:rFonts w:ascii="Times New Roman" w:hAnsi="Times New Roman" w:hint="cs"/>
          <w:rtl/>
        </w:rPr>
        <w:t>על</w:t>
      </w:r>
      <w:r w:rsidRPr="00706059">
        <w:rPr>
          <w:rFonts w:ascii="Times New Roman" w:hAnsi="Times New Roman"/>
          <w:rtl/>
        </w:rPr>
        <w:t xml:space="preserve"> </w:t>
      </w:r>
      <w:r w:rsidRPr="00706059">
        <w:rPr>
          <w:rFonts w:ascii="Times New Roman" w:hAnsi="Times New Roman" w:hint="cs"/>
          <w:rtl/>
        </w:rPr>
        <w:t>החלטות</w:t>
      </w:r>
      <w:r w:rsidRPr="00706059">
        <w:rPr>
          <w:rFonts w:ascii="Times New Roman" w:hAnsi="Times New Roman"/>
          <w:rtl/>
        </w:rPr>
        <w:t xml:space="preserve"> </w:t>
      </w:r>
      <w:r w:rsidRPr="00706059">
        <w:rPr>
          <w:rFonts w:ascii="Times New Roman" w:hAnsi="Times New Roman" w:hint="cs"/>
          <w:rtl/>
        </w:rPr>
        <w:t>מנהליות</w:t>
      </w:r>
      <w:r w:rsidRPr="00706059">
        <w:rPr>
          <w:rFonts w:ascii="Times New Roman" w:hAnsi="Times New Roman"/>
          <w:rtl/>
        </w:rPr>
        <w:t xml:space="preserve"> </w:t>
      </w:r>
      <w:r w:rsidRPr="00706059">
        <w:rPr>
          <w:rFonts w:ascii="Times New Roman" w:hAnsi="Times New Roman" w:hint="cs"/>
          <w:rtl/>
        </w:rPr>
        <w:t>של</w:t>
      </w:r>
      <w:r w:rsidRPr="00706059">
        <w:rPr>
          <w:rFonts w:ascii="Times New Roman" w:hAnsi="Times New Roman"/>
          <w:rtl/>
        </w:rPr>
        <w:t xml:space="preserve"> </w:t>
      </w:r>
      <w:r w:rsidRPr="00706059">
        <w:rPr>
          <w:rFonts w:ascii="Times New Roman" w:hAnsi="Times New Roman" w:hint="cs"/>
          <w:rtl/>
        </w:rPr>
        <w:t>רשויות</w:t>
      </w:r>
      <w:r w:rsidRPr="00706059">
        <w:rPr>
          <w:rFonts w:ascii="Times New Roman" w:hAnsi="Times New Roman"/>
          <w:rtl/>
        </w:rPr>
        <w:t xml:space="preserve"> </w:t>
      </w:r>
      <w:r w:rsidRPr="00706059">
        <w:rPr>
          <w:rFonts w:ascii="Times New Roman" w:hAnsi="Times New Roman" w:hint="cs"/>
          <w:rtl/>
        </w:rPr>
        <w:t>המדינה</w:t>
      </w:r>
      <w:r w:rsidRPr="00706059">
        <w:rPr>
          <w:rFonts w:ascii="Times New Roman" w:hAnsi="Times New Roman"/>
          <w:rtl/>
        </w:rPr>
        <w:t xml:space="preserve">, </w:t>
      </w:r>
      <w:r w:rsidRPr="00706059">
        <w:rPr>
          <w:rFonts w:ascii="Times New Roman" w:hAnsi="Times New Roman" w:hint="cs"/>
          <w:rtl/>
        </w:rPr>
        <w:t>ועוד.</w:t>
      </w:r>
      <w:r w:rsidR="00B11C2E" w:rsidRPr="00706059">
        <w:rPr>
          <w:rFonts w:ascii="Times New Roman" w:hAnsi="Times New Roman"/>
          <w:rtl/>
        </w:rPr>
        <w:t xml:space="preserve"> </w:t>
      </w:r>
    </w:p>
    <w:p w:rsidR="00B11C2E" w:rsidRPr="00706059" w:rsidRDefault="00B11C2E" w:rsidP="00E0059B">
      <w:pPr>
        <w:bidi/>
        <w:spacing w:line="360" w:lineRule="auto"/>
        <w:jc w:val="both"/>
        <w:rPr>
          <w:rFonts w:ascii="Times New Roman" w:hAnsi="Times New Roman"/>
          <w:rtl/>
        </w:rPr>
      </w:pPr>
    </w:p>
    <w:p w:rsidR="00E349B6" w:rsidRPr="00706059" w:rsidRDefault="009540E9" w:rsidP="00E0059B">
      <w:pPr>
        <w:pStyle w:val="a3"/>
        <w:numPr>
          <w:ilvl w:val="0"/>
          <w:numId w:val="8"/>
        </w:numPr>
        <w:spacing w:line="360" w:lineRule="auto"/>
        <w:jc w:val="both"/>
        <w:rPr>
          <w:rFonts w:ascii="Times New Roman" w:hAnsi="Times New Roman"/>
        </w:rPr>
      </w:pPr>
      <w:r w:rsidRPr="00706059">
        <w:rPr>
          <w:rFonts w:ascii="Times New Roman" w:hAnsi="Times New Roman" w:hint="cs"/>
          <w:rtl/>
        </w:rPr>
        <w:t xml:space="preserve">בהמשך לכך, </w:t>
      </w:r>
      <w:r w:rsidR="00996B1F" w:rsidRPr="00706059">
        <w:rPr>
          <w:rFonts w:ascii="Times New Roman" w:hAnsi="Times New Roman" w:hint="cs"/>
          <w:rtl/>
        </w:rPr>
        <w:t xml:space="preserve">ועל רקע </w:t>
      </w:r>
      <w:r w:rsidR="00D755B1" w:rsidRPr="00706059">
        <w:rPr>
          <w:rFonts w:ascii="Times New Roman" w:hAnsi="Times New Roman" w:hint="cs"/>
          <w:rtl/>
        </w:rPr>
        <w:t>ה</w:t>
      </w:r>
      <w:r w:rsidR="00996B1F" w:rsidRPr="00706059">
        <w:rPr>
          <w:rFonts w:ascii="Times New Roman" w:hAnsi="Times New Roman" w:hint="cs"/>
          <w:rtl/>
        </w:rPr>
        <w:t xml:space="preserve">גישות </w:t>
      </w:r>
      <w:r w:rsidR="00D755B1" w:rsidRPr="00706059">
        <w:rPr>
          <w:rFonts w:ascii="Times New Roman" w:hAnsi="Times New Roman" w:hint="cs"/>
          <w:rtl/>
        </w:rPr>
        <w:t xml:space="preserve">השונות </w:t>
      </w:r>
      <w:r w:rsidR="00996B1F" w:rsidRPr="00706059">
        <w:rPr>
          <w:rFonts w:ascii="Times New Roman" w:hAnsi="Times New Roman" w:hint="cs"/>
          <w:rtl/>
        </w:rPr>
        <w:t xml:space="preserve">בנוגע להיקפן המתאים של </w:t>
      </w:r>
      <w:proofErr w:type="spellStart"/>
      <w:r w:rsidR="00996B1F" w:rsidRPr="00706059">
        <w:rPr>
          <w:rFonts w:ascii="Times New Roman" w:hAnsi="Times New Roman" w:hint="cs"/>
          <w:rtl/>
        </w:rPr>
        <w:t>תניות</w:t>
      </w:r>
      <w:proofErr w:type="spellEnd"/>
      <w:r w:rsidR="00996B1F" w:rsidRPr="00706059">
        <w:rPr>
          <w:rFonts w:ascii="Times New Roman" w:hAnsi="Times New Roman" w:hint="cs"/>
          <w:rtl/>
        </w:rPr>
        <w:t xml:space="preserve"> בוררות בהסכמי </w:t>
      </w:r>
      <w:r w:rsidR="00996B1F" w:rsidRPr="00706059">
        <w:rPr>
          <w:rFonts w:ascii="Times New Roman" w:hAnsi="Times New Roman"/>
        </w:rPr>
        <w:t>BOT</w:t>
      </w:r>
      <w:r w:rsidR="007F274B" w:rsidRPr="00706059">
        <w:rPr>
          <w:rFonts w:ascii="Times New Roman" w:hAnsi="Times New Roman" w:hint="cs"/>
          <w:rtl/>
        </w:rPr>
        <w:t xml:space="preserve"> </w:t>
      </w:r>
      <w:r w:rsidR="00D755B1" w:rsidRPr="00706059">
        <w:rPr>
          <w:rFonts w:ascii="Times New Roman" w:hAnsi="Times New Roman" w:hint="cs"/>
          <w:rtl/>
        </w:rPr>
        <w:t xml:space="preserve">שתוארו לעיל, וכן לאור </w:t>
      </w:r>
      <w:r w:rsidR="007F274B" w:rsidRPr="00706059">
        <w:rPr>
          <w:rFonts w:ascii="Times New Roman" w:hAnsi="Times New Roman" w:hint="cs"/>
          <w:rtl/>
        </w:rPr>
        <w:t xml:space="preserve">שיהוי בהבאת </w:t>
      </w:r>
      <w:proofErr w:type="spellStart"/>
      <w:r w:rsidR="007F274B" w:rsidRPr="00706059">
        <w:rPr>
          <w:rFonts w:ascii="Times New Roman" w:hAnsi="Times New Roman" w:hint="cs"/>
          <w:rtl/>
        </w:rPr>
        <w:t>תניות</w:t>
      </w:r>
      <w:proofErr w:type="spellEnd"/>
      <w:r w:rsidR="007F274B" w:rsidRPr="00706059">
        <w:rPr>
          <w:rFonts w:ascii="Times New Roman" w:hAnsi="Times New Roman" w:hint="cs"/>
          <w:rtl/>
        </w:rPr>
        <w:t xml:space="preserve"> אלה לאישור היועץ המשפטי לממשלה ע"י משרד האוצר</w:t>
      </w:r>
      <w:r w:rsidR="00996B1F" w:rsidRPr="00706059">
        <w:rPr>
          <w:rFonts w:ascii="Times New Roman" w:hAnsi="Times New Roman" w:hint="cs"/>
          <w:rtl/>
        </w:rPr>
        <w:t xml:space="preserve">, </w:t>
      </w:r>
      <w:r w:rsidR="007F274B" w:rsidRPr="00706059">
        <w:rPr>
          <w:rFonts w:ascii="Times New Roman" w:hAnsi="Times New Roman" w:hint="cs"/>
          <w:rtl/>
        </w:rPr>
        <w:t xml:space="preserve">התקיים </w:t>
      </w:r>
      <w:r w:rsidRPr="00706059">
        <w:rPr>
          <w:rFonts w:ascii="Times New Roman" w:hAnsi="Times New Roman" w:hint="cs"/>
          <w:rtl/>
        </w:rPr>
        <w:t xml:space="preserve">בשנת 2013 </w:t>
      </w:r>
      <w:r w:rsidR="007F274B" w:rsidRPr="00706059">
        <w:rPr>
          <w:rFonts w:ascii="Times New Roman" w:hAnsi="Times New Roman" w:hint="cs"/>
          <w:rtl/>
        </w:rPr>
        <w:t xml:space="preserve">דיון אצל גב' אורית </w:t>
      </w:r>
      <w:proofErr w:type="spellStart"/>
      <w:r w:rsidR="007F274B" w:rsidRPr="00706059">
        <w:rPr>
          <w:rFonts w:ascii="Times New Roman" w:hAnsi="Times New Roman" w:hint="cs"/>
          <w:rtl/>
        </w:rPr>
        <w:t>סון</w:t>
      </w:r>
      <w:proofErr w:type="spellEnd"/>
      <w:r w:rsidR="00065419" w:rsidRPr="00706059">
        <w:rPr>
          <w:rFonts w:hint="cs"/>
          <w:rtl/>
        </w:rPr>
        <w:t xml:space="preserve">, </w:t>
      </w:r>
      <w:r w:rsidR="00065419" w:rsidRPr="00706059">
        <w:rPr>
          <w:rtl/>
        </w:rPr>
        <w:t>המשנה לפרקליט המדינה (עניינים אזרחיים)</w:t>
      </w:r>
      <w:r w:rsidR="00065419" w:rsidRPr="00706059">
        <w:rPr>
          <w:rFonts w:hint="cs"/>
          <w:rtl/>
        </w:rPr>
        <w:t xml:space="preserve"> דאז</w:t>
      </w:r>
      <w:r w:rsidR="007F274B" w:rsidRPr="00706059">
        <w:rPr>
          <w:rFonts w:ascii="Times New Roman" w:hAnsi="Times New Roman" w:hint="cs"/>
          <w:rtl/>
        </w:rPr>
        <w:t xml:space="preserve">, בהשתתפות </w:t>
      </w:r>
      <w:r w:rsidR="007F274B" w:rsidRPr="00706059">
        <w:rPr>
          <w:rFonts w:hint="cs"/>
          <w:rtl/>
        </w:rPr>
        <w:t>נציגי משרד המשפטים ומשרד האוצר</w:t>
      </w:r>
      <w:r w:rsidR="00E349B6" w:rsidRPr="00706059">
        <w:rPr>
          <w:rFonts w:hint="cs"/>
          <w:rtl/>
        </w:rPr>
        <w:t xml:space="preserve"> (להלן: "הדיון")</w:t>
      </w:r>
      <w:r w:rsidR="00B00C2A" w:rsidRPr="00706059">
        <w:rPr>
          <w:rFonts w:hint="cs"/>
          <w:rtl/>
        </w:rPr>
        <w:t>.</w:t>
      </w:r>
    </w:p>
    <w:p w:rsidR="00E349B6" w:rsidRPr="00706059" w:rsidRDefault="00E349B6" w:rsidP="00E349B6">
      <w:pPr>
        <w:pStyle w:val="a3"/>
        <w:rPr>
          <w:rtl/>
        </w:rPr>
      </w:pPr>
    </w:p>
    <w:p w:rsidR="00E349B6" w:rsidRPr="00706059" w:rsidRDefault="007F274B" w:rsidP="00657A29">
      <w:pPr>
        <w:pStyle w:val="a3"/>
        <w:numPr>
          <w:ilvl w:val="0"/>
          <w:numId w:val="8"/>
        </w:numPr>
        <w:spacing w:line="360" w:lineRule="auto"/>
        <w:jc w:val="both"/>
        <w:rPr>
          <w:rFonts w:ascii="Times New Roman" w:hAnsi="Times New Roman"/>
        </w:rPr>
      </w:pPr>
      <w:r w:rsidRPr="00706059">
        <w:rPr>
          <w:rFonts w:hint="cs"/>
          <w:rtl/>
        </w:rPr>
        <w:t>בדיון זה</w:t>
      </w:r>
      <w:r w:rsidR="00996B1F" w:rsidRPr="00706059">
        <w:rPr>
          <w:rFonts w:ascii="Times New Roman" w:hAnsi="Times New Roman" w:hint="cs"/>
          <w:rtl/>
        </w:rPr>
        <w:t xml:space="preserve"> סוכם על אמות מידה ועקרונות להכללת </w:t>
      </w:r>
      <w:proofErr w:type="spellStart"/>
      <w:r w:rsidR="00996B1F" w:rsidRPr="00706059">
        <w:rPr>
          <w:rFonts w:ascii="Times New Roman" w:hAnsi="Times New Roman" w:hint="cs"/>
          <w:rtl/>
        </w:rPr>
        <w:t>תניות</w:t>
      </w:r>
      <w:proofErr w:type="spellEnd"/>
      <w:r w:rsidR="00996B1F" w:rsidRPr="00706059">
        <w:rPr>
          <w:rFonts w:ascii="Times New Roman" w:hAnsi="Times New Roman" w:hint="cs"/>
          <w:rtl/>
        </w:rPr>
        <w:t xml:space="preserve"> בוררות בהסכמים מסוג זה.</w:t>
      </w:r>
      <w:r w:rsidRPr="00706059">
        <w:rPr>
          <w:rFonts w:ascii="Times New Roman" w:hAnsi="Times New Roman" w:hint="cs"/>
          <w:rtl/>
        </w:rPr>
        <w:t xml:space="preserve"> זאת, מבלי לגרוע כמובן מהכלל כי </w:t>
      </w:r>
      <w:r w:rsidRPr="00706059">
        <w:rPr>
          <w:rFonts w:hint="cs"/>
          <w:rtl/>
        </w:rPr>
        <w:t xml:space="preserve">כל </w:t>
      </w:r>
      <w:proofErr w:type="spellStart"/>
      <w:r w:rsidRPr="00706059">
        <w:rPr>
          <w:rFonts w:hint="cs"/>
          <w:rtl/>
        </w:rPr>
        <w:t>תניית</w:t>
      </w:r>
      <w:proofErr w:type="spellEnd"/>
      <w:r w:rsidRPr="00706059">
        <w:rPr>
          <w:rFonts w:hint="cs"/>
          <w:rtl/>
        </w:rPr>
        <w:t xml:space="preserve"> בוררות מחייבת אישור פרטני של היועץ המשפטי לממשלה. </w:t>
      </w:r>
      <w:r w:rsidR="00DF04E0" w:rsidRPr="00706059">
        <w:rPr>
          <w:rFonts w:hint="cs"/>
          <w:rtl/>
        </w:rPr>
        <w:t>עקרונות אלה הוסכמו על</w:t>
      </w:r>
      <w:r w:rsidR="0052333F" w:rsidRPr="00706059">
        <w:rPr>
          <w:rFonts w:hint="cs"/>
          <w:rtl/>
        </w:rPr>
        <w:t xml:space="preserve"> ידי</w:t>
      </w:r>
      <w:r w:rsidR="00DF04E0" w:rsidRPr="00706059">
        <w:rPr>
          <w:rFonts w:hint="cs"/>
          <w:rtl/>
        </w:rPr>
        <w:t xml:space="preserve"> כל משתתפי הדיון</w:t>
      </w:r>
      <w:r w:rsidR="00657A29" w:rsidRPr="00706059">
        <w:rPr>
          <w:rFonts w:hint="cs"/>
          <w:rtl/>
        </w:rPr>
        <w:t xml:space="preserve"> והם משקפים איזון בין היתרונות בהכללת </w:t>
      </w:r>
      <w:proofErr w:type="spellStart"/>
      <w:r w:rsidR="00657A29" w:rsidRPr="00706059">
        <w:rPr>
          <w:rFonts w:hint="cs"/>
          <w:rtl/>
        </w:rPr>
        <w:t>תניית</w:t>
      </w:r>
      <w:proofErr w:type="spellEnd"/>
      <w:r w:rsidR="00657A29" w:rsidRPr="00706059">
        <w:rPr>
          <w:rFonts w:hint="cs"/>
          <w:rtl/>
        </w:rPr>
        <w:t xml:space="preserve"> בוררות בהסכמי </w:t>
      </w:r>
      <w:r w:rsidR="00657A29" w:rsidRPr="00706059">
        <w:t>BOT</w:t>
      </w:r>
      <w:r w:rsidR="00657A29" w:rsidRPr="00706059">
        <w:rPr>
          <w:rFonts w:hint="cs"/>
          <w:rtl/>
        </w:rPr>
        <w:t xml:space="preserve"> לחששות מפני העברת הדיון לבוררות</w:t>
      </w:r>
      <w:r w:rsidR="00DF04E0" w:rsidRPr="00706059">
        <w:rPr>
          <w:rFonts w:hint="cs"/>
          <w:rtl/>
        </w:rPr>
        <w:t xml:space="preserve">. </w:t>
      </w:r>
      <w:r w:rsidR="00DE5FDD" w:rsidRPr="00706059">
        <w:rPr>
          <w:rFonts w:hint="cs"/>
          <w:rtl/>
        </w:rPr>
        <w:t>יצוין, כי סיכום הדיון לא הובא בפני היועץ המשפטי לממשלה</w:t>
      </w:r>
      <w:r w:rsidR="009E6738" w:rsidRPr="00706059">
        <w:rPr>
          <w:rFonts w:hint="cs"/>
          <w:rtl/>
        </w:rPr>
        <w:t xml:space="preserve"> לאישורו, אך הובאו לאישורו </w:t>
      </w:r>
      <w:proofErr w:type="spellStart"/>
      <w:r w:rsidR="009E6738" w:rsidRPr="00706059">
        <w:rPr>
          <w:rFonts w:hint="cs"/>
          <w:rtl/>
        </w:rPr>
        <w:t>תניות</w:t>
      </w:r>
      <w:proofErr w:type="spellEnd"/>
      <w:r w:rsidR="009E6738" w:rsidRPr="00706059">
        <w:rPr>
          <w:rFonts w:hint="cs"/>
          <w:rtl/>
        </w:rPr>
        <w:t xml:space="preserve"> בוררות פרטניות שהתבססו על עקרונותיו של סיכום הדיון</w:t>
      </w:r>
      <w:r w:rsidR="00DE5FDD" w:rsidRPr="00706059">
        <w:rPr>
          <w:rFonts w:hint="cs"/>
          <w:rtl/>
        </w:rPr>
        <w:t>.</w:t>
      </w:r>
    </w:p>
    <w:p w:rsidR="00E349B6" w:rsidRPr="00706059" w:rsidRDefault="00E349B6" w:rsidP="00E349B6">
      <w:pPr>
        <w:pStyle w:val="a3"/>
        <w:rPr>
          <w:rFonts w:ascii="Times New Roman" w:hAnsi="Times New Roman"/>
          <w:rtl/>
        </w:rPr>
      </w:pPr>
    </w:p>
    <w:p w:rsidR="00E0059B" w:rsidRPr="00706059" w:rsidRDefault="007F274B" w:rsidP="00657A29">
      <w:pPr>
        <w:pStyle w:val="a3"/>
        <w:numPr>
          <w:ilvl w:val="0"/>
          <w:numId w:val="8"/>
        </w:numPr>
        <w:spacing w:line="360" w:lineRule="auto"/>
        <w:jc w:val="both"/>
        <w:rPr>
          <w:rFonts w:ascii="Times New Roman" w:hAnsi="Times New Roman"/>
        </w:rPr>
      </w:pPr>
      <w:r w:rsidRPr="00706059">
        <w:rPr>
          <w:rFonts w:ascii="Times New Roman" w:hAnsi="Times New Roman" w:hint="cs"/>
          <w:rtl/>
        </w:rPr>
        <w:t xml:space="preserve">העקרונות המרכזיים </w:t>
      </w:r>
      <w:r w:rsidR="00E349B6" w:rsidRPr="00706059">
        <w:rPr>
          <w:rFonts w:ascii="Times New Roman" w:hAnsi="Times New Roman" w:hint="cs"/>
          <w:rtl/>
        </w:rPr>
        <w:t>שסוכמו בדיון הינם</w:t>
      </w:r>
      <w:r w:rsidRPr="00706059">
        <w:rPr>
          <w:rFonts w:ascii="Times New Roman" w:hAnsi="Times New Roman" w:hint="cs"/>
          <w:rtl/>
        </w:rPr>
        <w:t xml:space="preserve">: </w:t>
      </w:r>
      <w:r w:rsidR="00E0059B" w:rsidRPr="00706059">
        <w:rPr>
          <w:rFonts w:hint="cs"/>
          <w:b/>
          <w:bCs/>
          <w:rtl/>
        </w:rPr>
        <w:t>מסגרת הסכסוך</w:t>
      </w:r>
      <w:r w:rsidR="00E0059B" w:rsidRPr="00706059">
        <w:rPr>
          <w:rFonts w:hint="cs"/>
          <w:rtl/>
        </w:rPr>
        <w:t xml:space="preserve">- </w:t>
      </w:r>
      <w:proofErr w:type="spellStart"/>
      <w:r w:rsidR="00E0059B" w:rsidRPr="00706059">
        <w:rPr>
          <w:rFonts w:hint="cs"/>
          <w:rtl/>
        </w:rPr>
        <w:t>תניית</w:t>
      </w:r>
      <w:proofErr w:type="spellEnd"/>
      <w:r w:rsidR="00E0059B" w:rsidRPr="00706059">
        <w:rPr>
          <w:rFonts w:hint="cs"/>
          <w:rtl/>
        </w:rPr>
        <w:t xml:space="preserve"> בוררות תתייחס לסכסוך הנוגע לשלב החוזי ולמסגרת החוזית</w:t>
      </w:r>
      <w:r w:rsidR="00E349B6" w:rsidRPr="00706059">
        <w:rPr>
          <w:rFonts w:hint="cs"/>
          <w:rtl/>
        </w:rPr>
        <w:t>;</w:t>
      </w:r>
      <w:r w:rsidR="00E349B6" w:rsidRPr="00706059">
        <w:rPr>
          <w:rFonts w:hint="cs"/>
          <w:b/>
          <w:bCs/>
          <w:rtl/>
        </w:rPr>
        <w:t xml:space="preserve"> </w:t>
      </w:r>
      <w:r w:rsidR="00E0059B" w:rsidRPr="00706059">
        <w:rPr>
          <w:rFonts w:hint="cs"/>
          <w:b/>
          <w:bCs/>
          <w:rtl/>
        </w:rPr>
        <w:t>שינויים רגולטוריים ('דין מפלה')</w:t>
      </w:r>
      <w:r w:rsidR="00E349B6" w:rsidRPr="00706059">
        <w:rPr>
          <w:rFonts w:hint="cs"/>
          <w:b/>
          <w:bCs/>
          <w:rtl/>
        </w:rPr>
        <w:t xml:space="preserve">, </w:t>
      </w:r>
      <w:r w:rsidR="00E0059B" w:rsidRPr="00706059">
        <w:rPr>
          <w:rFonts w:hint="cs"/>
          <w:b/>
          <w:bCs/>
          <w:rtl/>
        </w:rPr>
        <w:t>הפעלת סמכויות שלטוניות</w:t>
      </w:r>
      <w:r w:rsidR="00E349B6" w:rsidRPr="00706059">
        <w:rPr>
          <w:rFonts w:hint="cs"/>
          <w:b/>
          <w:bCs/>
          <w:rtl/>
        </w:rPr>
        <w:t xml:space="preserve"> והשתחררות </w:t>
      </w:r>
      <w:proofErr w:type="spellStart"/>
      <w:r w:rsidR="00E349B6" w:rsidRPr="00706059">
        <w:rPr>
          <w:rFonts w:hint="cs"/>
          <w:b/>
          <w:bCs/>
          <w:rtl/>
        </w:rPr>
        <w:t>מינהלית</w:t>
      </w:r>
      <w:proofErr w:type="spellEnd"/>
      <w:r w:rsidR="00E0059B" w:rsidRPr="00706059">
        <w:rPr>
          <w:rFonts w:hint="cs"/>
          <w:b/>
          <w:bCs/>
          <w:rtl/>
        </w:rPr>
        <w:t>-</w:t>
      </w:r>
      <w:r w:rsidR="00E0059B" w:rsidRPr="00706059">
        <w:rPr>
          <w:rFonts w:hint="cs"/>
          <w:rtl/>
        </w:rPr>
        <w:t xml:space="preserve"> סכסוך שעניינו תקיפת הפעלת סמכויות שלטוניו</w:t>
      </w:r>
      <w:r w:rsidR="00E349B6" w:rsidRPr="00706059">
        <w:rPr>
          <w:rFonts w:hint="cs"/>
          <w:rtl/>
        </w:rPr>
        <w:t>ת</w:t>
      </w:r>
      <w:r w:rsidR="00E0059B" w:rsidRPr="00706059">
        <w:rPr>
          <w:rFonts w:hint="cs"/>
          <w:rtl/>
        </w:rPr>
        <w:t xml:space="preserve"> </w:t>
      </w:r>
      <w:r w:rsidR="000B3EC8" w:rsidRPr="00706059">
        <w:rPr>
          <w:rFonts w:hint="cs"/>
          <w:rtl/>
        </w:rPr>
        <w:t>ו</w:t>
      </w:r>
      <w:r w:rsidR="00E349B6" w:rsidRPr="00706059">
        <w:rPr>
          <w:rFonts w:hint="cs"/>
          <w:rtl/>
        </w:rPr>
        <w:t xml:space="preserve">כן </w:t>
      </w:r>
      <w:r w:rsidR="000B3EC8" w:rsidRPr="00706059">
        <w:rPr>
          <w:rFonts w:hint="cs"/>
          <w:rtl/>
        </w:rPr>
        <w:t>סכסוך בנוגע לתקיפת החלטת השתחררות של המדינה מכוח הלכת ההשתחררות</w:t>
      </w:r>
      <w:r w:rsidR="00E349B6" w:rsidRPr="00706059">
        <w:rPr>
          <w:rFonts w:hint="cs"/>
          <w:rtl/>
        </w:rPr>
        <w:t xml:space="preserve"> יתבררו בבית המשפט ולא בפני בורר</w:t>
      </w:r>
      <w:r w:rsidR="00E0059B" w:rsidRPr="00706059">
        <w:rPr>
          <w:rFonts w:hint="cs"/>
          <w:rtl/>
        </w:rPr>
        <w:t xml:space="preserve">. </w:t>
      </w:r>
      <w:r w:rsidR="000B3EC8" w:rsidRPr="00706059">
        <w:rPr>
          <w:rFonts w:hint="cs"/>
          <w:rtl/>
        </w:rPr>
        <w:t>עם זאת, אין מניעה</w:t>
      </w:r>
      <w:r w:rsidR="00E0059B" w:rsidRPr="00706059">
        <w:rPr>
          <w:rFonts w:hint="cs"/>
          <w:rtl/>
        </w:rPr>
        <w:t xml:space="preserve"> להעביר להכרעת בורר סכסוך בנוגע למנגנון פיצוי שנקבע בחוזה בהתייחס </w:t>
      </w:r>
      <w:r w:rsidR="00E349B6" w:rsidRPr="00706059">
        <w:rPr>
          <w:rFonts w:hint="cs"/>
          <w:rtl/>
        </w:rPr>
        <w:t>ל</w:t>
      </w:r>
      <w:r w:rsidR="000B3EC8" w:rsidRPr="00706059">
        <w:rPr>
          <w:rFonts w:hint="cs"/>
          <w:rtl/>
        </w:rPr>
        <w:t>עניינים האמורים.</w:t>
      </w:r>
      <w:r w:rsidR="00E349B6" w:rsidRPr="00706059">
        <w:rPr>
          <w:rFonts w:hint="cs"/>
          <w:b/>
          <w:bCs/>
          <w:rtl/>
        </w:rPr>
        <w:t xml:space="preserve"> </w:t>
      </w:r>
      <w:r w:rsidR="00E0059B" w:rsidRPr="00706059">
        <w:rPr>
          <w:rFonts w:hint="cs"/>
          <w:b/>
          <w:bCs/>
          <w:rtl/>
        </w:rPr>
        <w:t>תחולת הדין המהותי</w:t>
      </w:r>
      <w:r w:rsidR="00E349B6" w:rsidRPr="00706059">
        <w:rPr>
          <w:rFonts w:hint="cs"/>
          <w:rtl/>
        </w:rPr>
        <w:t xml:space="preserve">- </w:t>
      </w:r>
      <w:proofErr w:type="spellStart"/>
      <w:r w:rsidR="00E0059B" w:rsidRPr="00706059">
        <w:rPr>
          <w:rFonts w:hint="cs"/>
          <w:rtl/>
        </w:rPr>
        <w:t>תניית</w:t>
      </w:r>
      <w:proofErr w:type="spellEnd"/>
      <w:r w:rsidR="00E0059B" w:rsidRPr="00706059">
        <w:rPr>
          <w:rFonts w:hint="cs"/>
          <w:rtl/>
        </w:rPr>
        <w:t xml:space="preserve"> הבוררות תכלול הסכמה לפיה הבורר יפסוק לפי הדין המהותי </w:t>
      </w:r>
      <w:r w:rsidR="00657A29" w:rsidRPr="00706059">
        <w:rPr>
          <w:rFonts w:hint="cs"/>
          <w:rtl/>
        </w:rPr>
        <w:t>ו</w:t>
      </w:r>
      <w:r w:rsidR="00E0059B" w:rsidRPr="00706059">
        <w:rPr>
          <w:rFonts w:hint="cs"/>
          <w:rtl/>
        </w:rPr>
        <w:t>ינמק את החלטותיו ופסיקתו.</w:t>
      </w:r>
      <w:r w:rsidR="00E349B6" w:rsidRPr="00706059">
        <w:rPr>
          <w:rFonts w:hint="cs"/>
          <w:rtl/>
        </w:rPr>
        <w:t xml:space="preserve"> </w:t>
      </w:r>
      <w:r w:rsidR="00E349B6" w:rsidRPr="00706059">
        <w:rPr>
          <w:rFonts w:hint="cs"/>
          <w:b/>
          <w:bCs/>
          <w:rtl/>
        </w:rPr>
        <w:t>שקיפות</w:t>
      </w:r>
      <w:r w:rsidR="00E0059B" w:rsidRPr="00706059">
        <w:rPr>
          <w:rFonts w:hint="cs"/>
          <w:rtl/>
        </w:rPr>
        <w:t xml:space="preserve">- </w:t>
      </w:r>
      <w:r w:rsidR="00657A29" w:rsidRPr="00706059">
        <w:rPr>
          <w:rFonts w:hint="cs"/>
          <w:rtl/>
        </w:rPr>
        <w:t xml:space="preserve">לנוכח כפיפותם של </w:t>
      </w:r>
      <w:r w:rsidR="00E0059B" w:rsidRPr="00706059">
        <w:rPr>
          <w:rFonts w:hint="cs"/>
          <w:rtl/>
        </w:rPr>
        <w:t xml:space="preserve">הליכי בוררות שהמדינה צד להם לחוק חופש המידע, מתבקש כי הבורר והצדדים להליך יהיו מודעים לכך שישנה בקרה ציבורית על </w:t>
      </w:r>
      <w:r w:rsidR="00657A29" w:rsidRPr="00706059">
        <w:rPr>
          <w:rFonts w:hint="cs"/>
          <w:rtl/>
        </w:rPr>
        <w:t>ההליך</w:t>
      </w:r>
      <w:r w:rsidR="00E0059B" w:rsidRPr="00706059">
        <w:rPr>
          <w:rFonts w:hint="cs"/>
          <w:rtl/>
        </w:rPr>
        <w:t xml:space="preserve">, וכי עצם הבוררות איננה עילה לאי מסירת מידע על הליכי הבוררות, במסגרת בקשות לפי חוק חופש המידע. </w:t>
      </w:r>
    </w:p>
    <w:p w:rsidR="00B00C2A" w:rsidRPr="00706059" w:rsidRDefault="00B00C2A" w:rsidP="00B00C2A">
      <w:pPr>
        <w:pStyle w:val="a3"/>
        <w:rPr>
          <w:rFonts w:ascii="Times New Roman" w:hAnsi="Times New Roman"/>
          <w:rtl/>
        </w:rPr>
      </w:pPr>
    </w:p>
    <w:p w:rsidR="00B00C2A" w:rsidRPr="00706059" w:rsidRDefault="00B00C2A" w:rsidP="00B00C2A">
      <w:pPr>
        <w:pStyle w:val="a3"/>
        <w:spacing w:line="360" w:lineRule="auto"/>
        <w:ind w:left="360"/>
        <w:jc w:val="both"/>
        <w:rPr>
          <w:rFonts w:ascii="Times New Roman" w:hAnsi="Times New Roman"/>
          <w:rtl/>
        </w:rPr>
      </w:pPr>
      <w:r w:rsidRPr="00706059">
        <w:rPr>
          <w:rFonts w:ascii="Times New Roman" w:hAnsi="Times New Roman" w:hint="cs"/>
          <w:rtl/>
        </w:rPr>
        <w:t xml:space="preserve">סיכום הדיון מצורף </w:t>
      </w:r>
      <w:r w:rsidRPr="00706059">
        <w:rPr>
          <w:rFonts w:ascii="Times New Roman" w:hAnsi="Times New Roman" w:hint="cs"/>
          <w:b/>
          <w:bCs/>
          <w:rtl/>
        </w:rPr>
        <w:t>כנספח 1</w:t>
      </w:r>
      <w:r w:rsidRPr="00706059">
        <w:rPr>
          <w:rFonts w:ascii="Times New Roman" w:hAnsi="Times New Roman" w:hint="cs"/>
          <w:rtl/>
        </w:rPr>
        <w:t xml:space="preserve"> לפניה זו.</w:t>
      </w:r>
    </w:p>
    <w:p w:rsidR="00E0059B" w:rsidRPr="00706059" w:rsidRDefault="00E0059B" w:rsidP="00E0059B">
      <w:pPr>
        <w:bidi/>
        <w:spacing w:line="360" w:lineRule="auto"/>
        <w:jc w:val="both"/>
        <w:rPr>
          <w:rtl/>
        </w:rPr>
      </w:pPr>
    </w:p>
    <w:p w:rsidR="007F274B" w:rsidRPr="00706059" w:rsidRDefault="00DF04E0" w:rsidP="00F13A36">
      <w:pPr>
        <w:pStyle w:val="a3"/>
        <w:numPr>
          <w:ilvl w:val="0"/>
          <w:numId w:val="13"/>
        </w:numPr>
        <w:spacing w:line="360" w:lineRule="auto"/>
        <w:jc w:val="both"/>
        <w:rPr>
          <w:b/>
          <w:bCs/>
          <w:u w:val="single"/>
          <w:rtl/>
        </w:rPr>
      </w:pPr>
      <w:r w:rsidRPr="00706059">
        <w:rPr>
          <w:rFonts w:hint="cs"/>
          <w:b/>
          <w:bCs/>
          <w:u w:val="single"/>
          <w:rtl/>
        </w:rPr>
        <w:t xml:space="preserve">בקשה לאשר </w:t>
      </w:r>
      <w:proofErr w:type="spellStart"/>
      <w:r w:rsidRPr="00706059">
        <w:rPr>
          <w:rFonts w:hint="cs"/>
          <w:b/>
          <w:bCs/>
          <w:u w:val="single"/>
          <w:rtl/>
        </w:rPr>
        <w:t>תניית</w:t>
      </w:r>
      <w:proofErr w:type="spellEnd"/>
      <w:r w:rsidRPr="00706059">
        <w:rPr>
          <w:rFonts w:hint="cs"/>
          <w:b/>
          <w:bCs/>
          <w:u w:val="single"/>
          <w:rtl/>
        </w:rPr>
        <w:t xml:space="preserve"> בוררות אחידה בהסכמי </w:t>
      </w:r>
      <w:r w:rsidRPr="00706059">
        <w:rPr>
          <w:b/>
          <w:bCs/>
          <w:u w:val="single"/>
        </w:rPr>
        <w:t>BOT</w:t>
      </w:r>
      <w:r w:rsidRPr="00706059">
        <w:rPr>
          <w:rFonts w:hint="cs"/>
          <w:b/>
          <w:bCs/>
          <w:u w:val="single"/>
          <w:rtl/>
        </w:rPr>
        <w:t>:</w:t>
      </w:r>
    </w:p>
    <w:p w:rsidR="007F274B" w:rsidRPr="00706059" w:rsidRDefault="007F274B" w:rsidP="00E349B6">
      <w:pPr>
        <w:pStyle w:val="a3"/>
        <w:numPr>
          <w:ilvl w:val="0"/>
          <w:numId w:val="8"/>
        </w:numPr>
        <w:spacing w:line="360" w:lineRule="auto"/>
        <w:jc w:val="both"/>
      </w:pPr>
      <w:r w:rsidRPr="00706059">
        <w:rPr>
          <w:rFonts w:hint="cs"/>
          <w:rtl/>
        </w:rPr>
        <w:t xml:space="preserve">על מנת לייעל את העבודה מול משרד האוצר ולאור מאפייניהם המשותפים של הסכמי </w:t>
      </w:r>
      <w:r w:rsidRPr="00706059">
        <w:t>BOT</w:t>
      </w:r>
      <w:r w:rsidRPr="00706059">
        <w:rPr>
          <w:rFonts w:hint="cs"/>
          <w:rtl/>
        </w:rPr>
        <w:t>, משרד האוצר פנה אלינו בבקשה לגבש</w:t>
      </w:r>
      <w:r w:rsidR="00B11C2E" w:rsidRPr="00706059">
        <w:rPr>
          <w:rFonts w:hint="cs"/>
          <w:rtl/>
        </w:rPr>
        <w:t xml:space="preserve"> </w:t>
      </w:r>
      <w:r w:rsidRPr="00706059">
        <w:rPr>
          <w:rFonts w:hint="cs"/>
          <w:rtl/>
        </w:rPr>
        <w:t xml:space="preserve">נוסח מוסכם של </w:t>
      </w:r>
      <w:proofErr w:type="spellStart"/>
      <w:r w:rsidRPr="00706059">
        <w:rPr>
          <w:rFonts w:hint="cs"/>
          <w:rtl/>
        </w:rPr>
        <w:t>תניית</w:t>
      </w:r>
      <w:proofErr w:type="spellEnd"/>
      <w:r w:rsidRPr="00706059">
        <w:rPr>
          <w:rFonts w:hint="cs"/>
          <w:rtl/>
        </w:rPr>
        <w:t xml:space="preserve"> בוררות, אשר יקבל את אישורו של היועץ המשפטי לממשלה, ויוטמע בהסכמי </w:t>
      </w:r>
      <w:r w:rsidRPr="00706059">
        <w:t>BOT</w:t>
      </w:r>
      <w:r w:rsidRPr="00706059">
        <w:rPr>
          <w:rFonts w:hint="cs"/>
          <w:rtl/>
        </w:rPr>
        <w:t xml:space="preserve"> עתידיים שייחתמו עם משרד האוצר.</w:t>
      </w:r>
    </w:p>
    <w:p w:rsidR="00876C48" w:rsidRPr="00706059" w:rsidRDefault="00876C48" w:rsidP="00876C48">
      <w:pPr>
        <w:pStyle w:val="a3"/>
        <w:spacing w:line="360" w:lineRule="auto"/>
        <w:ind w:left="360"/>
        <w:jc w:val="both"/>
        <w:rPr>
          <w:rtl/>
        </w:rPr>
      </w:pPr>
    </w:p>
    <w:p w:rsidR="00876C48" w:rsidRPr="00706059" w:rsidRDefault="00876C48" w:rsidP="00876C48">
      <w:pPr>
        <w:pStyle w:val="a3"/>
        <w:spacing w:line="360" w:lineRule="auto"/>
        <w:ind w:left="360"/>
        <w:jc w:val="both"/>
        <w:rPr>
          <w:rtl/>
        </w:rPr>
      </w:pPr>
      <w:r w:rsidRPr="00706059">
        <w:rPr>
          <w:rFonts w:hint="cs"/>
          <w:rtl/>
        </w:rPr>
        <w:t xml:space="preserve">פנייתו של משרד האוצר מצורפת </w:t>
      </w:r>
      <w:r w:rsidRPr="00706059">
        <w:rPr>
          <w:rFonts w:hint="cs"/>
          <w:b/>
          <w:bCs/>
          <w:rtl/>
        </w:rPr>
        <w:t>כנספח 2</w:t>
      </w:r>
      <w:r w:rsidRPr="00706059">
        <w:rPr>
          <w:rFonts w:hint="cs"/>
          <w:rtl/>
        </w:rPr>
        <w:t xml:space="preserve"> לפניה זו.</w:t>
      </w:r>
    </w:p>
    <w:p w:rsidR="008E716D" w:rsidRPr="00706059" w:rsidRDefault="008E716D" w:rsidP="00E0059B">
      <w:pPr>
        <w:bidi/>
        <w:spacing w:line="360" w:lineRule="auto"/>
        <w:jc w:val="both"/>
        <w:rPr>
          <w:rtl/>
        </w:rPr>
      </w:pPr>
    </w:p>
    <w:p w:rsidR="008E716D" w:rsidRPr="00706059" w:rsidRDefault="008E716D" w:rsidP="00E0059B">
      <w:pPr>
        <w:pStyle w:val="a3"/>
        <w:numPr>
          <w:ilvl w:val="0"/>
          <w:numId w:val="8"/>
        </w:numPr>
        <w:spacing w:line="360" w:lineRule="auto"/>
        <w:jc w:val="both"/>
        <w:rPr>
          <w:rtl/>
        </w:rPr>
      </w:pPr>
      <w:r w:rsidRPr="00706059">
        <w:rPr>
          <w:rFonts w:hint="cs"/>
          <w:rtl/>
        </w:rPr>
        <w:t xml:space="preserve">אנו סבורים כי ישנה תועלת רבה </w:t>
      </w:r>
      <w:r w:rsidR="00B11C2E" w:rsidRPr="00706059">
        <w:rPr>
          <w:rFonts w:hint="cs"/>
          <w:rtl/>
        </w:rPr>
        <w:t xml:space="preserve">באישור </w:t>
      </w:r>
      <w:r w:rsidRPr="00706059">
        <w:rPr>
          <w:rFonts w:hint="cs"/>
          <w:rtl/>
        </w:rPr>
        <w:t xml:space="preserve">נוסח אחיד של </w:t>
      </w:r>
      <w:proofErr w:type="spellStart"/>
      <w:r w:rsidRPr="00706059">
        <w:rPr>
          <w:rFonts w:hint="cs"/>
          <w:rtl/>
        </w:rPr>
        <w:t>תניית</w:t>
      </w:r>
      <w:proofErr w:type="spellEnd"/>
      <w:r w:rsidRPr="00706059">
        <w:rPr>
          <w:rFonts w:hint="cs"/>
          <w:rtl/>
        </w:rPr>
        <w:t xml:space="preserve"> בוררות בהסכמי </w:t>
      </w:r>
      <w:r w:rsidRPr="00706059">
        <w:t>BOT</w:t>
      </w:r>
      <w:r w:rsidRPr="00706059">
        <w:rPr>
          <w:rFonts w:hint="cs"/>
          <w:rtl/>
        </w:rPr>
        <w:t xml:space="preserve">, </w:t>
      </w:r>
      <w:r w:rsidR="00B11C2E" w:rsidRPr="00706059">
        <w:rPr>
          <w:rFonts w:hint="cs"/>
          <w:rtl/>
        </w:rPr>
        <w:t xml:space="preserve">שכן אישור </w:t>
      </w:r>
      <w:r w:rsidRPr="00706059">
        <w:rPr>
          <w:rFonts w:hint="cs"/>
          <w:rtl/>
        </w:rPr>
        <w:t>הנוסח מראש יאפשר לחוזים ולמכרזים מס</w:t>
      </w:r>
      <w:r w:rsidR="00F47013" w:rsidRPr="00706059">
        <w:rPr>
          <w:rFonts w:hint="cs"/>
          <w:rtl/>
        </w:rPr>
        <w:t xml:space="preserve">וג זה להתקדם בצורה יעילה, ותוך </w:t>
      </w:r>
      <w:r w:rsidRPr="00706059">
        <w:rPr>
          <w:rFonts w:hint="cs"/>
          <w:rtl/>
        </w:rPr>
        <w:t xml:space="preserve">ודאות יחסית בנוגע לתנאי ההתקשרות בשלב מוקדם של הליכי המכרז. </w:t>
      </w:r>
    </w:p>
    <w:p w:rsidR="007F274B" w:rsidRPr="00706059" w:rsidRDefault="007F274B" w:rsidP="00E0059B">
      <w:pPr>
        <w:bidi/>
        <w:spacing w:line="360" w:lineRule="auto"/>
        <w:jc w:val="both"/>
        <w:rPr>
          <w:rtl/>
        </w:rPr>
      </w:pPr>
    </w:p>
    <w:p w:rsidR="007F274B" w:rsidRPr="00706059" w:rsidRDefault="00F13A36" w:rsidP="00503F46">
      <w:pPr>
        <w:pStyle w:val="a3"/>
        <w:numPr>
          <w:ilvl w:val="0"/>
          <w:numId w:val="8"/>
        </w:numPr>
        <w:spacing w:line="360" w:lineRule="auto"/>
        <w:jc w:val="both"/>
        <w:rPr>
          <w:rtl/>
        </w:rPr>
      </w:pPr>
      <w:r w:rsidRPr="00706059">
        <w:rPr>
          <w:rFonts w:hint="cs"/>
          <w:rtl/>
        </w:rPr>
        <w:t>לכן</w:t>
      </w:r>
      <w:r w:rsidR="008E716D" w:rsidRPr="00706059">
        <w:rPr>
          <w:rFonts w:hint="cs"/>
          <w:rtl/>
        </w:rPr>
        <w:t xml:space="preserve">, </w:t>
      </w:r>
      <w:r w:rsidR="00B00C2A" w:rsidRPr="00706059">
        <w:rPr>
          <w:rFonts w:hint="cs"/>
          <w:rtl/>
        </w:rPr>
        <w:t xml:space="preserve">גובש על ידי משרד האוצר, </w:t>
      </w:r>
      <w:r w:rsidR="00503F46" w:rsidRPr="00706059">
        <w:rPr>
          <w:rFonts w:hint="cs"/>
          <w:rtl/>
        </w:rPr>
        <w:t xml:space="preserve">בשיתוף עם </w:t>
      </w:r>
      <w:r w:rsidR="00B00C2A" w:rsidRPr="00706059">
        <w:rPr>
          <w:rFonts w:hint="cs"/>
          <w:rtl/>
        </w:rPr>
        <w:t>מח' יעוץ וחקיקה (אזרחי) ופרקליטות המדינה</w:t>
      </w:r>
      <w:r w:rsidR="00503F46" w:rsidRPr="00706059">
        <w:rPr>
          <w:rFonts w:hint="cs"/>
          <w:rtl/>
        </w:rPr>
        <w:t>,</w:t>
      </w:r>
      <w:r w:rsidR="00B00C2A" w:rsidRPr="00706059">
        <w:rPr>
          <w:rFonts w:hint="cs"/>
          <w:rtl/>
        </w:rPr>
        <w:t xml:space="preserve"> </w:t>
      </w:r>
      <w:r w:rsidR="007F274B" w:rsidRPr="00706059">
        <w:rPr>
          <w:rFonts w:hint="cs"/>
          <w:rtl/>
        </w:rPr>
        <w:t xml:space="preserve">נוסח  אחיד של </w:t>
      </w:r>
      <w:proofErr w:type="spellStart"/>
      <w:r w:rsidR="007F274B" w:rsidRPr="00706059">
        <w:rPr>
          <w:rFonts w:hint="cs"/>
          <w:rtl/>
        </w:rPr>
        <w:t>תניית</w:t>
      </w:r>
      <w:proofErr w:type="spellEnd"/>
      <w:r w:rsidR="007F274B" w:rsidRPr="00706059">
        <w:rPr>
          <w:rFonts w:hint="cs"/>
          <w:rtl/>
        </w:rPr>
        <w:t xml:space="preserve"> בוררות להסכמי </w:t>
      </w:r>
      <w:r w:rsidR="007F274B" w:rsidRPr="00706059">
        <w:t>BOT</w:t>
      </w:r>
      <w:r w:rsidR="00503F46" w:rsidRPr="00706059">
        <w:rPr>
          <w:rFonts w:hint="cs"/>
          <w:rtl/>
        </w:rPr>
        <w:t xml:space="preserve">. הנוסח מבוסס </w:t>
      </w:r>
      <w:r w:rsidR="007F274B" w:rsidRPr="00706059">
        <w:rPr>
          <w:rFonts w:hint="cs"/>
          <w:rtl/>
        </w:rPr>
        <w:t xml:space="preserve">על העקרונות </w:t>
      </w:r>
      <w:r w:rsidR="008E716D" w:rsidRPr="00706059">
        <w:rPr>
          <w:rFonts w:hint="cs"/>
          <w:rtl/>
        </w:rPr>
        <w:t xml:space="preserve">שהוסכם עליהם במסגרת הטיפול בהסכמי </w:t>
      </w:r>
      <w:r w:rsidR="008E716D" w:rsidRPr="00706059">
        <w:t>BOT</w:t>
      </w:r>
      <w:r w:rsidR="007F274B" w:rsidRPr="00706059">
        <w:rPr>
          <w:rFonts w:hint="cs"/>
          <w:rtl/>
        </w:rPr>
        <w:t xml:space="preserve"> </w:t>
      </w:r>
      <w:r w:rsidR="008E716D" w:rsidRPr="00706059">
        <w:rPr>
          <w:rFonts w:hint="cs"/>
          <w:rtl/>
        </w:rPr>
        <w:t xml:space="preserve">לאורך השנים, </w:t>
      </w:r>
      <w:r w:rsidR="00503F46" w:rsidRPr="00706059">
        <w:rPr>
          <w:rFonts w:hint="cs"/>
          <w:rtl/>
        </w:rPr>
        <w:t>ו</w:t>
      </w:r>
      <w:r w:rsidR="007F274B" w:rsidRPr="00706059">
        <w:rPr>
          <w:rFonts w:hint="cs"/>
          <w:rtl/>
        </w:rPr>
        <w:t xml:space="preserve">תואם את </w:t>
      </w:r>
      <w:r w:rsidR="006540E5" w:rsidRPr="00706059">
        <w:rPr>
          <w:rFonts w:hint="cs"/>
          <w:rtl/>
        </w:rPr>
        <w:t>הנחיית היועץ המשפטי לממשלה מס' 6.1205 בעניין יישוב של סכסוכים שהמדינה צד להם באמצעות בוררות (להלן: "הנחיית היועץ")</w:t>
      </w:r>
      <w:r w:rsidR="007F274B" w:rsidRPr="00706059">
        <w:rPr>
          <w:rFonts w:hint="cs"/>
          <w:rtl/>
        </w:rPr>
        <w:t>.</w:t>
      </w:r>
    </w:p>
    <w:p w:rsidR="007F274B" w:rsidRPr="00706059" w:rsidRDefault="007F274B" w:rsidP="00E0059B">
      <w:pPr>
        <w:bidi/>
        <w:spacing w:line="360" w:lineRule="auto"/>
        <w:jc w:val="both"/>
        <w:rPr>
          <w:rtl/>
        </w:rPr>
      </w:pPr>
    </w:p>
    <w:p w:rsidR="0085409A" w:rsidRPr="00706059" w:rsidRDefault="007F274B" w:rsidP="0085409A">
      <w:pPr>
        <w:pStyle w:val="a3"/>
        <w:numPr>
          <w:ilvl w:val="0"/>
          <w:numId w:val="8"/>
        </w:numPr>
        <w:spacing w:line="360" w:lineRule="auto"/>
        <w:jc w:val="both"/>
      </w:pPr>
      <w:r w:rsidRPr="00706059">
        <w:rPr>
          <w:rFonts w:ascii="Times New Roman" w:hAnsi="Times New Roman" w:hint="cs"/>
          <w:rtl/>
        </w:rPr>
        <w:t>יובהר</w:t>
      </w:r>
      <w:r w:rsidR="00C71605" w:rsidRPr="00706059">
        <w:rPr>
          <w:rFonts w:ascii="Times New Roman" w:hAnsi="Times New Roman" w:hint="cs"/>
          <w:rtl/>
        </w:rPr>
        <w:t xml:space="preserve"> כבר עתה</w:t>
      </w:r>
      <w:r w:rsidRPr="00706059">
        <w:rPr>
          <w:rFonts w:hint="cs"/>
          <w:rtl/>
        </w:rPr>
        <w:t xml:space="preserve">, כי אישור כאמור של היועץ המשפטי לממשלה יאפשר </w:t>
      </w:r>
      <w:r w:rsidR="00DF04E0" w:rsidRPr="00706059">
        <w:rPr>
          <w:rFonts w:hint="cs"/>
          <w:rtl/>
        </w:rPr>
        <w:t xml:space="preserve">למשרד האוצר לעשות </w:t>
      </w:r>
      <w:r w:rsidRPr="00706059">
        <w:rPr>
          <w:rFonts w:hint="cs"/>
          <w:rtl/>
        </w:rPr>
        <w:t xml:space="preserve">שימוש </w:t>
      </w:r>
      <w:proofErr w:type="spellStart"/>
      <w:r w:rsidRPr="00706059">
        <w:rPr>
          <w:rFonts w:hint="cs"/>
          <w:rtl/>
        </w:rPr>
        <w:t>בתניית</w:t>
      </w:r>
      <w:proofErr w:type="spellEnd"/>
      <w:r w:rsidRPr="00706059">
        <w:rPr>
          <w:rFonts w:hint="cs"/>
          <w:rtl/>
        </w:rPr>
        <w:t xml:space="preserve"> הבוררות בהסכמי </w:t>
      </w:r>
      <w:r w:rsidRPr="00706059">
        <w:t xml:space="preserve">BOT </w:t>
      </w:r>
      <w:r w:rsidRPr="00706059">
        <w:rPr>
          <w:rFonts w:hint="cs"/>
          <w:rtl/>
        </w:rPr>
        <w:t xml:space="preserve"> </w:t>
      </w:r>
      <w:r w:rsidR="00DF04E0" w:rsidRPr="00706059">
        <w:rPr>
          <w:rFonts w:hint="cs"/>
          <w:rtl/>
        </w:rPr>
        <w:t xml:space="preserve">מבלי לקבל </w:t>
      </w:r>
      <w:r w:rsidR="00B00C2A" w:rsidRPr="00706059">
        <w:rPr>
          <w:rFonts w:hint="cs"/>
          <w:rtl/>
        </w:rPr>
        <w:t xml:space="preserve">את אישורו של היועץ המשפטי לממשלה </w:t>
      </w:r>
      <w:r w:rsidR="00DF04E0" w:rsidRPr="00706059">
        <w:rPr>
          <w:rFonts w:hint="cs"/>
          <w:rtl/>
        </w:rPr>
        <w:t xml:space="preserve">להסכם פרטני </w:t>
      </w:r>
      <w:r w:rsidR="00DF04E0" w:rsidRPr="00706059">
        <w:rPr>
          <w:rFonts w:hint="cs"/>
          <w:u w:val="single"/>
          <w:rtl/>
        </w:rPr>
        <w:t>אך ורק</w:t>
      </w:r>
      <w:r w:rsidR="00DF04E0" w:rsidRPr="00706059">
        <w:rPr>
          <w:rFonts w:hint="cs"/>
          <w:rtl/>
        </w:rPr>
        <w:t xml:space="preserve"> </w:t>
      </w:r>
      <w:r w:rsidRPr="00706059">
        <w:rPr>
          <w:rFonts w:hint="cs"/>
          <w:rtl/>
        </w:rPr>
        <w:t>בנוסחה המאושר</w:t>
      </w:r>
      <w:r w:rsidR="00B00C2A" w:rsidRPr="00706059">
        <w:rPr>
          <w:rFonts w:hint="cs"/>
          <w:rtl/>
        </w:rPr>
        <w:t xml:space="preserve"> של </w:t>
      </w:r>
      <w:proofErr w:type="spellStart"/>
      <w:r w:rsidR="00B00C2A" w:rsidRPr="00706059">
        <w:rPr>
          <w:rFonts w:hint="cs"/>
          <w:rtl/>
        </w:rPr>
        <w:t>תניית</w:t>
      </w:r>
      <w:proofErr w:type="spellEnd"/>
      <w:r w:rsidR="00B00C2A" w:rsidRPr="00706059">
        <w:rPr>
          <w:rFonts w:hint="cs"/>
          <w:rtl/>
        </w:rPr>
        <w:t xml:space="preserve"> הבוררות</w:t>
      </w:r>
      <w:r w:rsidR="00DF04E0" w:rsidRPr="00706059">
        <w:rPr>
          <w:rFonts w:hint="cs"/>
          <w:rtl/>
        </w:rPr>
        <w:t>. כלומר,</w:t>
      </w:r>
      <w:r w:rsidRPr="00706059">
        <w:rPr>
          <w:rFonts w:hint="cs"/>
          <w:rtl/>
        </w:rPr>
        <w:t xml:space="preserve"> כל שינוי </w:t>
      </w:r>
      <w:proofErr w:type="spellStart"/>
      <w:r w:rsidRPr="00706059">
        <w:rPr>
          <w:rFonts w:hint="cs"/>
          <w:rtl/>
        </w:rPr>
        <w:t>בתניית</w:t>
      </w:r>
      <w:proofErr w:type="spellEnd"/>
      <w:r w:rsidRPr="00706059">
        <w:rPr>
          <w:rFonts w:hint="cs"/>
          <w:rtl/>
        </w:rPr>
        <w:t xml:space="preserve"> </w:t>
      </w:r>
      <w:r w:rsidR="00DF04E0" w:rsidRPr="00706059">
        <w:rPr>
          <w:rFonts w:hint="cs"/>
          <w:rtl/>
        </w:rPr>
        <w:t>ה</w:t>
      </w:r>
      <w:r w:rsidRPr="00706059">
        <w:rPr>
          <w:rFonts w:hint="cs"/>
          <w:rtl/>
        </w:rPr>
        <w:t xml:space="preserve">בוררות </w:t>
      </w:r>
      <w:r w:rsidR="00DF04E0" w:rsidRPr="00706059">
        <w:rPr>
          <w:rFonts w:hint="cs"/>
          <w:rtl/>
        </w:rPr>
        <w:t xml:space="preserve">בהסכם פרטני </w:t>
      </w:r>
      <w:r w:rsidRPr="00706059">
        <w:rPr>
          <w:rFonts w:hint="cs"/>
          <w:rtl/>
        </w:rPr>
        <w:t xml:space="preserve">יחייב את קבלת אישורו </w:t>
      </w:r>
      <w:r w:rsidR="00B7796C" w:rsidRPr="00706059">
        <w:rPr>
          <w:rFonts w:hint="cs"/>
          <w:rtl/>
        </w:rPr>
        <w:t xml:space="preserve">המוקדם </w:t>
      </w:r>
      <w:r w:rsidRPr="00706059">
        <w:rPr>
          <w:rFonts w:hint="cs"/>
          <w:rtl/>
        </w:rPr>
        <w:t>של היועץ המשפטי לממשלה</w:t>
      </w:r>
      <w:r w:rsidR="00B7796C" w:rsidRPr="00706059">
        <w:rPr>
          <w:rFonts w:hint="cs"/>
          <w:rtl/>
        </w:rPr>
        <w:t>, בהתאם ל</w:t>
      </w:r>
      <w:r w:rsidRPr="00706059">
        <w:rPr>
          <w:rFonts w:hint="cs"/>
          <w:rtl/>
        </w:rPr>
        <w:t>הנחיית היועץ</w:t>
      </w:r>
      <w:r w:rsidR="00B7796C" w:rsidRPr="00706059">
        <w:rPr>
          <w:rFonts w:hint="cs"/>
          <w:rtl/>
        </w:rPr>
        <w:t xml:space="preserve"> בנושא</w:t>
      </w:r>
      <w:r w:rsidRPr="00706059">
        <w:rPr>
          <w:rFonts w:hint="cs"/>
          <w:rtl/>
        </w:rPr>
        <w:t>.</w:t>
      </w:r>
      <w:r w:rsidR="00F47013" w:rsidRPr="00706059">
        <w:rPr>
          <w:rFonts w:hint="cs"/>
          <w:rtl/>
        </w:rPr>
        <w:t xml:space="preserve"> זאת, למעט רשימה סגורה של </w:t>
      </w:r>
      <w:r w:rsidR="00503F46" w:rsidRPr="00706059">
        <w:rPr>
          <w:rFonts w:hint="cs"/>
          <w:rtl/>
        </w:rPr>
        <w:t>נושאים לא מהותיים</w:t>
      </w:r>
      <w:r w:rsidR="00980C75" w:rsidRPr="00706059">
        <w:rPr>
          <w:rStyle w:val="a9"/>
          <w:rtl/>
        </w:rPr>
        <w:footnoteReference w:id="3"/>
      </w:r>
      <w:r w:rsidR="00F47013" w:rsidRPr="00706059">
        <w:rPr>
          <w:rFonts w:hint="cs"/>
          <w:rtl/>
        </w:rPr>
        <w:t>, ש</w:t>
      </w:r>
      <w:r w:rsidR="0085409A" w:rsidRPr="00706059">
        <w:rPr>
          <w:rFonts w:hint="cs"/>
          <w:rtl/>
        </w:rPr>
        <w:t xml:space="preserve">לגביהם </w:t>
      </w:r>
      <w:r w:rsidR="00F47013" w:rsidRPr="00706059">
        <w:rPr>
          <w:rFonts w:hint="cs"/>
          <w:rtl/>
        </w:rPr>
        <w:t xml:space="preserve">מוצע לאפשר </w:t>
      </w:r>
      <w:r w:rsidR="0085409A" w:rsidRPr="00706059">
        <w:rPr>
          <w:rFonts w:hint="cs"/>
          <w:rtl/>
        </w:rPr>
        <w:t>ל</w:t>
      </w:r>
      <w:r w:rsidR="00503F46" w:rsidRPr="00706059">
        <w:rPr>
          <w:rFonts w:hint="cs"/>
          <w:rtl/>
        </w:rPr>
        <w:t>וועדת המכרזים</w:t>
      </w:r>
      <w:r w:rsidR="0085409A" w:rsidRPr="00706059">
        <w:rPr>
          <w:rFonts w:hint="cs"/>
          <w:rtl/>
        </w:rPr>
        <w:t xml:space="preserve"> גמישות לבצע בהם שינויים בכל מכרז ומכרז. שינויים אלה יהיו כפופים למגבלות שנקבעו בהערות השוליים שבנוסח ההסכם האחיד. במקרה שבו ועדת המכרזים תהיה מעוניינת לבצע שינויים</w:t>
      </w:r>
      <w:r w:rsidR="00980C75" w:rsidRPr="00706059">
        <w:rPr>
          <w:rFonts w:hint="cs"/>
          <w:rtl/>
        </w:rPr>
        <w:t xml:space="preserve"> לגבי מכרז מסוים</w:t>
      </w:r>
      <w:r w:rsidR="0085409A" w:rsidRPr="00706059">
        <w:rPr>
          <w:rFonts w:hint="cs"/>
          <w:rtl/>
        </w:rPr>
        <w:t xml:space="preserve">, יהיה עליה ליידע על כך את  </w:t>
      </w:r>
      <w:r w:rsidR="00980C75" w:rsidRPr="00706059">
        <w:rPr>
          <w:rFonts w:hint="cs"/>
          <w:rtl/>
        </w:rPr>
        <w:t>המשנה ליועץ המשפטי לממשלה (אזרחי) או מי מטעמו.</w:t>
      </w:r>
    </w:p>
    <w:p w:rsidR="00AB630D" w:rsidRPr="00706059" w:rsidRDefault="00AB630D" w:rsidP="00AB630D">
      <w:pPr>
        <w:pStyle w:val="a3"/>
        <w:rPr>
          <w:rtl/>
        </w:rPr>
      </w:pPr>
    </w:p>
    <w:p w:rsidR="00AB630D" w:rsidRPr="00706059" w:rsidRDefault="00AB630D" w:rsidP="001A3643">
      <w:pPr>
        <w:pStyle w:val="a3"/>
        <w:numPr>
          <w:ilvl w:val="0"/>
          <w:numId w:val="8"/>
        </w:numPr>
        <w:spacing w:line="360" w:lineRule="auto"/>
        <w:jc w:val="both"/>
      </w:pPr>
      <w:r w:rsidRPr="00706059">
        <w:rPr>
          <w:rFonts w:hint="cs"/>
          <w:rtl/>
        </w:rPr>
        <w:t>עוד יובהר, כי העברת</w:t>
      </w:r>
      <w:r w:rsidRPr="00706059">
        <w:rPr>
          <w:rtl/>
        </w:rPr>
        <w:t xml:space="preserve"> </w:t>
      </w:r>
      <w:r w:rsidRPr="00706059">
        <w:rPr>
          <w:rFonts w:hint="cs"/>
          <w:rtl/>
        </w:rPr>
        <w:t>מחלוקת</w:t>
      </w:r>
      <w:r w:rsidRPr="00706059">
        <w:rPr>
          <w:rtl/>
        </w:rPr>
        <w:t xml:space="preserve"> </w:t>
      </w:r>
      <w:r w:rsidRPr="00706059">
        <w:rPr>
          <w:rFonts w:hint="cs"/>
          <w:rtl/>
        </w:rPr>
        <w:t>ספציפית לבוררות</w:t>
      </w:r>
      <w:r w:rsidRPr="00706059">
        <w:rPr>
          <w:rtl/>
        </w:rPr>
        <w:t xml:space="preserve"> </w:t>
      </w:r>
      <w:r w:rsidRPr="00706059">
        <w:rPr>
          <w:rFonts w:hint="cs"/>
          <w:rtl/>
        </w:rPr>
        <w:t xml:space="preserve">לפי </w:t>
      </w:r>
      <w:proofErr w:type="spellStart"/>
      <w:r w:rsidR="00C04D24" w:rsidRPr="00706059">
        <w:rPr>
          <w:rFonts w:hint="cs"/>
          <w:rtl/>
        </w:rPr>
        <w:t>תניית</w:t>
      </w:r>
      <w:proofErr w:type="spellEnd"/>
      <w:r w:rsidR="00C04D24" w:rsidRPr="00706059">
        <w:rPr>
          <w:rFonts w:hint="cs"/>
          <w:rtl/>
        </w:rPr>
        <w:t xml:space="preserve"> </w:t>
      </w:r>
      <w:r w:rsidRPr="00706059">
        <w:rPr>
          <w:rFonts w:hint="cs"/>
          <w:rtl/>
        </w:rPr>
        <w:t xml:space="preserve">הבוררות </w:t>
      </w:r>
      <w:r w:rsidR="00C04D24" w:rsidRPr="00706059">
        <w:rPr>
          <w:rFonts w:hint="cs"/>
          <w:rtl/>
        </w:rPr>
        <w:t xml:space="preserve">בהסכמים השונים </w:t>
      </w:r>
      <w:r w:rsidRPr="00706059">
        <w:rPr>
          <w:rFonts w:hint="cs"/>
          <w:rtl/>
        </w:rPr>
        <w:t xml:space="preserve">תחייב </w:t>
      </w:r>
      <w:r w:rsidR="00C04D24" w:rsidRPr="00706059">
        <w:rPr>
          <w:rFonts w:hint="cs"/>
          <w:rtl/>
        </w:rPr>
        <w:t xml:space="preserve">את </w:t>
      </w:r>
      <w:r w:rsidRPr="00706059">
        <w:rPr>
          <w:rFonts w:hint="cs"/>
          <w:rtl/>
        </w:rPr>
        <w:t>קבלת אישור</w:t>
      </w:r>
      <w:r w:rsidR="00C04D24" w:rsidRPr="00706059">
        <w:rPr>
          <w:rFonts w:hint="cs"/>
          <w:rtl/>
        </w:rPr>
        <w:t>ו של</w:t>
      </w:r>
      <w:r w:rsidRPr="00706059">
        <w:rPr>
          <w:rtl/>
        </w:rPr>
        <w:t xml:space="preserve"> </w:t>
      </w:r>
      <w:r w:rsidRPr="00706059">
        <w:rPr>
          <w:rFonts w:hint="cs"/>
          <w:rtl/>
        </w:rPr>
        <w:t>היועץ</w:t>
      </w:r>
      <w:r w:rsidRPr="00706059">
        <w:rPr>
          <w:rtl/>
        </w:rPr>
        <w:t xml:space="preserve"> </w:t>
      </w:r>
      <w:r w:rsidRPr="00706059">
        <w:rPr>
          <w:rFonts w:hint="cs"/>
          <w:rtl/>
        </w:rPr>
        <w:t>המשפטי</w:t>
      </w:r>
      <w:r w:rsidRPr="00706059">
        <w:rPr>
          <w:rtl/>
        </w:rPr>
        <w:t xml:space="preserve"> </w:t>
      </w:r>
      <w:r w:rsidRPr="00706059">
        <w:rPr>
          <w:rFonts w:hint="cs"/>
          <w:rtl/>
        </w:rPr>
        <w:t>של</w:t>
      </w:r>
      <w:r w:rsidRPr="00706059">
        <w:rPr>
          <w:rtl/>
        </w:rPr>
        <w:t xml:space="preserve"> </w:t>
      </w:r>
      <w:r w:rsidRPr="00706059">
        <w:rPr>
          <w:rFonts w:hint="cs"/>
          <w:rtl/>
        </w:rPr>
        <w:t>משרד</w:t>
      </w:r>
      <w:r w:rsidRPr="00706059">
        <w:rPr>
          <w:rtl/>
        </w:rPr>
        <w:t xml:space="preserve"> </w:t>
      </w:r>
      <w:r w:rsidRPr="00706059">
        <w:rPr>
          <w:rFonts w:hint="cs"/>
          <w:rtl/>
        </w:rPr>
        <w:t>האוצר</w:t>
      </w:r>
      <w:r w:rsidRPr="00706059">
        <w:rPr>
          <w:rtl/>
        </w:rPr>
        <w:t xml:space="preserve">, </w:t>
      </w:r>
      <w:r w:rsidRPr="00706059">
        <w:rPr>
          <w:rFonts w:hint="cs"/>
          <w:rtl/>
        </w:rPr>
        <w:t>בהתייעצות</w:t>
      </w:r>
      <w:r w:rsidRPr="00706059">
        <w:rPr>
          <w:rtl/>
        </w:rPr>
        <w:t xml:space="preserve"> </w:t>
      </w:r>
      <w:r w:rsidRPr="00706059">
        <w:rPr>
          <w:rFonts w:hint="cs"/>
          <w:rtl/>
        </w:rPr>
        <w:t>עם</w:t>
      </w:r>
      <w:r w:rsidRPr="00706059">
        <w:rPr>
          <w:rtl/>
        </w:rPr>
        <w:t xml:space="preserve"> </w:t>
      </w:r>
      <w:r w:rsidRPr="00706059">
        <w:rPr>
          <w:rFonts w:hint="cs"/>
          <w:rtl/>
        </w:rPr>
        <w:t>הפרקליטות, וזאת בהתאם לכלל הקבוע ב</w:t>
      </w:r>
      <w:r w:rsidR="00C04D24" w:rsidRPr="00706059">
        <w:rPr>
          <w:rFonts w:hint="cs"/>
          <w:rtl/>
        </w:rPr>
        <w:t>ס' ה' ל</w:t>
      </w:r>
      <w:r w:rsidRPr="00706059">
        <w:rPr>
          <w:rFonts w:hint="cs"/>
          <w:rtl/>
        </w:rPr>
        <w:t>הנחיית היועץ.</w:t>
      </w:r>
    </w:p>
    <w:p w:rsidR="0085409A" w:rsidRPr="00706059" w:rsidRDefault="0085409A" w:rsidP="0085409A">
      <w:pPr>
        <w:pStyle w:val="a3"/>
        <w:rPr>
          <w:rtl/>
        </w:rPr>
      </w:pPr>
    </w:p>
    <w:p w:rsidR="007F274B" w:rsidRPr="00706059" w:rsidRDefault="001A7E7E" w:rsidP="00F81F15">
      <w:pPr>
        <w:pStyle w:val="a3"/>
        <w:numPr>
          <w:ilvl w:val="0"/>
          <w:numId w:val="13"/>
        </w:numPr>
        <w:spacing w:line="360" w:lineRule="auto"/>
        <w:jc w:val="both"/>
        <w:rPr>
          <w:rFonts w:ascii="Times New Roman" w:hAnsi="Times New Roman"/>
          <w:b/>
          <w:bCs/>
          <w:u w:val="single"/>
          <w:rtl/>
        </w:rPr>
      </w:pPr>
      <w:r w:rsidRPr="00706059">
        <w:rPr>
          <w:rFonts w:ascii="Times New Roman" w:hAnsi="Times New Roman" w:hint="cs"/>
          <w:b/>
          <w:bCs/>
          <w:u w:val="single"/>
          <w:rtl/>
        </w:rPr>
        <w:t>עיקרי</w:t>
      </w:r>
      <w:r w:rsidR="007F274B" w:rsidRPr="00706059">
        <w:rPr>
          <w:rFonts w:ascii="Times New Roman" w:hAnsi="Times New Roman" w:hint="cs"/>
          <w:b/>
          <w:bCs/>
          <w:u w:val="single"/>
          <w:rtl/>
        </w:rPr>
        <w:t xml:space="preserve"> </w:t>
      </w:r>
      <w:r w:rsidR="00F81F15" w:rsidRPr="00706059">
        <w:rPr>
          <w:rFonts w:ascii="Times New Roman" w:hAnsi="Times New Roman" w:hint="cs"/>
          <w:b/>
          <w:bCs/>
          <w:u w:val="single"/>
          <w:rtl/>
        </w:rPr>
        <w:t>מנגנון יישוב המחלוקות המוצע</w:t>
      </w:r>
      <w:r w:rsidR="007F274B" w:rsidRPr="00706059">
        <w:rPr>
          <w:rFonts w:ascii="Times New Roman" w:hAnsi="Times New Roman" w:hint="cs"/>
          <w:b/>
          <w:bCs/>
          <w:u w:val="single"/>
          <w:rtl/>
        </w:rPr>
        <w:t>:</w:t>
      </w:r>
    </w:p>
    <w:p w:rsidR="004C4B6D" w:rsidRPr="00706059" w:rsidRDefault="004C4B6D" w:rsidP="00E0059B">
      <w:pPr>
        <w:bidi/>
        <w:spacing w:line="360" w:lineRule="auto"/>
        <w:jc w:val="both"/>
        <w:rPr>
          <w:rFonts w:ascii="Times New Roman" w:hAnsi="Times New Roman"/>
          <w:u w:val="single"/>
          <w:rtl/>
        </w:rPr>
      </w:pPr>
    </w:p>
    <w:p w:rsidR="004C0067" w:rsidRPr="00706059" w:rsidRDefault="004C4B6D" w:rsidP="00876C48">
      <w:pPr>
        <w:pStyle w:val="a3"/>
        <w:numPr>
          <w:ilvl w:val="0"/>
          <w:numId w:val="8"/>
        </w:numPr>
        <w:spacing w:line="360" w:lineRule="auto"/>
        <w:jc w:val="both"/>
      </w:pPr>
      <w:r w:rsidRPr="00706059">
        <w:rPr>
          <w:rFonts w:hint="cs"/>
          <w:rtl/>
        </w:rPr>
        <w:t>מנגנון יישוב המחלוקות המוצע</w:t>
      </w:r>
      <w:r w:rsidR="00BE1886" w:rsidRPr="00706059">
        <w:rPr>
          <w:rFonts w:hint="cs"/>
          <w:rtl/>
        </w:rPr>
        <w:t xml:space="preserve">, אשר נוסחו המלא מצורף </w:t>
      </w:r>
      <w:r w:rsidR="00876C48" w:rsidRPr="00706059">
        <w:rPr>
          <w:rFonts w:hint="cs"/>
          <w:b/>
          <w:bCs/>
          <w:rtl/>
        </w:rPr>
        <w:t xml:space="preserve">כנספח 3 </w:t>
      </w:r>
      <w:r w:rsidR="00876C48" w:rsidRPr="00706059">
        <w:rPr>
          <w:rFonts w:hint="cs"/>
          <w:rtl/>
        </w:rPr>
        <w:t xml:space="preserve">לפניה </w:t>
      </w:r>
      <w:r w:rsidR="00BE1886" w:rsidRPr="00706059">
        <w:rPr>
          <w:rFonts w:hint="cs"/>
          <w:rtl/>
        </w:rPr>
        <w:t>זו</w:t>
      </w:r>
      <w:r w:rsidR="00257E6D" w:rsidRPr="00706059">
        <w:rPr>
          <w:rFonts w:hint="cs"/>
          <w:rtl/>
        </w:rPr>
        <w:t xml:space="preserve">, </w:t>
      </w:r>
      <w:r w:rsidR="003A2AF9" w:rsidRPr="00706059">
        <w:rPr>
          <w:rFonts w:hint="cs"/>
          <w:rtl/>
        </w:rPr>
        <w:t xml:space="preserve">מורכב </w:t>
      </w:r>
      <w:r w:rsidR="00C71605" w:rsidRPr="00706059">
        <w:rPr>
          <w:rFonts w:hint="cs"/>
          <w:rtl/>
        </w:rPr>
        <w:t>מארבעה</w:t>
      </w:r>
      <w:r w:rsidR="00257E6D" w:rsidRPr="00706059">
        <w:rPr>
          <w:rFonts w:hint="cs"/>
          <w:rtl/>
        </w:rPr>
        <w:t xml:space="preserve"> חלקים. </w:t>
      </w:r>
      <w:r w:rsidR="00257E6D" w:rsidRPr="00706059">
        <w:rPr>
          <w:rFonts w:hint="cs"/>
          <w:b/>
          <w:bCs/>
          <w:rtl/>
        </w:rPr>
        <w:t>החלק הראשון</w:t>
      </w:r>
      <w:r w:rsidR="00257E6D" w:rsidRPr="00706059">
        <w:rPr>
          <w:rFonts w:hint="cs"/>
          <w:rtl/>
        </w:rPr>
        <w:t xml:space="preserve"> עוסק בניהול מו"מ עובר </w:t>
      </w:r>
      <w:r w:rsidR="00721165" w:rsidRPr="00706059">
        <w:rPr>
          <w:rFonts w:hint="cs"/>
          <w:rtl/>
        </w:rPr>
        <w:t>ל</w:t>
      </w:r>
      <w:r w:rsidR="00257E6D" w:rsidRPr="00706059">
        <w:rPr>
          <w:rFonts w:hint="cs"/>
          <w:rtl/>
        </w:rPr>
        <w:t>פניה ל</w:t>
      </w:r>
      <w:r w:rsidR="00721165" w:rsidRPr="00706059">
        <w:rPr>
          <w:rFonts w:hint="cs"/>
          <w:rtl/>
        </w:rPr>
        <w:t>הכרעת צד שלישי</w:t>
      </w:r>
      <w:r w:rsidR="00257E6D" w:rsidRPr="00706059">
        <w:rPr>
          <w:rFonts w:hint="cs"/>
          <w:rtl/>
        </w:rPr>
        <w:t>, וקובע כי תחילה על הצדדים לנסות ליישב מחלוקות בדרכי נועם</w:t>
      </w:r>
      <w:r w:rsidR="001C0E7B" w:rsidRPr="00706059">
        <w:rPr>
          <w:rFonts w:hint="cs"/>
          <w:rtl/>
        </w:rPr>
        <w:t xml:space="preserve"> (ס' 2)</w:t>
      </w:r>
      <w:r w:rsidR="00257E6D" w:rsidRPr="00706059">
        <w:rPr>
          <w:rFonts w:hint="cs"/>
          <w:rtl/>
        </w:rPr>
        <w:t xml:space="preserve">. </w:t>
      </w:r>
      <w:r w:rsidR="00257E6D" w:rsidRPr="00706059">
        <w:rPr>
          <w:rFonts w:hint="cs"/>
          <w:b/>
          <w:bCs/>
          <w:rtl/>
        </w:rPr>
        <w:t>החלק השני</w:t>
      </w:r>
      <w:r w:rsidR="00257E6D" w:rsidRPr="00706059">
        <w:rPr>
          <w:rFonts w:hint="cs"/>
          <w:rtl/>
        </w:rPr>
        <w:t xml:space="preserve"> עוסק במומחה הבלתי תלוי (ס' 3),</w:t>
      </w:r>
      <w:r w:rsidR="00517969" w:rsidRPr="00706059">
        <w:rPr>
          <w:rFonts w:hint="cs"/>
          <w:rtl/>
        </w:rPr>
        <w:t xml:space="preserve"> ומרבית הוראותיו דומות לאלה שחלות על הבורר</w:t>
      </w:r>
      <w:r w:rsidR="00661C71" w:rsidRPr="00706059">
        <w:rPr>
          <w:rFonts w:hint="cs"/>
          <w:rtl/>
        </w:rPr>
        <w:t>, בשינויים המחויבים</w:t>
      </w:r>
      <w:r w:rsidR="00EA4813" w:rsidRPr="00706059">
        <w:rPr>
          <w:rFonts w:hint="cs"/>
          <w:rtl/>
        </w:rPr>
        <w:t>.</w:t>
      </w:r>
      <w:r w:rsidR="002636C1" w:rsidRPr="00706059">
        <w:rPr>
          <w:rFonts w:hint="cs"/>
          <w:rtl/>
        </w:rPr>
        <w:t xml:space="preserve"> הכללת מומחה בלתי תלוי במנגנון יישוב המחלוקות תיוותר אופציונלית ותיקבע </w:t>
      </w:r>
      <w:r w:rsidR="00C71605" w:rsidRPr="00706059">
        <w:rPr>
          <w:rFonts w:hint="cs"/>
          <w:rtl/>
        </w:rPr>
        <w:t xml:space="preserve">לגבי </w:t>
      </w:r>
      <w:r w:rsidR="002636C1" w:rsidRPr="00706059">
        <w:rPr>
          <w:rFonts w:hint="cs"/>
          <w:rtl/>
        </w:rPr>
        <w:t>כל מכרז לגופו.</w:t>
      </w:r>
      <w:r w:rsidR="00257E6D" w:rsidRPr="00706059">
        <w:rPr>
          <w:rFonts w:hint="cs"/>
          <w:rtl/>
        </w:rPr>
        <w:t xml:space="preserve"> </w:t>
      </w:r>
      <w:r w:rsidR="00257E6D" w:rsidRPr="00706059">
        <w:rPr>
          <w:rFonts w:hint="cs"/>
          <w:b/>
          <w:bCs/>
          <w:rtl/>
        </w:rPr>
        <w:t>החלק השלישי</w:t>
      </w:r>
      <w:r w:rsidR="00257E6D" w:rsidRPr="00706059">
        <w:rPr>
          <w:rFonts w:hint="cs"/>
          <w:rtl/>
        </w:rPr>
        <w:t xml:space="preserve"> עוסק בבוררות</w:t>
      </w:r>
      <w:r w:rsidR="001C0E7B" w:rsidRPr="00706059">
        <w:rPr>
          <w:rFonts w:hint="cs"/>
          <w:rtl/>
        </w:rPr>
        <w:t xml:space="preserve"> (ס' 4)</w:t>
      </w:r>
      <w:r w:rsidR="001E1861" w:rsidRPr="00706059">
        <w:rPr>
          <w:rFonts w:hint="cs"/>
          <w:rtl/>
        </w:rPr>
        <w:t xml:space="preserve"> ו</w:t>
      </w:r>
      <w:r w:rsidR="001E1861" w:rsidRPr="00706059">
        <w:rPr>
          <w:rFonts w:hint="cs"/>
          <w:b/>
          <w:bCs/>
          <w:rtl/>
        </w:rPr>
        <w:t>הרביעי</w:t>
      </w:r>
      <w:r w:rsidR="001E1861" w:rsidRPr="00706059">
        <w:rPr>
          <w:rFonts w:hint="cs"/>
          <w:rtl/>
        </w:rPr>
        <w:t xml:space="preserve"> בהוראות</w:t>
      </w:r>
      <w:r w:rsidR="001E1861" w:rsidRPr="00706059">
        <w:rPr>
          <w:rtl/>
        </w:rPr>
        <w:t xml:space="preserve"> </w:t>
      </w:r>
      <w:r w:rsidR="001E1861" w:rsidRPr="00706059">
        <w:rPr>
          <w:rFonts w:hint="cs"/>
          <w:rtl/>
        </w:rPr>
        <w:t>כלליות</w:t>
      </w:r>
      <w:r w:rsidR="001E1861" w:rsidRPr="00706059">
        <w:rPr>
          <w:rtl/>
        </w:rPr>
        <w:t xml:space="preserve"> </w:t>
      </w:r>
      <w:r w:rsidR="001E1861" w:rsidRPr="00706059">
        <w:rPr>
          <w:rFonts w:hint="cs"/>
          <w:rtl/>
        </w:rPr>
        <w:t>בנוגע</w:t>
      </w:r>
      <w:r w:rsidR="001E1861" w:rsidRPr="00706059">
        <w:rPr>
          <w:rtl/>
        </w:rPr>
        <w:t xml:space="preserve"> </w:t>
      </w:r>
      <w:r w:rsidR="001E1861" w:rsidRPr="00706059">
        <w:rPr>
          <w:rFonts w:hint="cs"/>
          <w:rtl/>
        </w:rPr>
        <w:t>ליישוב</w:t>
      </w:r>
      <w:r w:rsidR="001E1861" w:rsidRPr="00706059">
        <w:rPr>
          <w:rtl/>
        </w:rPr>
        <w:t xml:space="preserve"> </w:t>
      </w:r>
      <w:r w:rsidR="001E1861" w:rsidRPr="00706059">
        <w:rPr>
          <w:rFonts w:hint="cs"/>
          <w:rtl/>
        </w:rPr>
        <w:t>מחלוקות (ס' 5).</w:t>
      </w:r>
      <w:r w:rsidR="008C487C" w:rsidRPr="00706059">
        <w:rPr>
          <w:rFonts w:hint="cs"/>
          <w:rtl/>
        </w:rPr>
        <w:t xml:space="preserve"> להלן יובאו עיקרי מנגנון יישוב המחלוקות. באשר לחלק השני, העוסק במומחה הבלתי תלוי, יתוארו עיקרי ההוראות שאינן מופיעות בחלק השלישי</w:t>
      </w:r>
      <w:r w:rsidR="00C71605" w:rsidRPr="00706059">
        <w:rPr>
          <w:rFonts w:hint="cs"/>
          <w:rtl/>
        </w:rPr>
        <w:t>, שכן כאמור מרבית ההוראות שעוסקות במומחה הבלתי תלוי חלות גם על הבורר</w:t>
      </w:r>
      <w:r w:rsidR="00FC752B" w:rsidRPr="00706059">
        <w:rPr>
          <w:rFonts w:hint="cs"/>
          <w:rtl/>
        </w:rPr>
        <w:t>, ואלה יפורטו בחלק שעוסק בבורר</w:t>
      </w:r>
      <w:r w:rsidR="008C487C" w:rsidRPr="00706059">
        <w:rPr>
          <w:rFonts w:hint="cs"/>
          <w:rtl/>
        </w:rPr>
        <w:t>.</w:t>
      </w:r>
    </w:p>
    <w:p w:rsidR="00B84C47" w:rsidRPr="00706059" w:rsidRDefault="00B84C47" w:rsidP="00E0059B">
      <w:pPr>
        <w:pStyle w:val="a3"/>
        <w:spacing w:line="360" w:lineRule="auto"/>
        <w:ind w:left="360"/>
        <w:jc w:val="both"/>
        <w:rPr>
          <w:rtl/>
        </w:rPr>
      </w:pPr>
    </w:p>
    <w:p w:rsidR="00517969" w:rsidRPr="00706059" w:rsidRDefault="008C487C" w:rsidP="004266CD">
      <w:pPr>
        <w:bidi/>
        <w:spacing w:line="360" w:lineRule="auto"/>
        <w:ind w:firstLine="360"/>
        <w:jc w:val="both"/>
        <w:rPr>
          <w:u w:val="single"/>
          <w:rtl/>
        </w:rPr>
      </w:pPr>
      <w:r w:rsidRPr="00706059">
        <w:rPr>
          <w:rFonts w:hint="cs"/>
          <w:u w:val="single"/>
          <w:rtl/>
        </w:rPr>
        <w:t xml:space="preserve">חלק שני </w:t>
      </w:r>
      <w:r w:rsidRPr="00706059">
        <w:rPr>
          <w:u w:val="single"/>
          <w:rtl/>
        </w:rPr>
        <w:t>–</w:t>
      </w:r>
      <w:r w:rsidRPr="00706059">
        <w:rPr>
          <w:rFonts w:hint="cs"/>
          <w:u w:val="single"/>
          <w:rtl/>
        </w:rPr>
        <w:t xml:space="preserve"> </w:t>
      </w:r>
      <w:r w:rsidR="00517969" w:rsidRPr="00706059">
        <w:rPr>
          <w:rFonts w:hint="cs"/>
          <w:u w:val="single"/>
          <w:rtl/>
        </w:rPr>
        <w:t>המומחה הבלתי תלוי:</w:t>
      </w:r>
    </w:p>
    <w:p w:rsidR="00840EFC" w:rsidRPr="00706059" w:rsidRDefault="00210D25" w:rsidP="0032423F">
      <w:pPr>
        <w:pStyle w:val="a3"/>
        <w:numPr>
          <w:ilvl w:val="0"/>
          <w:numId w:val="8"/>
        </w:numPr>
        <w:spacing w:line="360" w:lineRule="auto"/>
        <w:jc w:val="both"/>
      </w:pPr>
      <w:r w:rsidRPr="00706059">
        <w:rPr>
          <w:rFonts w:hint="cs"/>
          <w:b/>
          <w:bCs/>
          <w:rtl/>
        </w:rPr>
        <w:t>היקף סמכות המומחה</w:t>
      </w:r>
      <w:r w:rsidRPr="00706059">
        <w:rPr>
          <w:rFonts w:hint="cs"/>
          <w:rtl/>
        </w:rPr>
        <w:t xml:space="preserve">- </w:t>
      </w:r>
      <w:r w:rsidR="00517969" w:rsidRPr="00706059">
        <w:rPr>
          <w:rFonts w:hint="cs"/>
          <w:rtl/>
        </w:rPr>
        <w:t>המומחה ידון במחלוקות מקצועיות</w:t>
      </w:r>
      <w:r w:rsidRPr="00706059">
        <w:rPr>
          <w:rFonts w:hint="cs"/>
          <w:rtl/>
        </w:rPr>
        <w:t xml:space="preserve"> בשלב ההקמה, בנושאים המקצו</w:t>
      </w:r>
      <w:r w:rsidR="00840EFC" w:rsidRPr="00706059">
        <w:rPr>
          <w:rFonts w:hint="cs"/>
          <w:rtl/>
        </w:rPr>
        <w:t xml:space="preserve">עיים </w:t>
      </w:r>
      <w:r w:rsidR="0032423F" w:rsidRPr="00706059">
        <w:rPr>
          <w:rFonts w:hint="cs"/>
          <w:rtl/>
        </w:rPr>
        <w:t>המפורטים בסעיף 3.1.1</w:t>
      </w:r>
      <w:r w:rsidR="00517969" w:rsidRPr="00706059">
        <w:rPr>
          <w:rFonts w:hint="cs"/>
          <w:rtl/>
        </w:rPr>
        <w:t>,</w:t>
      </w:r>
      <w:r w:rsidR="00242CEB" w:rsidRPr="00706059">
        <w:rPr>
          <w:rFonts w:hint="cs"/>
          <w:rtl/>
        </w:rPr>
        <w:t xml:space="preserve"> ולא ידון במחלוקות משפטיות; </w:t>
      </w:r>
      <w:r w:rsidR="00242CEB" w:rsidRPr="00706059">
        <w:rPr>
          <w:rFonts w:ascii="David" w:hAnsi="David"/>
          <w:rtl/>
        </w:rPr>
        <w:t xml:space="preserve">המומחה יהיה רשאי </w:t>
      </w:r>
      <w:proofErr w:type="spellStart"/>
      <w:r w:rsidR="00242CEB" w:rsidRPr="00706059">
        <w:rPr>
          <w:rFonts w:ascii="David" w:hAnsi="David"/>
          <w:rtl/>
        </w:rPr>
        <w:t>ליתן</w:t>
      </w:r>
      <w:proofErr w:type="spellEnd"/>
      <w:r w:rsidR="00242CEB" w:rsidRPr="00706059">
        <w:rPr>
          <w:rFonts w:ascii="David" w:hAnsi="David"/>
          <w:rtl/>
        </w:rPr>
        <w:t xml:space="preserve"> הארכות </w:t>
      </w:r>
      <w:r w:rsidR="00242CEB" w:rsidRPr="00706059">
        <w:rPr>
          <w:rFonts w:ascii="David" w:hAnsi="David" w:hint="cs"/>
          <w:rtl/>
        </w:rPr>
        <w:t>ל</w:t>
      </w:r>
      <w:r w:rsidR="00242CEB" w:rsidRPr="00706059">
        <w:rPr>
          <w:rFonts w:ascii="David" w:hAnsi="David"/>
          <w:rtl/>
        </w:rPr>
        <w:t xml:space="preserve">לוח הזמנים </w:t>
      </w:r>
      <w:r w:rsidR="00242CEB" w:rsidRPr="00706059">
        <w:rPr>
          <w:rFonts w:ascii="David" w:hAnsi="David" w:hint="cs"/>
          <w:rtl/>
        </w:rPr>
        <w:t>המפורט</w:t>
      </w:r>
      <w:r w:rsidR="0032423F" w:rsidRPr="00706059">
        <w:rPr>
          <w:rStyle w:val="a9"/>
          <w:rFonts w:ascii="David" w:hAnsi="David"/>
          <w:rtl/>
        </w:rPr>
        <w:footnoteReference w:id="4"/>
      </w:r>
      <w:r w:rsidR="00242CEB" w:rsidRPr="00706059">
        <w:rPr>
          <w:rFonts w:ascii="David" w:hAnsi="David" w:hint="cs"/>
          <w:rtl/>
        </w:rPr>
        <w:t xml:space="preserve"> ו</w:t>
      </w:r>
      <w:r w:rsidR="00242CEB" w:rsidRPr="00706059">
        <w:rPr>
          <w:rFonts w:ascii="David" w:hAnsi="David"/>
          <w:rtl/>
        </w:rPr>
        <w:t xml:space="preserve">כל הוראה אחרת </w:t>
      </w:r>
      <w:r w:rsidR="00242CEB" w:rsidRPr="00706059">
        <w:rPr>
          <w:rFonts w:ascii="David" w:hAnsi="David" w:hint="cs"/>
          <w:rtl/>
        </w:rPr>
        <w:t xml:space="preserve">לפי שיקול דעתו, </w:t>
      </w:r>
      <w:r w:rsidR="00242CEB" w:rsidRPr="00706059">
        <w:rPr>
          <w:rFonts w:ascii="David" w:hAnsi="David"/>
          <w:rtl/>
        </w:rPr>
        <w:t xml:space="preserve">אולם לא יהיה מוסמך </w:t>
      </w:r>
      <w:proofErr w:type="spellStart"/>
      <w:r w:rsidR="00242CEB" w:rsidRPr="00706059">
        <w:rPr>
          <w:rFonts w:ascii="David" w:hAnsi="David"/>
          <w:rtl/>
        </w:rPr>
        <w:t>ליתן</w:t>
      </w:r>
      <w:proofErr w:type="spellEnd"/>
      <w:r w:rsidR="00242CEB" w:rsidRPr="00706059">
        <w:rPr>
          <w:rFonts w:ascii="David" w:hAnsi="David"/>
          <w:rtl/>
        </w:rPr>
        <w:t xml:space="preserve"> סעדים זמניים וסעדי ביניים</w:t>
      </w:r>
      <w:r w:rsidR="00242CEB" w:rsidRPr="00706059">
        <w:rPr>
          <w:rFonts w:ascii="David" w:hAnsi="David" w:hint="cs"/>
          <w:rtl/>
        </w:rPr>
        <w:t xml:space="preserve"> (ס' 3.3.4).</w:t>
      </w:r>
    </w:p>
    <w:p w:rsidR="00242CEB" w:rsidRPr="00706059" w:rsidRDefault="00242CEB" w:rsidP="00242CEB">
      <w:pPr>
        <w:pStyle w:val="a3"/>
        <w:spacing w:line="360" w:lineRule="auto"/>
        <w:ind w:left="360"/>
        <w:jc w:val="both"/>
      </w:pPr>
    </w:p>
    <w:p w:rsidR="00840EFC" w:rsidRPr="00706059" w:rsidRDefault="00840EFC" w:rsidP="00210D25">
      <w:pPr>
        <w:pStyle w:val="a3"/>
        <w:numPr>
          <w:ilvl w:val="0"/>
          <w:numId w:val="8"/>
        </w:numPr>
        <w:spacing w:line="360" w:lineRule="auto"/>
        <w:jc w:val="both"/>
      </w:pPr>
      <w:r w:rsidRPr="00706059">
        <w:rPr>
          <w:rFonts w:hint="cs"/>
          <w:b/>
          <w:bCs/>
          <w:rtl/>
        </w:rPr>
        <w:t>תחום עיסוקו של המומחה</w:t>
      </w:r>
      <w:r w:rsidRPr="00706059">
        <w:rPr>
          <w:rFonts w:hint="cs"/>
          <w:rtl/>
        </w:rPr>
        <w:t>- המומחה יהיה מהנדס בהכשרתו (ס' 3.2.1).</w:t>
      </w:r>
    </w:p>
    <w:p w:rsidR="00242CEB" w:rsidRPr="00706059" w:rsidRDefault="00242CEB" w:rsidP="00242CEB">
      <w:pPr>
        <w:pStyle w:val="a3"/>
        <w:spacing w:line="360" w:lineRule="auto"/>
        <w:ind w:left="360"/>
        <w:jc w:val="both"/>
      </w:pPr>
    </w:p>
    <w:p w:rsidR="00242CEB" w:rsidRPr="00706059" w:rsidRDefault="00840EFC" w:rsidP="00280C84">
      <w:pPr>
        <w:pStyle w:val="a3"/>
        <w:numPr>
          <w:ilvl w:val="0"/>
          <w:numId w:val="8"/>
        </w:numPr>
        <w:spacing w:line="360" w:lineRule="auto"/>
        <w:jc w:val="both"/>
      </w:pPr>
      <w:r w:rsidRPr="00706059">
        <w:rPr>
          <w:rFonts w:hint="cs"/>
          <w:b/>
          <w:bCs/>
          <w:rtl/>
        </w:rPr>
        <w:t>מינוי המומחה</w:t>
      </w:r>
      <w:r w:rsidRPr="00706059">
        <w:rPr>
          <w:rFonts w:hint="cs"/>
          <w:rtl/>
        </w:rPr>
        <w:t>- ימונה ע"י הצדדים</w:t>
      </w:r>
      <w:r w:rsidR="003C2FF4" w:rsidRPr="00706059">
        <w:rPr>
          <w:rFonts w:hint="cs"/>
          <w:rtl/>
        </w:rPr>
        <w:t xml:space="preserve"> על פי המנגנון הקבוע</w:t>
      </w:r>
      <w:r w:rsidRPr="00706059">
        <w:rPr>
          <w:rFonts w:hint="cs"/>
          <w:rtl/>
        </w:rPr>
        <w:t xml:space="preserve"> </w:t>
      </w:r>
      <w:r w:rsidR="00517969" w:rsidRPr="00706059">
        <w:rPr>
          <w:rFonts w:hint="cs"/>
          <w:rtl/>
        </w:rPr>
        <w:t>בהסכם</w:t>
      </w:r>
      <w:r w:rsidR="00280C84" w:rsidRPr="00706059">
        <w:rPr>
          <w:rFonts w:hint="cs"/>
          <w:rtl/>
        </w:rPr>
        <w:t>. בהעדר הסכמה בין הצדדים, המומחה ימונה ע"י הבורר, וככל שהאחרון טרם מונה בשלב מינוי המומחה, ימונה המומחה ע"י נשיא ביהמ"ש המחוזי בירושלים</w:t>
      </w:r>
      <w:r w:rsidR="00242CEB" w:rsidRPr="00706059">
        <w:rPr>
          <w:rFonts w:hint="cs"/>
          <w:rtl/>
        </w:rPr>
        <w:t>.</w:t>
      </w:r>
    </w:p>
    <w:p w:rsidR="00242CEB" w:rsidRPr="00706059" w:rsidRDefault="00242CEB" w:rsidP="00242CEB">
      <w:pPr>
        <w:pStyle w:val="a3"/>
        <w:spacing w:line="360" w:lineRule="auto"/>
        <w:ind w:left="360"/>
        <w:jc w:val="both"/>
        <w:rPr>
          <w:rtl/>
        </w:rPr>
      </w:pPr>
    </w:p>
    <w:p w:rsidR="00517969" w:rsidRPr="00706059" w:rsidRDefault="00042638" w:rsidP="00042638">
      <w:pPr>
        <w:pStyle w:val="a3"/>
        <w:numPr>
          <w:ilvl w:val="0"/>
          <w:numId w:val="8"/>
        </w:numPr>
        <w:spacing w:line="360" w:lineRule="auto"/>
        <w:jc w:val="both"/>
        <w:rPr>
          <w:rtl/>
        </w:rPr>
      </w:pPr>
      <w:r w:rsidRPr="00706059">
        <w:rPr>
          <w:rFonts w:hint="cs"/>
          <w:b/>
          <w:bCs/>
          <w:rtl/>
        </w:rPr>
        <w:t>ערעור</w:t>
      </w:r>
      <w:r w:rsidRPr="00706059">
        <w:rPr>
          <w:rFonts w:hint="cs"/>
          <w:rtl/>
        </w:rPr>
        <w:t xml:space="preserve">- </w:t>
      </w:r>
      <w:r w:rsidR="00517969" w:rsidRPr="00706059">
        <w:rPr>
          <w:rFonts w:hint="cs"/>
          <w:rtl/>
        </w:rPr>
        <w:t xml:space="preserve">ניתן לערער על החלטותיו </w:t>
      </w:r>
      <w:r w:rsidRPr="00706059">
        <w:rPr>
          <w:rFonts w:hint="cs"/>
          <w:rtl/>
        </w:rPr>
        <w:t xml:space="preserve">של המומחה </w:t>
      </w:r>
      <w:r w:rsidR="008C487C" w:rsidRPr="00706059">
        <w:rPr>
          <w:rFonts w:hint="cs"/>
          <w:rtl/>
        </w:rPr>
        <w:t>לבורר.</w:t>
      </w:r>
    </w:p>
    <w:p w:rsidR="00517969" w:rsidRPr="00706059" w:rsidRDefault="00517969" w:rsidP="00517969">
      <w:pPr>
        <w:bidi/>
        <w:spacing w:line="360" w:lineRule="auto"/>
        <w:jc w:val="both"/>
        <w:rPr>
          <w:u w:val="single"/>
          <w:rtl/>
        </w:rPr>
      </w:pPr>
    </w:p>
    <w:p w:rsidR="008C487C" w:rsidRPr="00706059" w:rsidRDefault="008C487C" w:rsidP="00341E17">
      <w:pPr>
        <w:bidi/>
        <w:spacing w:line="360" w:lineRule="auto"/>
        <w:ind w:firstLine="360"/>
        <w:jc w:val="both"/>
        <w:rPr>
          <w:u w:val="single"/>
          <w:rtl/>
        </w:rPr>
      </w:pPr>
      <w:r w:rsidRPr="00706059">
        <w:rPr>
          <w:rFonts w:hint="cs"/>
          <w:u w:val="single"/>
          <w:rtl/>
        </w:rPr>
        <w:t xml:space="preserve">חלק שלישי </w:t>
      </w:r>
      <w:r w:rsidR="00341E17" w:rsidRPr="00706059">
        <w:rPr>
          <w:rFonts w:hint="cs"/>
          <w:u w:val="single"/>
          <w:rtl/>
        </w:rPr>
        <w:t>ורביעי</w:t>
      </w:r>
      <w:r w:rsidRPr="00706059">
        <w:rPr>
          <w:u w:val="single"/>
          <w:rtl/>
        </w:rPr>
        <w:t>–</w:t>
      </w:r>
      <w:r w:rsidRPr="00706059">
        <w:rPr>
          <w:rFonts w:hint="cs"/>
          <w:u w:val="single"/>
          <w:rtl/>
        </w:rPr>
        <w:t xml:space="preserve"> מנגנון הבוררות</w:t>
      </w:r>
      <w:r w:rsidR="00341E17" w:rsidRPr="00706059">
        <w:rPr>
          <w:rFonts w:hint="cs"/>
          <w:u w:val="single"/>
          <w:rtl/>
        </w:rPr>
        <w:t xml:space="preserve"> והוראות כלליות</w:t>
      </w:r>
    </w:p>
    <w:p w:rsidR="001C0E7B" w:rsidRPr="00706059" w:rsidRDefault="000224F7" w:rsidP="00D4615B">
      <w:pPr>
        <w:pStyle w:val="a3"/>
        <w:numPr>
          <w:ilvl w:val="0"/>
          <w:numId w:val="8"/>
        </w:numPr>
        <w:spacing w:line="360" w:lineRule="auto"/>
        <w:jc w:val="both"/>
      </w:pPr>
      <w:r w:rsidRPr="00706059">
        <w:rPr>
          <w:rFonts w:hint="cs"/>
          <w:b/>
          <w:bCs/>
          <w:rtl/>
        </w:rPr>
        <w:t>היקף סמכות הבורר</w:t>
      </w:r>
      <w:r w:rsidR="006D45D8" w:rsidRPr="00706059">
        <w:rPr>
          <w:rFonts w:hint="cs"/>
          <w:rtl/>
        </w:rPr>
        <w:t xml:space="preserve">- </w:t>
      </w:r>
      <w:r w:rsidR="006D45D8" w:rsidRPr="00706059">
        <w:rPr>
          <w:rtl/>
        </w:rPr>
        <w:t xml:space="preserve">כל </w:t>
      </w:r>
      <w:r w:rsidR="006D45D8" w:rsidRPr="00706059">
        <w:rPr>
          <w:rFonts w:hint="cs"/>
          <w:rtl/>
        </w:rPr>
        <w:t xml:space="preserve">מחלוקת בין הצדדים הנוגעת להסכם, אשר לא </w:t>
      </w:r>
      <w:r w:rsidR="006D45D8" w:rsidRPr="00706059">
        <w:rPr>
          <w:rtl/>
        </w:rPr>
        <w:t>הוסדר</w:t>
      </w:r>
      <w:r w:rsidR="006D45D8" w:rsidRPr="00706059">
        <w:rPr>
          <w:rFonts w:hint="cs"/>
          <w:rtl/>
        </w:rPr>
        <w:t>ה</w:t>
      </w:r>
      <w:r w:rsidR="006D45D8" w:rsidRPr="00706059">
        <w:rPr>
          <w:rtl/>
        </w:rPr>
        <w:t xml:space="preserve"> במשא ומתן בין הצדדים ו</w:t>
      </w:r>
      <w:r w:rsidR="006D45D8" w:rsidRPr="00706059">
        <w:rPr>
          <w:rFonts w:hint="cs"/>
          <w:rtl/>
        </w:rPr>
        <w:t xml:space="preserve">לא </w:t>
      </w:r>
      <w:r w:rsidR="006D45D8" w:rsidRPr="00706059">
        <w:rPr>
          <w:rtl/>
        </w:rPr>
        <w:t>הופנ</w:t>
      </w:r>
      <w:r w:rsidR="006D45D8" w:rsidRPr="00706059">
        <w:rPr>
          <w:rFonts w:hint="cs"/>
          <w:rtl/>
        </w:rPr>
        <w:t>ת</w:t>
      </w:r>
      <w:r w:rsidR="006D45D8" w:rsidRPr="00706059">
        <w:rPr>
          <w:rtl/>
        </w:rPr>
        <w:t>ה להכרעת המ</w:t>
      </w:r>
      <w:r w:rsidR="006D45D8" w:rsidRPr="00706059">
        <w:rPr>
          <w:rFonts w:hint="cs"/>
          <w:rtl/>
        </w:rPr>
        <w:t>ומחה</w:t>
      </w:r>
      <w:r w:rsidR="006D45D8" w:rsidRPr="00706059">
        <w:rPr>
          <w:rtl/>
        </w:rPr>
        <w:t xml:space="preserve"> הבלתי תלוי בהתאם, </w:t>
      </w:r>
      <w:r w:rsidR="006D45D8" w:rsidRPr="00706059">
        <w:rPr>
          <w:rFonts w:hint="cs"/>
          <w:rtl/>
        </w:rPr>
        <w:t>וכן עניינים אשר נמסרו בהסכם להכרעת הבורר</w:t>
      </w:r>
      <w:r w:rsidR="002A792E" w:rsidRPr="00706059">
        <w:rPr>
          <w:rFonts w:hint="cs"/>
          <w:rtl/>
        </w:rPr>
        <w:t xml:space="preserve"> (כלומר, עניינים שלגביהם לא התעוררה מחלוקת</w:t>
      </w:r>
      <w:r w:rsidR="005227F4" w:rsidRPr="00706059">
        <w:rPr>
          <w:rFonts w:hint="cs"/>
          <w:rtl/>
        </w:rPr>
        <w:t xml:space="preserve"> אך בכל זאת נקבעה בהסכם מעורבותו של הבורר</w:t>
      </w:r>
      <w:r w:rsidR="0050594C" w:rsidRPr="00706059">
        <w:rPr>
          <w:rStyle w:val="a9"/>
          <w:rtl/>
        </w:rPr>
        <w:footnoteReference w:id="5"/>
      </w:r>
      <w:r w:rsidR="002A792E" w:rsidRPr="00706059">
        <w:rPr>
          <w:rFonts w:hint="cs"/>
          <w:rtl/>
        </w:rPr>
        <w:t>)</w:t>
      </w:r>
      <w:r w:rsidR="006D45D8" w:rsidRPr="00706059">
        <w:rPr>
          <w:rFonts w:hint="cs"/>
          <w:rtl/>
        </w:rPr>
        <w:t xml:space="preserve">, תוכרע על ידי </w:t>
      </w:r>
      <w:r w:rsidR="006D45D8" w:rsidRPr="00706059">
        <w:rPr>
          <w:rtl/>
        </w:rPr>
        <w:t>הבורר</w:t>
      </w:r>
      <w:r w:rsidR="006D45D8" w:rsidRPr="00706059">
        <w:rPr>
          <w:rFonts w:hint="cs"/>
          <w:rtl/>
        </w:rPr>
        <w:t>.</w:t>
      </w:r>
      <w:r w:rsidR="00380B33" w:rsidRPr="00706059">
        <w:rPr>
          <w:rFonts w:hint="cs"/>
          <w:rtl/>
        </w:rPr>
        <w:t xml:space="preserve"> </w:t>
      </w:r>
      <w:r w:rsidR="00D4615B">
        <w:rPr>
          <w:rFonts w:hint="cs"/>
          <w:rtl/>
        </w:rPr>
        <w:t>בהמשך לכך,</w:t>
      </w:r>
      <w:r w:rsidR="001C0ABB" w:rsidRPr="00706059">
        <w:rPr>
          <w:rFonts w:hint="cs"/>
          <w:rtl/>
        </w:rPr>
        <w:t xml:space="preserve"> הבורר יכריע </w:t>
      </w:r>
      <w:r w:rsidR="00AF7856" w:rsidRPr="00706059">
        <w:rPr>
          <w:rFonts w:hint="cs"/>
          <w:rtl/>
        </w:rPr>
        <w:t>ב</w:t>
      </w:r>
      <w:r w:rsidR="001C0ABB" w:rsidRPr="00706059">
        <w:rPr>
          <w:rFonts w:hint="cs"/>
          <w:rtl/>
        </w:rPr>
        <w:t xml:space="preserve">שאלה האם מחלוקת מסוימת מצויה בתחום סמכותו של הבורר או המומחה הבלתי תלוי. על אף האמור, סמכויותיו של הבורר לא יכללו את </w:t>
      </w:r>
      <w:r w:rsidR="00380B33" w:rsidRPr="00706059">
        <w:rPr>
          <w:rFonts w:hint="cs"/>
          <w:rtl/>
        </w:rPr>
        <w:t>הנושאים המוחרגים בס' 5.1 להסכם</w:t>
      </w:r>
      <w:r w:rsidR="00DD1EE8" w:rsidRPr="00706059">
        <w:rPr>
          <w:rFonts w:hint="cs"/>
          <w:rtl/>
        </w:rPr>
        <w:t>, כפ</w:t>
      </w:r>
      <w:r w:rsidR="006913EB" w:rsidRPr="00706059">
        <w:rPr>
          <w:rFonts w:hint="cs"/>
          <w:rtl/>
        </w:rPr>
        <w:t xml:space="preserve">י שיפורט להלן; </w:t>
      </w:r>
      <w:r w:rsidRPr="00706059">
        <w:rPr>
          <w:rFonts w:hint="cs"/>
          <w:rtl/>
        </w:rPr>
        <w:t xml:space="preserve">הבורר יהא מוסמך </w:t>
      </w:r>
      <w:proofErr w:type="spellStart"/>
      <w:r w:rsidRPr="00706059">
        <w:rPr>
          <w:rFonts w:hint="cs"/>
          <w:rtl/>
        </w:rPr>
        <w:t>ליתן</w:t>
      </w:r>
      <w:proofErr w:type="spellEnd"/>
      <w:r w:rsidRPr="00706059">
        <w:rPr>
          <w:rFonts w:hint="cs"/>
          <w:rtl/>
        </w:rPr>
        <w:t xml:space="preserve"> כל הוראה והחלטה בהתאם להוראות ההסכם, לרבות הוראה על תשלום פיצויים וקביעת גובהם</w:t>
      </w:r>
      <w:r w:rsidR="008B73FC" w:rsidRPr="00706059">
        <w:rPr>
          <w:rFonts w:hint="cs"/>
          <w:rtl/>
        </w:rPr>
        <w:t xml:space="preserve"> (ס' </w:t>
      </w:r>
      <w:r w:rsidR="001377CB" w:rsidRPr="00706059">
        <w:rPr>
          <w:rFonts w:hint="cs"/>
          <w:rtl/>
        </w:rPr>
        <w:t>4.3.1.4</w:t>
      </w:r>
      <w:r w:rsidR="008B73FC" w:rsidRPr="00706059">
        <w:rPr>
          <w:rFonts w:hint="cs"/>
          <w:rtl/>
        </w:rPr>
        <w:t>)</w:t>
      </w:r>
      <w:r w:rsidR="00F93973" w:rsidRPr="00706059">
        <w:rPr>
          <w:rFonts w:hint="cs"/>
          <w:rtl/>
        </w:rPr>
        <w:t xml:space="preserve">; </w:t>
      </w:r>
      <w:r w:rsidR="00F93973" w:rsidRPr="00706059">
        <w:rPr>
          <w:rFonts w:hint="eastAsia"/>
          <w:rtl/>
        </w:rPr>
        <w:t>הבורר</w:t>
      </w:r>
      <w:r w:rsidR="00F93973" w:rsidRPr="00706059">
        <w:rPr>
          <w:rFonts w:ascii="David" w:hAnsi="David"/>
          <w:rtl/>
        </w:rPr>
        <w:t xml:space="preserve"> יהיה מוסמך </w:t>
      </w:r>
      <w:proofErr w:type="spellStart"/>
      <w:r w:rsidR="00F93973" w:rsidRPr="00706059">
        <w:rPr>
          <w:rFonts w:ascii="David" w:hAnsi="David"/>
          <w:rtl/>
        </w:rPr>
        <w:t>ליתן</w:t>
      </w:r>
      <w:proofErr w:type="spellEnd"/>
      <w:r w:rsidR="00F93973" w:rsidRPr="00706059">
        <w:rPr>
          <w:rFonts w:ascii="David" w:hAnsi="David"/>
          <w:rtl/>
        </w:rPr>
        <w:t xml:space="preserve"> סעדים זמניים וסעדי ביניים</w:t>
      </w:r>
      <w:r w:rsidR="00F93973" w:rsidRPr="00706059">
        <w:rPr>
          <w:rFonts w:ascii="David" w:hAnsi="David" w:hint="cs"/>
          <w:rtl/>
        </w:rPr>
        <w:t xml:space="preserve"> (ס' </w:t>
      </w:r>
      <w:r w:rsidR="00F93973" w:rsidRPr="00706059">
        <w:rPr>
          <w:rFonts w:hint="cs"/>
          <w:rtl/>
        </w:rPr>
        <w:t>4.3.1.</w:t>
      </w:r>
      <w:r w:rsidR="00FA1184" w:rsidRPr="00706059">
        <w:rPr>
          <w:rFonts w:hint="cs"/>
          <w:rtl/>
        </w:rPr>
        <w:t>3</w:t>
      </w:r>
      <w:r w:rsidR="00F93973" w:rsidRPr="00706059">
        <w:rPr>
          <w:rFonts w:hint="cs"/>
          <w:rtl/>
        </w:rPr>
        <w:t>).</w:t>
      </w:r>
    </w:p>
    <w:p w:rsidR="00B84C47" w:rsidRPr="00706059" w:rsidRDefault="00B84C47" w:rsidP="00E0059B">
      <w:pPr>
        <w:pStyle w:val="a3"/>
        <w:rPr>
          <w:rtl/>
        </w:rPr>
      </w:pPr>
    </w:p>
    <w:p w:rsidR="00B619DB" w:rsidRPr="00706059" w:rsidRDefault="00956227" w:rsidP="00E0059B">
      <w:pPr>
        <w:pStyle w:val="a3"/>
        <w:numPr>
          <w:ilvl w:val="0"/>
          <w:numId w:val="8"/>
        </w:numPr>
        <w:spacing w:line="360" w:lineRule="auto"/>
        <w:jc w:val="both"/>
      </w:pPr>
      <w:r w:rsidRPr="00706059">
        <w:rPr>
          <w:rFonts w:hint="cs"/>
          <w:b/>
          <w:bCs/>
          <w:rtl/>
        </w:rPr>
        <w:t>מינוי</w:t>
      </w:r>
      <w:r w:rsidRPr="00706059">
        <w:rPr>
          <w:rFonts w:hint="cs"/>
          <w:rtl/>
        </w:rPr>
        <w:t xml:space="preserve">- מותב של דן יחיד; </w:t>
      </w:r>
      <w:r w:rsidR="00D446BB" w:rsidRPr="00706059">
        <w:rPr>
          <w:rFonts w:ascii="David" w:hAnsi="David"/>
          <w:rtl/>
        </w:rPr>
        <w:t xml:space="preserve">שופט בדימוס של </w:t>
      </w:r>
      <w:r w:rsidR="00D446BB" w:rsidRPr="00706059">
        <w:rPr>
          <w:rFonts w:ascii="David" w:hAnsi="David" w:hint="cs"/>
          <w:rtl/>
        </w:rPr>
        <w:t xml:space="preserve">בית המשפט העליון או של </w:t>
      </w:r>
      <w:r w:rsidR="00D446BB" w:rsidRPr="00706059">
        <w:rPr>
          <w:rFonts w:ascii="David" w:hAnsi="David"/>
          <w:rtl/>
        </w:rPr>
        <w:t>בית משפט מחוזי</w:t>
      </w:r>
      <w:r w:rsidR="00376573" w:rsidRPr="00706059">
        <w:rPr>
          <w:rFonts w:ascii="David" w:hAnsi="David" w:hint="cs"/>
          <w:rtl/>
        </w:rPr>
        <w:t>; בחירת בורר בהסכמת הצדדים</w:t>
      </w:r>
      <w:r w:rsidR="00FA1184" w:rsidRPr="00706059">
        <w:rPr>
          <w:rFonts w:ascii="David" w:hAnsi="David" w:hint="cs"/>
          <w:rtl/>
        </w:rPr>
        <w:t xml:space="preserve"> על פי מנגנון הקבוע בהסכם</w:t>
      </w:r>
      <w:r w:rsidR="008A79EF" w:rsidRPr="00706059">
        <w:rPr>
          <w:rFonts w:ascii="David" w:hAnsi="David" w:hint="cs"/>
          <w:rtl/>
        </w:rPr>
        <w:t>,</w:t>
      </w:r>
      <w:r w:rsidR="00376573" w:rsidRPr="00706059">
        <w:rPr>
          <w:rFonts w:ascii="David" w:hAnsi="David" w:hint="cs"/>
          <w:rtl/>
        </w:rPr>
        <w:t xml:space="preserve"> ובהעדר הסכמה פניה ל</w:t>
      </w:r>
      <w:r w:rsidR="00376573" w:rsidRPr="00706059">
        <w:rPr>
          <w:rFonts w:ascii="David" w:hAnsi="David"/>
          <w:rtl/>
        </w:rPr>
        <w:t xml:space="preserve">נשיא בית המשפט המחוזי </w:t>
      </w:r>
      <w:r w:rsidR="00376573" w:rsidRPr="00706059">
        <w:rPr>
          <w:rFonts w:ascii="David" w:hAnsi="David" w:hint="cs"/>
          <w:rtl/>
        </w:rPr>
        <w:t>בירושלים בבקשה למנות בורר</w:t>
      </w:r>
      <w:r w:rsidR="00B82493" w:rsidRPr="00706059">
        <w:rPr>
          <w:rFonts w:hint="cs"/>
          <w:rtl/>
        </w:rPr>
        <w:t xml:space="preserve"> (ס' 4.2)</w:t>
      </w:r>
      <w:r w:rsidR="00376573" w:rsidRPr="00706059">
        <w:rPr>
          <w:rFonts w:hint="cs"/>
          <w:rtl/>
        </w:rPr>
        <w:t>.</w:t>
      </w:r>
    </w:p>
    <w:p w:rsidR="00B84C47" w:rsidRPr="00706059" w:rsidRDefault="00B84C47" w:rsidP="00E0059B">
      <w:pPr>
        <w:pStyle w:val="a3"/>
        <w:spacing w:line="360" w:lineRule="auto"/>
        <w:ind w:left="360"/>
        <w:jc w:val="both"/>
      </w:pPr>
    </w:p>
    <w:p w:rsidR="00B82493" w:rsidRPr="00706059" w:rsidRDefault="00F93973" w:rsidP="00AF7856">
      <w:pPr>
        <w:pStyle w:val="a3"/>
        <w:numPr>
          <w:ilvl w:val="0"/>
          <w:numId w:val="8"/>
        </w:numPr>
        <w:spacing w:line="360" w:lineRule="auto"/>
        <w:jc w:val="both"/>
      </w:pPr>
      <w:r w:rsidRPr="00706059">
        <w:rPr>
          <w:rFonts w:hint="cs"/>
          <w:b/>
          <w:bCs/>
          <w:rtl/>
        </w:rPr>
        <w:t>הוראות לעניין הדיון</w:t>
      </w:r>
      <w:r w:rsidR="00061E5C" w:rsidRPr="00706059">
        <w:rPr>
          <w:rFonts w:hint="cs"/>
          <w:rtl/>
        </w:rPr>
        <w:t>-</w:t>
      </w:r>
      <w:r w:rsidRPr="00706059">
        <w:rPr>
          <w:rFonts w:hint="cs"/>
          <w:rtl/>
        </w:rPr>
        <w:t xml:space="preserve"> הבורר יפעל בהתאם להוראות הבוררות הכלולים בחוק הבוררות, תשכ"ח-1968</w:t>
      </w:r>
      <w:r w:rsidR="00AF7856" w:rsidRPr="00706059">
        <w:rPr>
          <w:rFonts w:hint="cs"/>
          <w:rtl/>
        </w:rPr>
        <w:t xml:space="preserve"> (להלן: "חוק הבוררות");</w:t>
      </w:r>
      <w:r w:rsidRPr="00706059">
        <w:rPr>
          <w:rFonts w:hint="cs"/>
          <w:rtl/>
        </w:rPr>
        <w:t xml:space="preserve"> </w:t>
      </w:r>
      <w:r w:rsidR="00AF7856" w:rsidRPr="00706059">
        <w:rPr>
          <w:rFonts w:hint="cs"/>
          <w:rtl/>
        </w:rPr>
        <w:t>ישיבות הבוררות יתועדו בפרוטוקול;</w:t>
      </w:r>
      <w:r w:rsidR="00213BC6" w:rsidRPr="00706059">
        <w:rPr>
          <w:rFonts w:hint="cs"/>
          <w:rtl/>
        </w:rPr>
        <w:t xml:space="preserve"> </w:t>
      </w:r>
      <w:r w:rsidRPr="00706059">
        <w:rPr>
          <w:rFonts w:hint="cs"/>
          <w:rtl/>
        </w:rPr>
        <w:t>ההליכים יהיו כפופים להוראות ההסכם ולדין המהותי של מדינת ישראל, אך לא יהיו כפופים לסדרי הדין ולדיני הראיות, למעט לדיני החסיונות הישראליים</w:t>
      </w:r>
      <w:r w:rsidRPr="00706059">
        <w:rPr>
          <w:rFonts w:ascii="David" w:hAnsi="David" w:hint="cs"/>
          <w:rtl/>
        </w:rPr>
        <w:t xml:space="preserve"> (ס' 4.3.1)</w:t>
      </w:r>
      <w:r w:rsidR="00A76B1E" w:rsidRPr="00706059">
        <w:rPr>
          <w:rFonts w:ascii="David" w:hAnsi="David" w:hint="cs"/>
          <w:rtl/>
        </w:rPr>
        <w:t>.</w:t>
      </w:r>
    </w:p>
    <w:p w:rsidR="00E3191F" w:rsidRPr="00706059" w:rsidRDefault="00E3191F" w:rsidP="00E3191F">
      <w:pPr>
        <w:pStyle w:val="a3"/>
        <w:rPr>
          <w:rtl/>
        </w:rPr>
      </w:pPr>
    </w:p>
    <w:p w:rsidR="00116DF0" w:rsidRPr="00706059" w:rsidRDefault="00CD1142" w:rsidP="005E6AB0">
      <w:pPr>
        <w:pStyle w:val="a3"/>
        <w:numPr>
          <w:ilvl w:val="0"/>
          <w:numId w:val="8"/>
        </w:numPr>
        <w:spacing w:line="360" w:lineRule="auto"/>
        <w:jc w:val="both"/>
      </w:pPr>
      <w:r w:rsidRPr="00706059">
        <w:rPr>
          <w:rFonts w:hint="cs"/>
          <w:b/>
          <w:bCs/>
          <w:rtl/>
        </w:rPr>
        <w:t>השתק</w:t>
      </w:r>
      <w:r w:rsidR="00E3191F" w:rsidRPr="00706059">
        <w:rPr>
          <w:rFonts w:hint="cs"/>
          <w:rtl/>
        </w:rPr>
        <w:t xml:space="preserve">- </w:t>
      </w:r>
      <w:r w:rsidR="00E3191F" w:rsidRPr="00706059">
        <w:rPr>
          <w:rFonts w:ascii="David" w:hAnsi="David" w:hint="cs"/>
          <w:rtl/>
        </w:rPr>
        <w:t xml:space="preserve">כל המחלוקות הנובעות מאירוע </w:t>
      </w:r>
      <w:r w:rsidR="005E6AB0" w:rsidRPr="00706059">
        <w:rPr>
          <w:rFonts w:ascii="David" w:hAnsi="David" w:hint="cs"/>
          <w:rtl/>
        </w:rPr>
        <w:t xml:space="preserve">בודד </w:t>
      </w:r>
      <w:r w:rsidR="00E3191F" w:rsidRPr="00706059">
        <w:rPr>
          <w:rFonts w:ascii="David" w:hAnsi="David" w:hint="cs"/>
          <w:rtl/>
        </w:rPr>
        <w:t>תיחשבנה כתובענה אחת</w:t>
      </w:r>
      <w:r w:rsidR="005E6AB0" w:rsidRPr="00706059">
        <w:rPr>
          <w:rFonts w:ascii="David" w:hAnsi="David" w:hint="cs"/>
          <w:rtl/>
        </w:rPr>
        <w:t xml:space="preserve">, </w:t>
      </w:r>
      <w:r w:rsidR="00E3191F" w:rsidRPr="00706059">
        <w:rPr>
          <w:rFonts w:hint="cs"/>
          <w:rtl/>
        </w:rPr>
        <w:t xml:space="preserve">וכל העניינים הידועים, אשר </w:t>
      </w:r>
      <w:r w:rsidR="00116DF0" w:rsidRPr="00706059">
        <w:rPr>
          <w:rFonts w:hint="cs"/>
          <w:rtl/>
        </w:rPr>
        <w:t>לא נכללו בתובענה בתוך ארבעה עשר</w:t>
      </w:r>
      <w:r w:rsidR="00E3191F" w:rsidRPr="00706059">
        <w:rPr>
          <w:rFonts w:hint="cs"/>
          <w:rtl/>
        </w:rPr>
        <w:t xml:space="preserve"> ימים מיום הגשתה, לא יידונו</w:t>
      </w:r>
      <w:r w:rsidR="005E6AB0" w:rsidRPr="00706059">
        <w:rPr>
          <w:rFonts w:hint="cs"/>
          <w:rtl/>
        </w:rPr>
        <w:t>,</w:t>
      </w:r>
      <w:r w:rsidR="00E3191F" w:rsidRPr="00706059">
        <w:rPr>
          <w:rFonts w:hint="cs"/>
          <w:rtl/>
        </w:rPr>
        <w:t xml:space="preserve"> ואותו צד שהגיש את התובענה יהיה </w:t>
      </w:r>
      <w:r w:rsidR="00E3191F" w:rsidRPr="00706059">
        <w:rPr>
          <w:rtl/>
        </w:rPr>
        <w:t xml:space="preserve">מושתק מלפנות באותו עניין </w:t>
      </w:r>
      <w:r w:rsidR="00E3191F" w:rsidRPr="00706059">
        <w:rPr>
          <w:rFonts w:hint="cs"/>
          <w:rtl/>
        </w:rPr>
        <w:t xml:space="preserve">לצד האחר </w:t>
      </w:r>
      <w:r w:rsidR="00116DF0" w:rsidRPr="00706059">
        <w:rPr>
          <w:rFonts w:hint="cs"/>
          <w:rtl/>
        </w:rPr>
        <w:t xml:space="preserve">או </w:t>
      </w:r>
      <w:r w:rsidR="00E3191F" w:rsidRPr="00706059">
        <w:rPr>
          <w:rtl/>
        </w:rPr>
        <w:t xml:space="preserve">לפורום </w:t>
      </w:r>
      <w:r w:rsidR="00E3191F" w:rsidRPr="00706059">
        <w:rPr>
          <w:rFonts w:hint="cs"/>
          <w:rtl/>
        </w:rPr>
        <w:t>כלשהו</w:t>
      </w:r>
      <w:r w:rsidR="00E3191F" w:rsidRPr="00706059">
        <w:rPr>
          <w:rtl/>
        </w:rPr>
        <w:t>, וכן ייראה כמוותר על כל טענותיו בעניינים אלו</w:t>
      </w:r>
      <w:r w:rsidR="005E6AB0" w:rsidRPr="00706059">
        <w:rPr>
          <w:rFonts w:hint="cs"/>
          <w:rtl/>
        </w:rPr>
        <w:t xml:space="preserve"> (ס' 4.3.2.1)</w:t>
      </w:r>
      <w:r w:rsidR="00E3191F" w:rsidRPr="00706059">
        <w:rPr>
          <w:rFonts w:hint="cs"/>
          <w:rtl/>
        </w:rPr>
        <w:t>.</w:t>
      </w:r>
      <w:r w:rsidR="00116DF0" w:rsidRPr="00706059">
        <w:rPr>
          <w:rFonts w:hint="cs"/>
          <w:rtl/>
        </w:rPr>
        <w:t xml:space="preserve"> </w:t>
      </w:r>
    </w:p>
    <w:p w:rsidR="00E3191F" w:rsidRPr="00706059" w:rsidRDefault="005E6AB0" w:rsidP="00AF7856">
      <w:pPr>
        <w:bidi/>
        <w:spacing w:line="360" w:lineRule="auto"/>
        <w:ind w:left="360"/>
        <w:jc w:val="both"/>
      </w:pPr>
      <w:r w:rsidRPr="00706059">
        <w:rPr>
          <w:rFonts w:hint="cs"/>
          <w:rtl/>
        </w:rPr>
        <w:t xml:space="preserve">במהלך </w:t>
      </w:r>
      <w:r w:rsidR="00116DF0" w:rsidRPr="00706059">
        <w:rPr>
          <w:rFonts w:hint="cs"/>
          <w:rtl/>
        </w:rPr>
        <w:t xml:space="preserve">בחינת סעיף זה </w:t>
      </w:r>
      <w:r w:rsidRPr="00706059">
        <w:rPr>
          <w:rFonts w:hint="cs"/>
          <w:rtl/>
        </w:rPr>
        <w:t xml:space="preserve">עלה חשש כי הנזק בהגבלת המדינה מלטעון טענות גם בשלבים מאוחרים עלול לעלות על התועלת מהגבלה זו, אשר הינה הדדית. על כן, מוצע לאפשר </w:t>
      </w:r>
      <w:r w:rsidR="00AF7856" w:rsidRPr="00706059">
        <w:rPr>
          <w:rFonts w:hint="cs"/>
          <w:rtl/>
        </w:rPr>
        <w:t xml:space="preserve">למדינה </w:t>
      </w:r>
      <w:r w:rsidRPr="00706059">
        <w:rPr>
          <w:rFonts w:hint="cs"/>
          <w:rtl/>
        </w:rPr>
        <w:t xml:space="preserve">לשנות את הוראות </w:t>
      </w:r>
      <w:proofErr w:type="spellStart"/>
      <w:r w:rsidRPr="00706059">
        <w:rPr>
          <w:rFonts w:hint="cs"/>
          <w:rtl/>
        </w:rPr>
        <w:t>ההשתק</w:t>
      </w:r>
      <w:proofErr w:type="spellEnd"/>
      <w:r w:rsidRPr="00706059">
        <w:rPr>
          <w:rFonts w:hint="cs"/>
          <w:rtl/>
        </w:rPr>
        <w:t>, ובלבד שהן</w:t>
      </w:r>
      <w:r w:rsidRPr="00706059">
        <w:rPr>
          <w:rtl/>
        </w:rPr>
        <w:t xml:space="preserve"> </w:t>
      </w:r>
      <w:r w:rsidRPr="00706059">
        <w:rPr>
          <w:rFonts w:hint="cs"/>
          <w:rtl/>
        </w:rPr>
        <w:t>הדדיות</w:t>
      </w:r>
      <w:r w:rsidRPr="00706059">
        <w:rPr>
          <w:rtl/>
        </w:rPr>
        <w:t xml:space="preserve"> </w:t>
      </w:r>
      <w:r w:rsidRPr="00706059">
        <w:rPr>
          <w:rFonts w:hint="cs"/>
          <w:rtl/>
        </w:rPr>
        <w:t>ומוטלות</w:t>
      </w:r>
      <w:r w:rsidRPr="00706059">
        <w:rPr>
          <w:rtl/>
        </w:rPr>
        <w:t xml:space="preserve"> </w:t>
      </w:r>
      <w:r w:rsidRPr="00706059">
        <w:rPr>
          <w:rFonts w:hint="cs"/>
          <w:rtl/>
        </w:rPr>
        <w:t>בהתאמה</w:t>
      </w:r>
      <w:r w:rsidRPr="00706059">
        <w:rPr>
          <w:rtl/>
        </w:rPr>
        <w:t xml:space="preserve"> </w:t>
      </w:r>
      <w:r w:rsidRPr="00706059">
        <w:rPr>
          <w:rFonts w:hint="cs"/>
          <w:rtl/>
        </w:rPr>
        <w:t>הן</w:t>
      </w:r>
      <w:r w:rsidRPr="00706059">
        <w:rPr>
          <w:rtl/>
        </w:rPr>
        <w:t xml:space="preserve"> </w:t>
      </w:r>
      <w:r w:rsidRPr="00706059">
        <w:rPr>
          <w:rFonts w:hint="cs"/>
          <w:rtl/>
        </w:rPr>
        <w:t>על</w:t>
      </w:r>
      <w:r w:rsidRPr="00706059">
        <w:rPr>
          <w:rtl/>
        </w:rPr>
        <w:t xml:space="preserve"> </w:t>
      </w:r>
      <w:r w:rsidRPr="00706059">
        <w:rPr>
          <w:rFonts w:hint="cs"/>
          <w:rtl/>
        </w:rPr>
        <w:t>זכיין</w:t>
      </w:r>
      <w:r w:rsidRPr="00706059">
        <w:rPr>
          <w:rtl/>
        </w:rPr>
        <w:t xml:space="preserve"> </w:t>
      </w:r>
      <w:r w:rsidRPr="00706059">
        <w:rPr>
          <w:rFonts w:hint="cs"/>
          <w:rtl/>
        </w:rPr>
        <w:t>והן</w:t>
      </w:r>
      <w:r w:rsidRPr="00706059">
        <w:rPr>
          <w:rtl/>
        </w:rPr>
        <w:t xml:space="preserve"> </w:t>
      </w:r>
      <w:r w:rsidRPr="00706059">
        <w:rPr>
          <w:rFonts w:hint="cs"/>
          <w:rtl/>
        </w:rPr>
        <w:t>על</w:t>
      </w:r>
      <w:r w:rsidRPr="00706059">
        <w:rPr>
          <w:rtl/>
        </w:rPr>
        <w:t xml:space="preserve"> </w:t>
      </w:r>
      <w:r w:rsidRPr="00706059">
        <w:rPr>
          <w:rFonts w:hint="cs"/>
          <w:rtl/>
        </w:rPr>
        <w:t>המזמינה.</w:t>
      </w:r>
      <w:r w:rsidR="00116DF0" w:rsidRPr="00706059">
        <w:rPr>
          <w:rFonts w:hint="cs"/>
          <w:rtl/>
        </w:rPr>
        <w:t xml:space="preserve"> </w:t>
      </w:r>
    </w:p>
    <w:p w:rsidR="00A76B1E" w:rsidRPr="00706059" w:rsidRDefault="00A76B1E" w:rsidP="00E0059B">
      <w:pPr>
        <w:pStyle w:val="a3"/>
        <w:rPr>
          <w:rtl/>
        </w:rPr>
      </w:pPr>
    </w:p>
    <w:p w:rsidR="00A76B1E" w:rsidRPr="00706059" w:rsidRDefault="00A76B1E" w:rsidP="00E0059B">
      <w:pPr>
        <w:pStyle w:val="a3"/>
        <w:numPr>
          <w:ilvl w:val="0"/>
          <w:numId w:val="8"/>
        </w:numPr>
        <w:spacing w:line="360" w:lineRule="auto"/>
        <w:jc w:val="both"/>
      </w:pPr>
      <w:bookmarkStart w:id="0" w:name="פ"/>
      <w:bookmarkEnd w:id="0"/>
      <w:r w:rsidRPr="00706059">
        <w:rPr>
          <w:rFonts w:hint="cs"/>
          <w:b/>
          <w:bCs/>
          <w:rtl/>
        </w:rPr>
        <w:t>הליכים מוקדמים לפניה לבוררות</w:t>
      </w:r>
      <w:r w:rsidRPr="00706059">
        <w:rPr>
          <w:rFonts w:hint="cs"/>
          <w:rtl/>
        </w:rPr>
        <w:t xml:space="preserve">- עובר לפניה לבוררות, על צד המתנגד למעשה, מחדל או החלטה של הצד השני לשלוח הודעת התנגדות לצד השני על כך. הצד השני יבחן את הודעת ההתנגדות ויקבל החלטה לגביה. במקרה </w:t>
      </w:r>
      <w:r w:rsidR="00971608" w:rsidRPr="00706059">
        <w:rPr>
          <w:rFonts w:hint="cs"/>
          <w:rtl/>
        </w:rPr>
        <w:t>ש</w:t>
      </w:r>
      <w:r w:rsidRPr="00706059">
        <w:rPr>
          <w:rFonts w:hint="cs"/>
          <w:rtl/>
        </w:rPr>
        <w:t>בו הצד הפונה אינו מסכים עם החלטת הצד השני, הוא רשאי להגיש תובענה לבורר (ס' 4.3.2).</w:t>
      </w:r>
    </w:p>
    <w:p w:rsidR="00F93973" w:rsidRPr="00706059" w:rsidRDefault="00F93973" w:rsidP="00E0059B">
      <w:pPr>
        <w:pStyle w:val="a3"/>
        <w:rPr>
          <w:rtl/>
        </w:rPr>
      </w:pPr>
    </w:p>
    <w:p w:rsidR="00F93973" w:rsidRPr="00706059" w:rsidRDefault="00F93973" w:rsidP="00341E17">
      <w:pPr>
        <w:pStyle w:val="a3"/>
        <w:numPr>
          <w:ilvl w:val="0"/>
          <w:numId w:val="8"/>
        </w:numPr>
        <w:spacing w:line="360" w:lineRule="auto"/>
        <w:jc w:val="both"/>
      </w:pPr>
      <w:r w:rsidRPr="00706059">
        <w:rPr>
          <w:rFonts w:hint="cs"/>
          <w:b/>
          <w:bCs/>
          <w:rtl/>
        </w:rPr>
        <w:t>השגה על פסק הבוררות</w:t>
      </w:r>
      <w:r w:rsidRPr="00706059">
        <w:rPr>
          <w:rFonts w:hint="cs"/>
          <w:rtl/>
        </w:rPr>
        <w:t>- הצדדים</w:t>
      </w:r>
      <w:r w:rsidRPr="00706059">
        <w:rPr>
          <w:rtl/>
        </w:rPr>
        <w:t xml:space="preserve"> </w:t>
      </w:r>
      <w:r w:rsidRPr="00706059">
        <w:rPr>
          <w:rFonts w:hint="cs"/>
          <w:rtl/>
        </w:rPr>
        <w:t>יהיו</w:t>
      </w:r>
      <w:r w:rsidRPr="00706059">
        <w:rPr>
          <w:rtl/>
        </w:rPr>
        <w:t xml:space="preserve"> </w:t>
      </w:r>
      <w:r w:rsidRPr="00706059">
        <w:rPr>
          <w:rFonts w:hint="cs"/>
          <w:rtl/>
        </w:rPr>
        <w:t>רשאים</w:t>
      </w:r>
      <w:r w:rsidRPr="00706059">
        <w:rPr>
          <w:rtl/>
        </w:rPr>
        <w:t xml:space="preserve"> </w:t>
      </w:r>
      <w:r w:rsidRPr="00706059">
        <w:rPr>
          <w:rFonts w:hint="cs"/>
          <w:rtl/>
        </w:rPr>
        <w:t>לפנות</w:t>
      </w:r>
      <w:r w:rsidRPr="00706059">
        <w:rPr>
          <w:rtl/>
        </w:rPr>
        <w:t xml:space="preserve"> </w:t>
      </w:r>
      <w:r w:rsidRPr="00706059">
        <w:rPr>
          <w:rFonts w:hint="cs"/>
          <w:rtl/>
        </w:rPr>
        <w:t>לבית</w:t>
      </w:r>
      <w:r w:rsidRPr="00706059">
        <w:rPr>
          <w:rtl/>
        </w:rPr>
        <w:t xml:space="preserve"> </w:t>
      </w:r>
      <w:r w:rsidRPr="00706059">
        <w:rPr>
          <w:rFonts w:hint="cs"/>
          <w:rtl/>
        </w:rPr>
        <w:t>המשפט</w:t>
      </w:r>
      <w:r w:rsidRPr="00706059">
        <w:rPr>
          <w:rtl/>
        </w:rPr>
        <w:t xml:space="preserve"> </w:t>
      </w:r>
      <w:r w:rsidRPr="00706059">
        <w:rPr>
          <w:rFonts w:hint="cs"/>
          <w:rtl/>
        </w:rPr>
        <w:t>המוסמך</w:t>
      </w:r>
      <w:r w:rsidRPr="00706059">
        <w:rPr>
          <w:rtl/>
        </w:rPr>
        <w:t xml:space="preserve"> </w:t>
      </w:r>
      <w:r w:rsidRPr="00706059">
        <w:rPr>
          <w:rFonts w:hint="cs"/>
          <w:rtl/>
        </w:rPr>
        <w:t>בבקשה</w:t>
      </w:r>
      <w:r w:rsidRPr="00706059">
        <w:rPr>
          <w:rtl/>
        </w:rPr>
        <w:t xml:space="preserve"> </w:t>
      </w:r>
      <w:r w:rsidRPr="00706059">
        <w:rPr>
          <w:rFonts w:hint="cs"/>
          <w:rtl/>
        </w:rPr>
        <w:t>לביטול</w:t>
      </w:r>
      <w:r w:rsidRPr="00706059">
        <w:rPr>
          <w:rtl/>
        </w:rPr>
        <w:t xml:space="preserve"> </w:t>
      </w:r>
      <w:r w:rsidRPr="00706059">
        <w:rPr>
          <w:rFonts w:hint="cs"/>
          <w:rtl/>
        </w:rPr>
        <w:t>החלטת</w:t>
      </w:r>
      <w:r w:rsidRPr="00706059">
        <w:rPr>
          <w:rtl/>
        </w:rPr>
        <w:t xml:space="preserve"> </w:t>
      </w:r>
      <w:r w:rsidRPr="00706059">
        <w:rPr>
          <w:rFonts w:hint="cs"/>
          <w:rtl/>
        </w:rPr>
        <w:t>הבורר מכוח</w:t>
      </w:r>
      <w:r w:rsidRPr="00706059">
        <w:rPr>
          <w:rtl/>
        </w:rPr>
        <w:t xml:space="preserve"> </w:t>
      </w:r>
      <w:r w:rsidRPr="00706059">
        <w:rPr>
          <w:rFonts w:hint="cs"/>
          <w:rtl/>
        </w:rPr>
        <w:t>העילות</w:t>
      </w:r>
      <w:r w:rsidRPr="00706059">
        <w:rPr>
          <w:rtl/>
        </w:rPr>
        <w:t xml:space="preserve"> </w:t>
      </w:r>
      <w:r w:rsidRPr="00706059">
        <w:rPr>
          <w:rFonts w:hint="cs"/>
          <w:rtl/>
        </w:rPr>
        <w:t>הנקובות</w:t>
      </w:r>
      <w:r w:rsidRPr="00706059">
        <w:rPr>
          <w:rtl/>
        </w:rPr>
        <w:t xml:space="preserve"> </w:t>
      </w:r>
      <w:r w:rsidRPr="00706059">
        <w:rPr>
          <w:rFonts w:hint="cs"/>
          <w:rtl/>
        </w:rPr>
        <w:t>בחוק</w:t>
      </w:r>
      <w:r w:rsidRPr="00706059">
        <w:rPr>
          <w:rtl/>
        </w:rPr>
        <w:t xml:space="preserve"> </w:t>
      </w:r>
      <w:r w:rsidRPr="00706059">
        <w:rPr>
          <w:rFonts w:hint="cs"/>
          <w:rtl/>
        </w:rPr>
        <w:t>הבוררות</w:t>
      </w:r>
      <w:r w:rsidR="006D0D9B" w:rsidRPr="00706059">
        <w:t xml:space="preserve"> </w:t>
      </w:r>
      <w:r w:rsidR="00BE32F9" w:rsidRPr="00706059">
        <w:rPr>
          <w:rStyle w:val="a9"/>
        </w:rPr>
        <w:footnoteReference w:id="6"/>
      </w:r>
      <w:r w:rsidR="006D0D9B" w:rsidRPr="00706059">
        <w:rPr>
          <w:rFonts w:hint="cs"/>
          <w:rtl/>
        </w:rPr>
        <w:t xml:space="preserve"> </w:t>
      </w:r>
      <w:r w:rsidRPr="00706059">
        <w:rPr>
          <w:rFonts w:hint="cs"/>
          <w:rtl/>
        </w:rPr>
        <w:t>בלבד</w:t>
      </w:r>
      <w:r w:rsidR="006D0D9B" w:rsidRPr="00706059">
        <w:rPr>
          <w:rFonts w:hint="cs"/>
          <w:rtl/>
        </w:rPr>
        <w:t xml:space="preserve">. כמו כן, ניתן </w:t>
      </w:r>
      <w:r w:rsidRPr="00706059">
        <w:rPr>
          <w:rFonts w:hint="cs"/>
          <w:rtl/>
        </w:rPr>
        <w:t>לערער</w:t>
      </w:r>
      <w:r w:rsidRPr="00706059">
        <w:rPr>
          <w:rtl/>
        </w:rPr>
        <w:t xml:space="preserve"> </w:t>
      </w:r>
      <w:r w:rsidRPr="00706059">
        <w:rPr>
          <w:rFonts w:hint="cs"/>
          <w:rtl/>
        </w:rPr>
        <w:t>על</w:t>
      </w:r>
      <w:r w:rsidRPr="00706059">
        <w:rPr>
          <w:rtl/>
        </w:rPr>
        <w:t xml:space="preserve"> </w:t>
      </w:r>
      <w:r w:rsidRPr="00706059">
        <w:rPr>
          <w:rFonts w:hint="cs"/>
          <w:rtl/>
        </w:rPr>
        <w:t>פסק</w:t>
      </w:r>
      <w:r w:rsidRPr="00706059">
        <w:rPr>
          <w:rtl/>
        </w:rPr>
        <w:t xml:space="preserve"> </w:t>
      </w:r>
      <w:r w:rsidRPr="00706059">
        <w:rPr>
          <w:rFonts w:hint="cs"/>
          <w:rtl/>
        </w:rPr>
        <w:t>הבוררות</w:t>
      </w:r>
      <w:r w:rsidRPr="00706059">
        <w:rPr>
          <w:rtl/>
        </w:rPr>
        <w:t xml:space="preserve">, </w:t>
      </w:r>
      <w:r w:rsidRPr="00706059">
        <w:rPr>
          <w:rFonts w:hint="cs"/>
          <w:rtl/>
        </w:rPr>
        <w:t>ברשות</w:t>
      </w:r>
      <w:r w:rsidRPr="00706059">
        <w:rPr>
          <w:rtl/>
        </w:rPr>
        <w:t xml:space="preserve"> </w:t>
      </w:r>
      <w:r w:rsidRPr="00706059">
        <w:rPr>
          <w:rFonts w:hint="cs"/>
          <w:rtl/>
        </w:rPr>
        <w:t>בית</w:t>
      </w:r>
      <w:r w:rsidRPr="00706059">
        <w:rPr>
          <w:rtl/>
        </w:rPr>
        <w:t xml:space="preserve"> </w:t>
      </w:r>
      <w:r w:rsidRPr="00706059">
        <w:rPr>
          <w:rFonts w:hint="cs"/>
          <w:rtl/>
        </w:rPr>
        <w:t>המשפט</w:t>
      </w:r>
      <w:r w:rsidRPr="00706059">
        <w:rPr>
          <w:rtl/>
        </w:rPr>
        <w:t xml:space="preserve">, </w:t>
      </w:r>
      <w:r w:rsidRPr="00706059">
        <w:rPr>
          <w:rFonts w:hint="cs"/>
          <w:rtl/>
        </w:rPr>
        <w:t>בהתאם</w:t>
      </w:r>
      <w:r w:rsidRPr="00706059">
        <w:rPr>
          <w:rtl/>
        </w:rPr>
        <w:t xml:space="preserve"> </w:t>
      </w:r>
      <w:r w:rsidRPr="00706059">
        <w:rPr>
          <w:rFonts w:hint="cs"/>
          <w:rtl/>
        </w:rPr>
        <w:t>להוראת</w:t>
      </w:r>
      <w:r w:rsidRPr="00706059">
        <w:rPr>
          <w:rtl/>
        </w:rPr>
        <w:t xml:space="preserve"> </w:t>
      </w:r>
      <w:r w:rsidRPr="00706059">
        <w:rPr>
          <w:rFonts w:hint="cs"/>
          <w:rtl/>
        </w:rPr>
        <w:t>סעיף</w:t>
      </w:r>
      <w:r w:rsidRPr="00706059">
        <w:rPr>
          <w:rtl/>
        </w:rPr>
        <w:t xml:space="preserve"> 29</w:t>
      </w:r>
      <w:r w:rsidRPr="00706059">
        <w:rPr>
          <w:rFonts w:hint="cs"/>
          <w:rtl/>
        </w:rPr>
        <w:t>ב</w:t>
      </w:r>
      <w:r w:rsidR="006D0D9B" w:rsidRPr="00706059">
        <w:rPr>
          <w:rStyle w:val="a9"/>
          <w:rtl/>
        </w:rPr>
        <w:footnoteReference w:id="7"/>
      </w:r>
      <w:r w:rsidRPr="00706059">
        <w:rPr>
          <w:rtl/>
        </w:rPr>
        <w:t xml:space="preserve"> </w:t>
      </w:r>
      <w:r w:rsidRPr="00706059">
        <w:rPr>
          <w:rFonts w:hint="cs"/>
          <w:rtl/>
        </w:rPr>
        <w:t>לחוק</w:t>
      </w:r>
      <w:r w:rsidRPr="00706059">
        <w:rPr>
          <w:rtl/>
        </w:rPr>
        <w:t xml:space="preserve"> </w:t>
      </w:r>
      <w:r w:rsidRPr="00706059">
        <w:rPr>
          <w:rFonts w:hint="cs"/>
          <w:rtl/>
        </w:rPr>
        <w:t>הבוררות</w:t>
      </w:r>
      <w:r w:rsidR="00816A63" w:rsidRPr="00706059">
        <w:rPr>
          <w:rFonts w:hint="cs"/>
          <w:rtl/>
        </w:rPr>
        <w:t xml:space="preserve"> (ס' 4.3.1)</w:t>
      </w:r>
      <w:r w:rsidR="006D0D9B" w:rsidRPr="00706059">
        <w:rPr>
          <w:rFonts w:hint="cs"/>
          <w:rtl/>
        </w:rPr>
        <w:t>.</w:t>
      </w:r>
      <w:r w:rsidR="008C261A" w:rsidRPr="00706059">
        <w:rPr>
          <w:rFonts w:hint="cs"/>
          <w:rtl/>
        </w:rPr>
        <w:tab/>
      </w:r>
    </w:p>
    <w:p w:rsidR="008C261A" w:rsidRPr="00706059" w:rsidRDefault="008C261A" w:rsidP="00E0059B">
      <w:pPr>
        <w:pStyle w:val="a3"/>
        <w:rPr>
          <w:rtl/>
        </w:rPr>
      </w:pPr>
    </w:p>
    <w:p w:rsidR="008C261A" w:rsidRPr="00706059" w:rsidRDefault="008C261A" w:rsidP="00E0059B">
      <w:pPr>
        <w:pStyle w:val="a3"/>
        <w:numPr>
          <w:ilvl w:val="0"/>
          <w:numId w:val="8"/>
        </w:numPr>
        <w:spacing w:line="360" w:lineRule="auto"/>
        <w:jc w:val="both"/>
      </w:pPr>
      <w:r w:rsidRPr="00706059">
        <w:rPr>
          <w:rFonts w:hint="cs"/>
          <w:b/>
          <w:bCs/>
          <w:rtl/>
        </w:rPr>
        <w:t>החלטה</w:t>
      </w:r>
      <w:r w:rsidRPr="00706059">
        <w:rPr>
          <w:rFonts w:hint="cs"/>
          <w:rtl/>
        </w:rPr>
        <w:t xml:space="preserve">- הבורר יכריע בתובענה בתוך ארבעה שבועות </w:t>
      </w:r>
      <w:r w:rsidRPr="00706059">
        <w:rPr>
          <w:rtl/>
        </w:rPr>
        <w:t xml:space="preserve">ממועד סיום שמיעת הראיות או הגשת המסמכים. </w:t>
      </w:r>
      <w:r w:rsidRPr="00706059">
        <w:rPr>
          <w:rFonts w:hint="cs"/>
          <w:rtl/>
        </w:rPr>
        <w:t>החלטתו תינתן בכתב ותנומק</w:t>
      </w:r>
      <w:r w:rsidR="00816A63" w:rsidRPr="00706059">
        <w:rPr>
          <w:rFonts w:hint="cs"/>
          <w:rtl/>
        </w:rPr>
        <w:t xml:space="preserve"> (ס' 4.3.3)</w:t>
      </w:r>
      <w:r w:rsidRPr="00706059">
        <w:rPr>
          <w:rFonts w:hint="cs"/>
          <w:rtl/>
        </w:rPr>
        <w:t>.</w:t>
      </w:r>
    </w:p>
    <w:p w:rsidR="00C8205B" w:rsidRPr="00706059" w:rsidRDefault="00C8205B" w:rsidP="00E0059B">
      <w:pPr>
        <w:pStyle w:val="a3"/>
        <w:rPr>
          <w:rtl/>
        </w:rPr>
      </w:pPr>
    </w:p>
    <w:p w:rsidR="00C8205B" w:rsidRPr="00706059" w:rsidRDefault="00C8205B" w:rsidP="00E0059B">
      <w:pPr>
        <w:pStyle w:val="a3"/>
        <w:numPr>
          <w:ilvl w:val="0"/>
          <w:numId w:val="8"/>
        </w:numPr>
        <w:spacing w:line="360" w:lineRule="auto"/>
        <w:jc w:val="both"/>
      </w:pPr>
      <w:r w:rsidRPr="00706059">
        <w:rPr>
          <w:rFonts w:hint="cs"/>
          <w:b/>
          <w:bCs/>
          <w:rtl/>
        </w:rPr>
        <w:t>הוראות בדבר הפסקת כהונת הבורר והחלפתו</w:t>
      </w:r>
      <w:r w:rsidRPr="00706059">
        <w:rPr>
          <w:rFonts w:hint="cs"/>
          <w:rtl/>
        </w:rPr>
        <w:t>- החלפת הבורר תתבצע בהסכמת הצדדים או עם הגשת מכתב התפטרות הבורר (ס' 4.4).</w:t>
      </w:r>
    </w:p>
    <w:p w:rsidR="00E8592D" w:rsidRPr="00706059" w:rsidRDefault="00E8592D" w:rsidP="00E0059B">
      <w:pPr>
        <w:pStyle w:val="a3"/>
        <w:rPr>
          <w:rtl/>
        </w:rPr>
      </w:pPr>
    </w:p>
    <w:p w:rsidR="00E8592D" w:rsidRPr="00706059" w:rsidRDefault="00E8592D" w:rsidP="007B1E0E">
      <w:pPr>
        <w:pStyle w:val="a3"/>
        <w:numPr>
          <w:ilvl w:val="0"/>
          <w:numId w:val="8"/>
        </w:numPr>
        <w:spacing w:line="360" w:lineRule="auto"/>
        <w:jc w:val="both"/>
      </w:pPr>
      <w:r w:rsidRPr="00706059">
        <w:rPr>
          <w:rFonts w:hint="cs"/>
          <w:b/>
          <w:bCs/>
          <w:rtl/>
        </w:rPr>
        <w:t>החרגת נושאים מיישוב הסכסוכים</w:t>
      </w:r>
      <w:r w:rsidRPr="00706059">
        <w:rPr>
          <w:rFonts w:hint="cs"/>
          <w:rtl/>
        </w:rPr>
        <w:t xml:space="preserve">- מחלוקות הנוגעת למימוש הזכות </w:t>
      </w:r>
      <w:proofErr w:type="spellStart"/>
      <w:r w:rsidRPr="00706059">
        <w:rPr>
          <w:rFonts w:hint="cs"/>
          <w:rtl/>
        </w:rPr>
        <w:t>המינהלית</w:t>
      </w:r>
      <w:proofErr w:type="spellEnd"/>
      <w:r w:rsidRPr="00706059">
        <w:rPr>
          <w:rFonts w:hint="cs"/>
          <w:rtl/>
        </w:rPr>
        <w:t xml:space="preserve"> של המדינה לבטל את ההסכם או להשתחרר ממנו מטעמים של האינטרס הציבורי, בהתאם להוראות כל דין, במעמדה של המדינה כריבון</w:t>
      </w:r>
      <w:r w:rsidR="00AD4F2C" w:rsidRPr="00706059">
        <w:rPr>
          <w:rFonts w:hint="cs"/>
          <w:rtl/>
        </w:rPr>
        <w:t xml:space="preserve"> ("הלכת ההשתחררות")</w:t>
      </w:r>
      <w:r w:rsidRPr="00706059">
        <w:rPr>
          <w:rFonts w:hint="cs"/>
          <w:rtl/>
        </w:rPr>
        <w:t xml:space="preserve">, וכן מחלוקות הנוגעות להפעלת סמכות שלטונית של כל רשות מוסמכת, אשר הוקנתה למי מהן מכוח כל דין במעמדן כריבון (להבדיל ממעמדן במשפט האזרחי-הפרטי), </w:t>
      </w:r>
      <w:r w:rsidRPr="00706059">
        <w:rPr>
          <w:rFonts w:hint="eastAsia"/>
          <w:rtl/>
        </w:rPr>
        <w:t>או</w:t>
      </w:r>
      <w:r w:rsidRPr="00706059">
        <w:rPr>
          <w:rtl/>
        </w:rPr>
        <w:t xml:space="preserve"> </w:t>
      </w:r>
      <w:r w:rsidRPr="00706059">
        <w:rPr>
          <w:rFonts w:hint="cs"/>
          <w:rtl/>
        </w:rPr>
        <w:t>הנוגעות לעצם קיומו ש</w:t>
      </w:r>
      <w:r w:rsidRPr="00706059">
        <w:rPr>
          <w:rtl/>
        </w:rPr>
        <w:t>ל</w:t>
      </w:r>
      <w:r w:rsidRPr="00706059">
        <w:rPr>
          <w:rFonts w:hint="cs"/>
          <w:rtl/>
        </w:rPr>
        <w:t xml:space="preserve"> </w:t>
      </w:r>
      <w:r w:rsidRPr="00706059">
        <w:rPr>
          <w:rtl/>
        </w:rPr>
        <w:t xml:space="preserve">שינוי </w:t>
      </w:r>
      <w:r w:rsidRPr="00706059">
        <w:rPr>
          <w:rFonts w:hint="eastAsia"/>
          <w:rtl/>
        </w:rPr>
        <w:t>מפלה</w:t>
      </w:r>
      <w:r w:rsidRPr="00706059">
        <w:rPr>
          <w:rtl/>
        </w:rPr>
        <w:t xml:space="preserve"> </w:t>
      </w:r>
      <w:r w:rsidRPr="00706059">
        <w:rPr>
          <w:rFonts w:hint="eastAsia"/>
          <w:rtl/>
        </w:rPr>
        <w:t>בדין</w:t>
      </w:r>
      <w:r w:rsidRPr="00706059">
        <w:rPr>
          <w:rFonts w:hint="cs"/>
          <w:rtl/>
        </w:rPr>
        <w:t xml:space="preserve"> (שינוי בדין), יידונו בביהמ"ש המוסמך ולא </w:t>
      </w:r>
      <w:r w:rsidR="0016384E" w:rsidRPr="00706059">
        <w:rPr>
          <w:rFonts w:hint="cs"/>
          <w:rtl/>
        </w:rPr>
        <w:t>יופנו</w:t>
      </w:r>
      <w:r w:rsidR="00F05464" w:rsidRPr="00706059">
        <w:rPr>
          <w:rFonts w:hint="cs"/>
          <w:rtl/>
        </w:rPr>
        <w:t xml:space="preserve"> </w:t>
      </w:r>
      <w:r w:rsidR="0016384E" w:rsidRPr="00706059">
        <w:rPr>
          <w:rFonts w:hint="cs"/>
          <w:rtl/>
        </w:rPr>
        <w:t>ל</w:t>
      </w:r>
      <w:r w:rsidR="00F05464" w:rsidRPr="00706059">
        <w:rPr>
          <w:rFonts w:hint="cs"/>
          <w:rtl/>
        </w:rPr>
        <w:t>מנגנון יישוב המחלוקות</w:t>
      </w:r>
      <w:r w:rsidRPr="00706059">
        <w:rPr>
          <w:rFonts w:hint="cs"/>
          <w:rtl/>
        </w:rPr>
        <w:t>.</w:t>
      </w:r>
      <w:r w:rsidR="005766C5" w:rsidRPr="00706059">
        <w:rPr>
          <w:rFonts w:hint="cs"/>
          <w:rtl/>
        </w:rPr>
        <w:t xml:space="preserve"> יחד עם זאת, מחלוקות בנוגע </w:t>
      </w:r>
      <w:proofErr w:type="spellStart"/>
      <w:r w:rsidR="005766C5" w:rsidRPr="00706059">
        <w:rPr>
          <w:rFonts w:hint="cs"/>
          <w:rtl/>
        </w:rPr>
        <w:t>ל</w:t>
      </w:r>
      <w:r w:rsidR="005766C5" w:rsidRPr="00706059">
        <w:rPr>
          <w:rFonts w:hint="cs"/>
          <w:b/>
          <w:bCs/>
          <w:rtl/>
        </w:rPr>
        <w:t>סעדים</w:t>
      </w:r>
      <w:proofErr w:type="spellEnd"/>
      <w:r w:rsidR="005766C5" w:rsidRPr="00706059">
        <w:rPr>
          <w:rFonts w:hint="cs"/>
          <w:rtl/>
        </w:rPr>
        <w:t xml:space="preserve"> מכוח שינוי בדין</w:t>
      </w:r>
      <w:r w:rsidR="00AD4F2C" w:rsidRPr="00706059">
        <w:rPr>
          <w:rStyle w:val="a9"/>
          <w:rtl/>
        </w:rPr>
        <w:footnoteReference w:id="8"/>
      </w:r>
      <w:r w:rsidR="005766C5" w:rsidRPr="00706059">
        <w:rPr>
          <w:rFonts w:hint="cs"/>
          <w:rtl/>
        </w:rPr>
        <w:t xml:space="preserve"> או הוראות בגין ביצוע שינויים</w:t>
      </w:r>
      <w:r w:rsidR="00AD4F2C" w:rsidRPr="00706059">
        <w:rPr>
          <w:rStyle w:val="a9"/>
          <w:rFonts w:ascii="Times New Roman" w:hAnsi="Times New Roman"/>
          <w:rtl/>
        </w:rPr>
        <w:footnoteReference w:id="9"/>
      </w:r>
      <w:r w:rsidR="005766C5" w:rsidRPr="00706059">
        <w:rPr>
          <w:rFonts w:hint="cs"/>
          <w:rtl/>
        </w:rPr>
        <w:t xml:space="preserve">, </w:t>
      </w:r>
      <w:r w:rsidR="00EB4EF9" w:rsidRPr="00706059">
        <w:rPr>
          <w:rFonts w:hint="cs"/>
          <w:rtl/>
        </w:rPr>
        <w:t xml:space="preserve">שנקבעו בחוזה, </w:t>
      </w:r>
      <w:r w:rsidR="00DA1519" w:rsidRPr="00706059">
        <w:rPr>
          <w:rFonts w:hint="cs"/>
          <w:rtl/>
        </w:rPr>
        <w:t>יופנו למנגנון יישוב המחלוקות</w:t>
      </w:r>
      <w:r w:rsidR="00D01A08" w:rsidRPr="00706059">
        <w:rPr>
          <w:rFonts w:hint="cs"/>
          <w:rtl/>
        </w:rPr>
        <w:t xml:space="preserve"> (ס' 5.1)</w:t>
      </w:r>
      <w:r w:rsidR="005766C5" w:rsidRPr="00706059">
        <w:rPr>
          <w:rFonts w:hint="cs"/>
          <w:rtl/>
        </w:rPr>
        <w:t>.</w:t>
      </w:r>
      <w:r w:rsidR="00757D67" w:rsidRPr="00706059">
        <w:rPr>
          <w:rFonts w:hint="cs"/>
          <w:rtl/>
        </w:rPr>
        <w:t xml:space="preserve"> כמו כן, מחלוקות הנוגעת לפרסום פסק הבוררות תוחרגנה גם הן ממנגנון יישוב הסכסוכים. זאת, לאור היות החלטת המזמינה לפרסם את פסק הבוררות החלטה </w:t>
      </w:r>
      <w:proofErr w:type="spellStart"/>
      <w:r w:rsidR="00757D67" w:rsidRPr="00706059">
        <w:rPr>
          <w:rFonts w:hint="cs"/>
          <w:rtl/>
        </w:rPr>
        <w:t>מינהלית</w:t>
      </w:r>
      <w:proofErr w:type="spellEnd"/>
      <w:r w:rsidR="00E16AB4" w:rsidRPr="00706059">
        <w:rPr>
          <w:rFonts w:hint="cs"/>
          <w:rtl/>
        </w:rPr>
        <w:t xml:space="preserve">, אשר </w:t>
      </w:r>
      <w:r w:rsidR="0016384E" w:rsidRPr="00706059">
        <w:rPr>
          <w:rFonts w:hint="cs"/>
          <w:rtl/>
        </w:rPr>
        <w:t>צריכה להיתקף בביהמ"ש ולא לפי</w:t>
      </w:r>
      <w:r w:rsidR="00E16AB4" w:rsidRPr="00706059">
        <w:rPr>
          <w:rFonts w:hint="cs"/>
          <w:rtl/>
        </w:rPr>
        <w:t xml:space="preserve"> מנגנון יישוב הסכסוכים</w:t>
      </w:r>
      <w:r w:rsidR="00757D67" w:rsidRPr="00706059">
        <w:rPr>
          <w:rFonts w:hint="cs"/>
          <w:rtl/>
        </w:rPr>
        <w:t>.</w:t>
      </w:r>
      <w:r w:rsidR="006559B6" w:rsidRPr="00706059">
        <w:rPr>
          <w:rFonts w:hint="cs"/>
          <w:rtl/>
        </w:rPr>
        <w:t xml:space="preserve"> </w:t>
      </w:r>
      <w:r w:rsidR="007B1E0E">
        <w:rPr>
          <w:rFonts w:hint="cs"/>
          <w:rtl/>
        </w:rPr>
        <w:t>בנוסף, מובהר כי מחלוקות בנוגע לסמכות הבורר להכריע בנושא או במחלוקת מסוימת לא יידונו ע"י הבורר.</w:t>
      </w:r>
      <w:bookmarkStart w:id="1" w:name="_GoBack"/>
      <w:bookmarkEnd w:id="1"/>
      <w:r w:rsidR="007B1E0E">
        <w:rPr>
          <w:rFonts w:hint="cs"/>
          <w:rtl/>
        </w:rPr>
        <w:t xml:space="preserve"> </w:t>
      </w:r>
      <w:r w:rsidR="006559B6" w:rsidRPr="00706059">
        <w:rPr>
          <w:rFonts w:hint="cs"/>
          <w:rtl/>
        </w:rPr>
        <w:t>עוד מובהר, כי מחלוקות בנוגע לתחולת העניינים המוחרגים ממנגנון יישוב הסכסוכים כאמור לעיל תידון גם היא בביהמ"ש המוסמך.</w:t>
      </w:r>
    </w:p>
    <w:p w:rsidR="003A7518" w:rsidRPr="00706059" w:rsidRDefault="003A7518" w:rsidP="00E0059B">
      <w:pPr>
        <w:bidi/>
        <w:spacing w:line="360" w:lineRule="auto"/>
        <w:jc w:val="both"/>
        <w:rPr>
          <w:rtl/>
        </w:rPr>
      </w:pPr>
    </w:p>
    <w:p w:rsidR="00835253" w:rsidRPr="00706059" w:rsidRDefault="00835253" w:rsidP="00E0059B">
      <w:pPr>
        <w:pStyle w:val="a3"/>
        <w:numPr>
          <w:ilvl w:val="0"/>
          <w:numId w:val="8"/>
        </w:numPr>
        <w:spacing w:line="360" w:lineRule="auto"/>
        <w:jc w:val="both"/>
      </w:pPr>
      <w:r w:rsidRPr="00706059">
        <w:rPr>
          <w:rFonts w:hint="cs"/>
          <w:b/>
          <w:bCs/>
          <w:rtl/>
        </w:rPr>
        <w:t>הוראות בדבר העברת מחלוקות לבוררות</w:t>
      </w:r>
      <w:r w:rsidRPr="00706059">
        <w:rPr>
          <w:rFonts w:hint="cs"/>
          <w:rtl/>
        </w:rPr>
        <w:t xml:space="preserve">- בהתאם לסעיף ה' להנחיית היועץ, העברת מחלוקת לבוררות בהתאם </w:t>
      </w:r>
      <w:proofErr w:type="spellStart"/>
      <w:r w:rsidRPr="00706059">
        <w:rPr>
          <w:rFonts w:hint="cs"/>
          <w:rtl/>
        </w:rPr>
        <w:t>לתניית</w:t>
      </w:r>
      <w:proofErr w:type="spellEnd"/>
      <w:r w:rsidRPr="00706059">
        <w:rPr>
          <w:rFonts w:hint="cs"/>
          <w:rtl/>
        </w:rPr>
        <w:t xml:space="preserve"> בוררות הקבועה בהסכם על ידי המזמינה טעונה אישור היועץ המשפטי של המשרד הממשלתי הרלוונטי, לאחר התייעצות עם פרקליטות המדינה</w:t>
      </w:r>
      <w:r w:rsidR="00803F40" w:rsidRPr="00706059">
        <w:rPr>
          <w:rFonts w:hint="cs"/>
          <w:rtl/>
        </w:rPr>
        <w:t xml:space="preserve"> (ס' 5.2)</w:t>
      </w:r>
      <w:r w:rsidRPr="00706059">
        <w:rPr>
          <w:rFonts w:hint="cs"/>
          <w:rtl/>
        </w:rPr>
        <w:t>.</w:t>
      </w:r>
    </w:p>
    <w:p w:rsidR="00803F40" w:rsidRPr="00706059" w:rsidRDefault="00803F40" w:rsidP="00E0059B">
      <w:pPr>
        <w:pStyle w:val="a3"/>
        <w:rPr>
          <w:rtl/>
        </w:rPr>
      </w:pPr>
    </w:p>
    <w:p w:rsidR="00616E13" w:rsidRPr="00706059" w:rsidRDefault="00803F40" w:rsidP="00E0059B">
      <w:pPr>
        <w:pStyle w:val="a3"/>
        <w:numPr>
          <w:ilvl w:val="0"/>
          <w:numId w:val="8"/>
        </w:numPr>
        <w:spacing w:line="360" w:lineRule="auto"/>
        <w:jc w:val="both"/>
      </w:pPr>
      <w:r w:rsidRPr="00706059">
        <w:rPr>
          <w:rFonts w:hint="cs"/>
          <w:b/>
          <w:bCs/>
          <w:rtl/>
        </w:rPr>
        <w:t>הוצאות ניהול הליך הבוררות</w:t>
      </w:r>
      <w:r w:rsidRPr="00706059">
        <w:rPr>
          <w:rFonts w:hint="cs"/>
          <w:rtl/>
        </w:rPr>
        <w:t>- הצדדים יישאו בעלויות הבוררות שווה בשווה. עם זאת, הבוררים והמומחה הבלתי תלוי יכולים להשית הוצאות על צד אחד</w:t>
      </w:r>
      <w:r w:rsidR="002863D0" w:rsidRPr="00706059">
        <w:rPr>
          <w:rFonts w:hint="cs"/>
          <w:rtl/>
        </w:rPr>
        <w:t>; הגשת ערבות בנקאית עם הגשת התובענה (ס' 5.5).</w:t>
      </w:r>
    </w:p>
    <w:p w:rsidR="00616E13" w:rsidRPr="00706059" w:rsidRDefault="00616E13" w:rsidP="00E0059B">
      <w:pPr>
        <w:pStyle w:val="a3"/>
        <w:rPr>
          <w:b/>
          <w:bCs/>
          <w:rtl/>
        </w:rPr>
      </w:pPr>
    </w:p>
    <w:p w:rsidR="0051491B" w:rsidRPr="00706059" w:rsidRDefault="00BA7185" w:rsidP="006F77BC">
      <w:pPr>
        <w:pStyle w:val="a3"/>
        <w:keepNext/>
        <w:numPr>
          <w:ilvl w:val="0"/>
          <w:numId w:val="8"/>
        </w:numPr>
        <w:spacing w:line="360" w:lineRule="auto"/>
        <w:jc w:val="both"/>
        <w:rPr>
          <w:rtl/>
        </w:rPr>
      </w:pPr>
      <w:r w:rsidRPr="00706059">
        <w:rPr>
          <w:rFonts w:hint="cs"/>
          <w:b/>
          <w:bCs/>
          <w:rtl/>
        </w:rPr>
        <w:t>שקיפות</w:t>
      </w:r>
      <w:r w:rsidR="000D7D75" w:rsidRPr="00706059">
        <w:rPr>
          <w:rFonts w:hint="cs"/>
          <w:rtl/>
        </w:rPr>
        <w:t>-</w:t>
      </w:r>
      <w:r w:rsidR="00347997" w:rsidRPr="00706059">
        <w:rPr>
          <w:rFonts w:hint="cs"/>
          <w:rtl/>
        </w:rPr>
        <w:t xml:space="preserve"> פסק הבוררות </w:t>
      </w:r>
      <w:r w:rsidR="00685E0B" w:rsidRPr="00706059">
        <w:rPr>
          <w:rFonts w:ascii="David" w:hAnsi="David"/>
          <w:rtl/>
        </w:rPr>
        <w:t>יפורסם באתר משרד האוצר בתוך 30 יום מנתינתו</w:t>
      </w:r>
      <w:r w:rsidR="00685E0B" w:rsidRPr="00706059">
        <w:rPr>
          <w:rFonts w:hint="cs"/>
          <w:rtl/>
        </w:rPr>
        <w:t xml:space="preserve"> </w:t>
      </w:r>
      <w:r w:rsidR="00347997" w:rsidRPr="00706059">
        <w:rPr>
          <w:rFonts w:hint="cs"/>
          <w:rtl/>
        </w:rPr>
        <w:t xml:space="preserve">יפורסם ע"י משרד האוצר. </w:t>
      </w:r>
      <w:r w:rsidR="00685E0B" w:rsidRPr="00706059">
        <w:rPr>
          <w:rFonts w:hint="cs"/>
          <w:rtl/>
        </w:rPr>
        <w:t>על</w:t>
      </w:r>
      <w:r w:rsidR="00685E0B" w:rsidRPr="00706059">
        <w:rPr>
          <w:rtl/>
        </w:rPr>
        <w:t xml:space="preserve"> </w:t>
      </w:r>
      <w:r w:rsidR="00685E0B" w:rsidRPr="00706059">
        <w:rPr>
          <w:rFonts w:hint="cs"/>
          <w:rtl/>
        </w:rPr>
        <w:t>פרסום</w:t>
      </w:r>
      <w:r w:rsidR="00685E0B" w:rsidRPr="00706059">
        <w:rPr>
          <w:rtl/>
        </w:rPr>
        <w:t xml:space="preserve"> </w:t>
      </w:r>
      <w:r w:rsidR="00685E0B" w:rsidRPr="00706059">
        <w:rPr>
          <w:rFonts w:hint="cs"/>
          <w:rtl/>
        </w:rPr>
        <w:t>פסק</w:t>
      </w:r>
      <w:r w:rsidR="00685E0B" w:rsidRPr="00706059">
        <w:rPr>
          <w:rtl/>
        </w:rPr>
        <w:t xml:space="preserve"> </w:t>
      </w:r>
      <w:r w:rsidR="00685E0B" w:rsidRPr="00706059">
        <w:rPr>
          <w:rFonts w:hint="cs"/>
          <w:rtl/>
        </w:rPr>
        <w:t>הבוררות</w:t>
      </w:r>
      <w:r w:rsidR="00685E0B" w:rsidRPr="00706059">
        <w:rPr>
          <w:rtl/>
        </w:rPr>
        <w:t xml:space="preserve"> </w:t>
      </w:r>
      <w:r w:rsidR="00685E0B" w:rsidRPr="00706059">
        <w:rPr>
          <w:rFonts w:hint="cs"/>
          <w:rtl/>
        </w:rPr>
        <w:t>כאמור</w:t>
      </w:r>
      <w:r w:rsidR="00685E0B" w:rsidRPr="00706059">
        <w:rPr>
          <w:rtl/>
        </w:rPr>
        <w:t xml:space="preserve"> </w:t>
      </w:r>
      <w:r w:rsidR="00685E0B" w:rsidRPr="00706059">
        <w:rPr>
          <w:rFonts w:hint="cs"/>
          <w:rtl/>
        </w:rPr>
        <w:t>יחולו</w:t>
      </w:r>
      <w:r w:rsidR="00685E0B" w:rsidRPr="00706059">
        <w:rPr>
          <w:rtl/>
        </w:rPr>
        <w:t xml:space="preserve"> </w:t>
      </w:r>
      <w:r w:rsidR="00685E0B" w:rsidRPr="00706059">
        <w:rPr>
          <w:rFonts w:hint="cs"/>
          <w:rtl/>
        </w:rPr>
        <w:t>הוראות</w:t>
      </w:r>
      <w:r w:rsidR="00685E0B" w:rsidRPr="00706059">
        <w:rPr>
          <w:rtl/>
        </w:rPr>
        <w:t xml:space="preserve"> </w:t>
      </w:r>
      <w:r w:rsidR="00685E0B" w:rsidRPr="00706059">
        <w:rPr>
          <w:rFonts w:hint="cs"/>
          <w:rtl/>
        </w:rPr>
        <w:t>חוק</w:t>
      </w:r>
      <w:r w:rsidR="00685E0B" w:rsidRPr="00706059">
        <w:rPr>
          <w:rtl/>
        </w:rPr>
        <w:t xml:space="preserve"> </w:t>
      </w:r>
      <w:r w:rsidR="00685E0B" w:rsidRPr="00706059">
        <w:rPr>
          <w:rFonts w:hint="cs"/>
          <w:rtl/>
        </w:rPr>
        <w:t>חופש</w:t>
      </w:r>
      <w:r w:rsidR="00685E0B" w:rsidRPr="00706059">
        <w:rPr>
          <w:rtl/>
        </w:rPr>
        <w:t xml:space="preserve"> </w:t>
      </w:r>
      <w:r w:rsidR="00685E0B" w:rsidRPr="00706059">
        <w:rPr>
          <w:rFonts w:hint="cs"/>
          <w:rtl/>
        </w:rPr>
        <w:t>המידע</w:t>
      </w:r>
      <w:r w:rsidR="00685E0B" w:rsidRPr="00706059">
        <w:rPr>
          <w:rtl/>
        </w:rPr>
        <w:t xml:space="preserve">, </w:t>
      </w:r>
      <w:r w:rsidR="00685E0B" w:rsidRPr="00706059">
        <w:rPr>
          <w:rFonts w:hint="cs"/>
          <w:rtl/>
        </w:rPr>
        <w:t>תשנ</w:t>
      </w:r>
      <w:r w:rsidR="00685E0B" w:rsidRPr="00706059">
        <w:rPr>
          <w:rtl/>
        </w:rPr>
        <w:t>"</w:t>
      </w:r>
      <w:r w:rsidR="00685E0B" w:rsidRPr="00706059">
        <w:rPr>
          <w:rFonts w:hint="cs"/>
          <w:rtl/>
        </w:rPr>
        <w:t>ח</w:t>
      </w:r>
      <w:r w:rsidR="00685E0B" w:rsidRPr="00706059">
        <w:rPr>
          <w:rtl/>
        </w:rPr>
        <w:t>-1998</w:t>
      </w:r>
      <w:r w:rsidR="006F77BC" w:rsidRPr="00706059">
        <w:rPr>
          <w:rFonts w:hint="cs"/>
          <w:rtl/>
        </w:rPr>
        <w:t xml:space="preserve"> (להלן: "חוק חופש המידע")</w:t>
      </w:r>
      <w:r w:rsidR="00685E0B" w:rsidRPr="00706059">
        <w:rPr>
          <w:rtl/>
        </w:rPr>
        <w:t xml:space="preserve">, </w:t>
      </w:r>
      <w:r w:rsidR="00685E0B" w:rsidRPr="00706059">
        <w:rPr>
          <w:rFonts w:hint="cs"/>
          <w:rtl/>
        </w:rPr>
        <w:t>בשינויים</w:t>
      </w:r>
      <w:r w:rsidR="00685E0B" w:rsidRPr="00706059">
        <w:rPr>
          <w:rtl/>
        </w:rPr>
        <w:t xml:space="preserve"> </w:t>
      </w:r>
      <w:r w:rsidR="00685E0B" w:rsidRPr="00706059">
        <w:rPr>
          <w:rFonts w:hint="cs"/>
          <w:rtl/>
        </w:rPr>
        <w:t>המחויבים</w:t>
      </w:r>
      <w:r w:rsidR="00685E0B" w:rsidRPr="00706059">
        <w:rPr>
          <w:rtl/>
        </w:rPr>
        <w:t xml:space="preserve">. </w:t>
      </w:r>
      <w:r w:rsidR="00685E0B" w:rsidRPr="00706059">
        <w:rPr>
          <w:rFonts w:hint="cs"/>
          <w:rtl/>
        </w:rPr>
        <w:t>מבלי</w:t>
      </w:r>
      <w:r w:rsidR="00685E0B" w:rsidRPr="00706059">
        <w:rPr>
          <w:rtl/>
        </w:rPr>
        <w:t xml:space="preserve"> </w:t>
      </w:r>
      <w:r w:rsidR="00685E0B" w:rsidRPr="00706059">
        <w:rPr>
          <w:rFonts w:hint="cs"/>
          <w:rtl/>
        </w:rPr>
        <w:t>לגרוע</w:t>
      </w:r>
      <w:r w:rsidR="00685E0B" w:rsidRPr="00706059">
        <w:rPr>
          <w:rtl/>
        </w:rPr>
        <w:t xml:space="preserve"> </w:t>
      </w:r>
      <w:r w:rsidR="00685E0B" w:rsidRPr="00706059">
        <w:rPr>
          <w:rFonts w:hint="cs"/>
          <w:rtl/>
        </w:rPr>
        <w:t>מהאמור</w:t>
      </w:r>
      <w:r w:rsidR="00685E0B" w:rsidRPr="00706059">
        <w:rPr>
          <w:rtl/>
        </w:rPr>
        <w:t xml:space="preserve"> </w:t>
      </w:r>
      <w:r w:rsidR="00685E0B" w:rsidRPr="00706059">
        <w:rPr>
          <w:rFonts w:hint="cs"/>
          <w:rtl/>
        </w:rPr>
        <w:t>מובהר,</w:t>
      </w:r>
      <w:r w:rsidR="00685E0B" w:rsidRPr="00706059">
        <w:rPr>
          <w:rtl/>
        </w:rPr>
        <w:t xml:space="preserve"> </w:t>
      </w:r>
      <w:r w:rsidR="00685E0B" w:rsidRPr="00706059">
        <w:rPr>
          <w:rFonts w:hint="cs"/>
          <w:rtl/>
        </w:rPr>
        <w:t>כי</w:t>
      </w:r>
      <w:r w:rsidR="00685E0B" w:rsidRPr="00706059">
        <w:rPr>
          <w:rtl/>
        </w:rPr>
        <w:t xml:space="preserve"> </w:t>
      </w:r>
      <w:r w:rsidR="00685E0B" w:rsidRPr="00706059">
        <w:rPr>
          <w:rFonts w:hint="cs"/>
          <w:rtl/>
        </w:rPr>
        <w:t>המזמינה</w:t>
      </w:r>
      <w:r w:rsidR="00685E0B" w:rsidRPr="00706059">
        <w:rPr>
          <w:rtl/>
        </w:rPr>
        <w:t xml:space="preserve"> </w:t>
      </w:r>
      <w:r w:rsidR="00685E0B" w:rsidRPr="00706059">
        <w:rPr>
          <w:rFonts w:hint="cs"/>
          <w:rtl/>
        </w:rPr>
        <w:t>תהא</w:t>
      </w:r>
      <w:r w:rsidR="00685E0B" w:rsidRPr="00706059">
        <w:rPr>
          <w:rtl/>
        </w:rPr>
        <w:t xml:space="preserve"> </w:t>
      </w:r>
      <w:r w:rsidR="00685E0B" w:rsidRPr="00706059">
        <w:rPr>
          <w:rFonts w:hint="cs"/>
          <w:rtl/>
        </w:rPr>
        <w:t>רשאית</w:t>
      </w:r>
      <w:r w:rsidR="00685E0B" w:rsidRPr="00706059">
        <w:rPr>
          <w:rtl/>
        </w:rPr>
        <w:t xml:space="preserve"> </w:t>
      </w:r>
      <w:r w:rsidR="00685E0B" w:rsidRPr="00706059">
        <w:rPr>
          <w:rFonts w:hint="cs"/>
          <w:rtl/>
        </w:rPr>
        <w:t>לקבוע</w:t>
      </w:r>
      <w:r w:rsidR="00685E0B" w:rsidRPr="00706059">
        <w:rPr>
          <w:rtl/>
        </w:rPr>
        <w:t xml:space="preserve"> </w:t>
      </w:r>
      <w:r w:rsidR="00685E0B" w:rsidRPr="00706059">
        <w:rPr>
          <w:rFonts w:hint="cs"/>
          <w:rtl/>
        </w:rPr>
        <w:t>בעצמה</w:t>
      </w:r>
      <w:r w:rsidR="00685E0B" w:rsidRPr="00706059">
        <w:rPr>
          <w:rtl/>
        </w:rPr>
        <w:t xml:space="preserve">, </w:t>
      </w:r>
      <w:r w:rsidR="00685E0B" w:rsidRPr="00706059">
        <w:rPr>
          <w:rFonts w:hint="cs"/>
          <w:rtl/>
        </w:rPr>
        <w:t>או</w:t>
      </w:r>
      <w:r w:rsidR="00685E0B" w:rsidRPr="00706059">
        <w:rPr>
          <w:rtl/>
        </w:rPr>
        <w:t xml:space="preserve"> </w:t>
      </w:r>
      <w:r w:rsidR="00685E0B" w:rsidRPr="00706059">
        <w:rPr>
          <w:rFonts w:hint="cs"/>
          <w:rtl/>
        </w:rPr>
        <w:t>להיעתר</w:t>
      </w:r>
      <w:r w:rsidR="00685E0B" w:rsidRPr="00706059">
        <w:rPr>
          <w:rtl/>
        </w:rPr>
        <w:t xml:space="preserve"> </w:t>
      </w:r>
      <w:r w:rsidR="00685E0B" w:rsidRPr="00706059">
        <w:rPr>
          <w:rFonts w:hint="cs"/>
          <w:rtl/>
        </w:rPr>
        <w:t>לבקשת</w:t>
      </w:r>
      <w:r w:rsidR="00685E0B" w:rsidRPr="00706059">
        <w:rPr>
          <w:rtl/>
        </w:rPr>
        <w:t xml:space="preserve"> </w:t>
      </w:r>
      <w:r w:rsidR="00685E0B" w:rsidRPr="00706059">
        <w:rPr>
          <w:rFonts w:hint="cs"/>
          <w:rtl/>
        </w:rPr>
        <w:t>הזכיין</w:t>
      </w:r>
      <w:r w:rsidR="00685E0B" w:rsidRPr="00706059">
        <w:rPr>
          <w:rtl/>
        </w:rPr>
        <w:t xml:space="preserve"> (</w:t>
      </w:r>
      <w:r w:rsidR="00685E0B" w:rsidRPr="00706059">
        <w:rPr>
          <w:rFonts w:hint="cs"/>
          <w:rtl/>
        </w:rPr>
        <w:t>כולה</w:t>
      </w:r>
      <w:r w:rsidR="00685E0B" w:rsidRPr="00706059">
        <w:rPr>
          <w:rtl/>
        </w:rPr>
        <w:t xml:space="preserve"> </w:t>
      </w:r>
      <w:r w:rsidR="00685E0B" w:rsidRPr="00706059">
        <w:rPr>
          <w:rFonts w:hint="cs"/>
          <w:rtl/>
        </w:rPr>
        <w:t>או</w:t>
      </w:r>
      <w:r w:rsidR="00685E0B" w:rsidRPr="00706059">
        <w:rPr>
          <w:rtl/>
        </w:rPr>
        <w:t xml:space="preserve"> </w:t>
      </w:r>
      <w:r w:rsidR="00685E0B" w:rsidRPr="00706059">
        <w:rPr>
          <w:rFonts w:hint="cs"/>
          <w:rtl/>
        </w:rPr>
        <w:t>חלקה</w:t>
      </w:r>
      <w:r w:rsidR="00685E0B" w:rsidRPr="00706059">
        <w:rPr>
          <w:rtl/>
        </w:rPr>
        <w:t xml:space="preserve">) </w:t>
      </w:r>
      <w:r w:rsidR="00685E0B" w:rsidRPr="00706059">
        <w:rPr>
          <w:rFonts w:hint="cs"/>
          <w:rtl/>
        </w:rPr>
        <w:t>ולקבוע</w:t>
      </w:r>
      <w:r w:rsidR="00685E0B" w:rsidRPr="00706059">
        <w:rPr>
          <w:rtl/>
        </w:rPr>
        <w:t xml:space="preserve"> </w:t>
      </w:r>
      <w:r w:rsidR="00685E0B" w:rsidRPr="00706059">
        <w:rPr>
          <w:rFonts w:hint="cs"/>
          <w:rtl/>
        </w:rPr>
        <w:t>כי</w:t>
      </w:r>
      <w:r w:rsidR="00685E0B" w:rsidRPr="00706059">
        <w:rPr>
          <w:rtl/>
        </w:rPr>
        <w:t xml:space="preserve"> </w:t>
      </w:r>
      <w:r w:rsidR="00685E0B" w:rsidRPr="00706059">
        <w:rPr>
          <w:rFonts w:hint="cs"/>
          <w:rtl/>
        </w:rPr>
        <w:t>יחולו</w:t>
      </w:r>
      <w:r w:rsidR="00685E0B" w:rsidRPr="00706059">
        <w:rPr>
          <w:rtl/>
        </w:rPr>
        <w:t xml:space="preserve"> </w:t>
      </w:r>
      <w:r w:rsidR="00685E0B" w:rsidRPr="00706059">
        <w:rPr>
          <w:rFonts w:hint="cs"/>
          <w:rtl/>
        </w:rPr>
        <w:t>על</w:t>
      </w:r>
      <w:r w:rsidR="00685E0B" w:rsidRPr="00706059">
        <w:rPr>
          <w:rtl/>
        </w:rPr>
        <w:t xml:space="preserve"> </w:t>
      </w:r>
      <w:r w:rsidR="00685E0B" w:rsidRPr="00706059">
        <w:rPr>
          <w:rFonts w:hint="cs"/>
          <w:rtl/>
        </w:rPr>
        <w:t>פסק</w:t>
      </w:r>
      <w:r w:rsidR="00685E0B" w:rsidRPr="00706059">
        <w:rPr>
          <w:rtl/>
        </w:rPr>
        <w:t xml:space="preserve"> </w:t>
      </w:r>
      <w:r w:rsidR="00685E0B" w:rsidRPr="00706059">
        <w:rPr>
          <w:rFonts w:hint="cs"/>
          <w:rtl/>
        </w:rPr>
        <w:t>הבוררות</w:t>
      </w:r>
      <w:r w:rsidR="00685E0B" w:rsidRPr="00706059">
        <w:rPr>
          <w:rtl/>
        </w:rPr>
        <w:t xml:space="preserve">, </w:t>
      </w:r>
      <w:r w:rsidR="00685E0B" w:rsidRPr="00706059">
        <w:rPr>
          <w:rFonts w:hint="cs"/>
          <w:rtl/>
        </w:rPr>
        <w:t>כולו</w:t>
      </w:r>
      <w:r w:rsidR="00685E0B" w:rsidRPr="00706059">
        <w:rPr>
          <w:rtl/>
        </w:rPr>
        <w:t xml:space="preserve"> </w:t>
      </w:r>
      <w:r w:rsidR="00685E0B" w:rsidRPr="00706059">
        <w:rPr>
          <w:rFonts w:hint="cs"/>
          <w:rtl/>
        </w:rPr>
        <w:t>או</w:t>
      </w:r>
      <w:r w:rsidR="00685E0B" w:rsidRPr="00706059">
        <w:rPr>
          <w:rtl/>
        </w:rPr>
        <w:t xml:space="preserve"> </w:t>
      </w:r>
      <w:r w:rsidR="00685E0B" w:rsidRPr="00706059">
        <w:rPr>
          <w:rFonts w:hint="cs"/>
          <w:rtl/>
        </w:rPr>
        <w:t>חלקו</w:t>
      </w:r>
      <w:r w:rsidR="00685E0B" w:rsidRPr="00706059">
        <w:rPr>
          <w:rtl/>
        </w:rPr>
        <w:t xml:space="preserve">, </w:t>
      </w:r>
      <w:r w:rsidR="00685E0B" w:rsidRPr="00706059">
        <w:rPr>
          <w:rFonts w:hint="cs"/>
          <w:rtl/>
        </w:rPr>
        <w:t>הוראות</w:t>
      </w:r>
      <w:r w:rsidR="00685E0B" w:rsidRPr="00706059">
        <w:rPr>
          <w:rtl/>
        </w:rPr>
        <w:t xml:space="preserve"> </w:t>
      </w:r>
      <w:r w:rsidR="00685E0B" w:rsidRPr="00706059">
        <w:rPr>
          <w:rFonts w:hint="cs"/>
          <w:rtl/>
        </w:rPr>
        <w:t>סעיף</w:t>
      </w:r>
      <w:r w:rsidR="00685E0B" w:rsidRPr="00706059">
        <w:rPr>
          <w:rtl/>
        </w:rPr>
        <w:t xml:space="preserve"> 9 </w:t>
      </w:r>
      <w:r w:rsidR="00685E0B" w:rsidRPr="00706059">
        <w:rPr>
          <w:rFonts w:hint="cs"/>
          <w:rtl/>
        </w:rPr>
        <w:t>לחוק</w:t>
      </w:r>
      <w:r w:rsidR="00685E0B" w:rsidRPr="00706059">
        <w:rPr>
          <w:rtl/>
        </w:rPr>
        <w:t xml:space="preserve"> </w:t>
      </w:r>
      <w:r w:rsidR="00685E0B" w:rsidRPr="00706059">
        <w:rPr>
          <w:rFonts w:hint="cs"/>
          <w:rtl/>
        </w:rPr>
        <w:t>חופש</w:t>
      </w:r>
      <w:r w:rsidR="00685E0B" w:rsidRPr="00706059">
        <w:rPr>
          <w:rtl/>
        </w:rPr>
        <w:t xml:space="preserve"> </w:t>
      </w:r>
      <w:r w:rsidR="00685E0B" w:rsidRPr="00706059">
        <w:rPr>
          <w:rFonts w:hint="cs"/>
          <w:rtl/>
        </w:rPr>
        <w:t>המידע</w:t>
      </w:r>
      <w:r w:rsidR="009F48BD" w:rsidRPr="00706059">
        <w:rPr>
          <w:rFonts w:ascii="David" w:hAnsi="David" w:hint="cs"/>
          <w:rtl/>
        </w:rPr>
        <w:t xml:space="preserve"> (ס' 5.7)</w:t>
      </w:r>
      <w:r w:rsidR="00685E0B" w:rsidRPr="00706059">
        <w:rPr>
          <w:rFonts w:ascii="David" w:hAnsi="David" w:hint="cs"/>
          <w:rtl/>
        </w:rPr>
        <w:t>.</w:t>
      </w:r>
      <w:r w:rsidR="00CC7DD5" w:rsidRPr="00706059">
        <w:rPr>
          <w:rFonts w:ascii="David" w:hAnsi="David" w:hint="cs"/>
          <w:rtl/>
        </w:rPr>
        <w:t xml:space="preserve"> הוראות סעיף 9 לחוק </w:t>
      </w:r>
      <w:r w:rsidR="006F77BC" w:rsidRPr="00706059">
        <w:rPr>
          <w:rFonts w:ascii="David" w:hAnsi="David" w:hint="cs"/>
          <w:rtl/>
        </w:rPr>
        <w:t xml:space="preserve">חופש המידע </w:t>
      </w:r>
      <w:r w:rsidR="00CC7DD5" w:rsidRPr="00706059">
        <w:rPr>
          <w:rFonts w:ascii="David" w:hAnsi="David" w:hint="cs"/>
          <w:rtl/>
        </w:rPr>
        <w:t xml:space="preserve">קובעות </w:t>
      </w:r>
      <w:r w:rsidR="00CC7DD5" w:rsidRPr="00706059">
        <w:rPr>
          <w:color w:val="000000"/>
          <w:rtl/>
        </w:rPr>
        <w:t>מידע שאין למסרו או שאין חובה למסרו</w:t>
      </w:r>
      <w:r w:rsidR="00CC7DD5" w:rsidRPr="00706059">
        <w:rPr>
          <w:rFonts w:hint="cs"/>
          <w:color w:val="000000"/>
          <w:rtl/>
        </w:rPr>
        <w:t>, ובו בין היתר נשקלים</w:t>
      </w:r>
      <w:r w:rsidR="006F77BC" w:rsidRPr="00706059">
        <w:rPr>
          <w:rFonts w:hint="cs"/>
          <w:color w:val="000000"/>
          <w:rtl/>
        </w:rPr>
        <w:t xml:space="preserve"> במסגרתו</w:t>
      </w:r>
      <w:r w:rsidR="00CC7DD5" w:rsidRPr="00706059">
        <w:rPr>
          <w:rFonts w:hint="cs"/>
          <w:color w:val="000000"/>
          <w:rtl/>
        </w:rPr>
        <w:t xml:space="preserve"> שיקולים של הגנה על ביטחון המדינה, פגיעה בפרטיות, מידע </w:t>
      </w:r>
      <w:r w:rsidR="006F77BC" w:rsidRPr="00706059">
        <w:rPr>
          <w:rFonts w:hint="cs"/>
          <w:rtl/>
        </w:rPr>
        <w:t xml:space="preserve">שאין לגלותו לפי </w:t>
      </w:r>
      <w:r w:rsidR="00CC7DD5" w:rsidRPr="00706059">
        <w:rPr>
          <w:rFonts w:hint="cs"/>
          <w:rtl/>
        </w:rPr>
        <w:t>דין</w:t>
      </w:r>
      <w:r w:rsidR="006F77BC" w:rsidRPr="00706059">
        <w:rPr>
          <w:rFonts w:hint="cs"/>
          <w:rtl/>
        </w:rPr>
        <w:t>,</w:t>
      </w:r>
      <w:r w:rsidR="00CC7DD5" w:rsidRPr="00706059">
        <w:rPr>
          <w:rFonts w:hint="cs"/>
          <w:rtl/>
        </w:rPr>
        <w:t xml:space="preserve"> וכד'. </w:t>
      </w:r>
      <w:r w:rsidR="00C018F4" w:rsidRPr="00706059">
        <w:rPr>
          <w:rFonts w:hint="cs"/>
          <w:rtl/>
        </w:rPr>
        <w:t>הסדר זה של פרסום פסק הבורר נ</w:t>
      </w:r>
      <w:r w:rsidR="005464BE" w:rsidRPr="00706059">
        <w:rPr>
          <w:rFonts w:hint="cs"/>
          <w:rtl/>
        </w:rPr>
        <w:t xml:space="preserve">ועד להגביר את השקיפות של הליכי </w:t>
      </w:r>
      <w:r w:rsidR="00C018F4" w:rsidRPr="00706059">
        <w:rPr>
          <w:rFonts w:hint="cs"/>
          <w:rtl/>
        </w:rPr>
        <w:t>בוררות</w:t>
      </w:r>
      <w:r w:rsidR="005464BE" w:rsidRPr="00706059">
        <w:rPr>
          <w:rFonts w:hint="cs"/>
          <w:rtl/>
        </w:rPr>
        <w:t xml:space="preserve"> שהמדינה צד להם</w:t>
      </w:r>
      <w:r w:rsidR="00C018F4" w:rsidRPr="00706059">
        <w:rPr>
          <w:rFonts w:hint="cs"/>
          <w:rtl/>
        </w:rPr>
        <w:t xml:space="preserve">, </w:t>
      </w:r>
      <w:r w:rsidR="0051491B" w:rsidRPr="00706059">
        <w:rPr>
          <w:rFonts w:hint="cs"/>
          <w:rtl/>
        </w:rPr>
        <w:t xml:space="preserve">בשים לב להגנה על אינטרסים לגיטימיים אחרים, אשר </w:t>
      </w:r>
      <w:r w:rsidR="00CC7DD5" w:rsidRPr="00706059">
        <w:rPr>
          <w:rFonts w:hint="cs"/>
          <w:rtl/>
        </w:rPr>
        <w:t>באים לידי ביטוי</w:t>
      </w:r>
      <w:r w:rsidR="0051491B" w:rsidRPr="00706059">
        <w:rPr>
          <w:rFonts w:hint="cs"/>
          <w:rtl/>
        </w:rPr>
        <w:t xml:space="preserve"> בס' 9 לחוק חופש המידע.</w:t>
      </w:r>
    </w:p>
    <w:p w:rsidR="000D7D75" w:rsidRPr="00706059" w:rsidRDefault="00CC7DD5" w:rsidP="00302D36">
      <w:pPr>
        <w:bidi/>
        <w:spacing w:line="360" w:lineRule="auto"/>
        <w:ind w:left="360"/>
        <w:rPr>
          <w:rFonts w:ascii="David" w:hAnsi="David"/>
          <w:color w:val="7030A0"/>
          <w:rtl/>
        </w:rPr>
      </w:pPr>
      <w:r w:rsidRPr="00706059">
        <w:rPr>
          <w:rFonts w:hint="cs"/>
          <w:rtl/>
        </w:rPr>
        <w:t xml:space="preserve">כמו כן, מובהר כי </w:t>
      </w:r>
      <w:r w:rsidR="006F77BC" w:rsidRPr="00706059">
        <w:rPr>
          <w:rFonts w:hint="cs"/>
          <w:rtl/>
        </w:rPr>
        <w:t xml:space="preserve">מנגנון יישוב המחלוקות </w:t>
      </w:r>
      <w:r w:rsidRPr="00706059">
        <w:rPr>
          <w:rFonts w:hint="cs"/>
          <w:rtl/>
        </w:rPr>
        <w:t xml:space="preserve">בכללותו, ולא רק פסק הבורר, </w:t>
      </w:r>
      <w:r w:rsidR="000D7D75" w:rsidRPr="00706059">
        <w:rPr>
          <w:rFonts w:hint="cs"/>
          <w:rtl/>
        </w:rPr>
        <w:t>כפוף לחוק חופש המידע (ס' 5.8).</w:t>
      </w:r>
    </w:p>
    <w:p w:rsidR="00616E13" w:rsidRPr="00706059" w:rsidRDefault="00616E13" w:rsidP="00E0059B">
      <w:pPr>
        <w:pStyle w:val="a3"/>
        <w:rPr>
          <w:rtl/>
        </w:rPr>
      </w:pPr>
    </w:p>
    <w:p w:rsidR="00A0029C" w:rsidRPr="00706059" w:rsidRDefault="00A0029C" w:rsidP="00E0059B">
      <w:pPr>
        <w:pStyle w:val="a3"/>
        <w:numPr>
          <w:ilvl w:val="0"/>
          <w:numId w:val="8"/>
        </w:numPr>
        <w:spacing w:line="360" w:lineRule="auto"/>
        <w:jc w:val="both"/>
      </w:pPr>
      <w:r w:rsidRPr="00706059">
        <w:rPr>
          <w:rFonts w:hint="cs"/>
          <w:b/>
          <w:bCs/>
          <w:rtl/>
        </w:rPr>
        <w:t xml:space="preserve">קביעת </w:t>
      </w:r>
      <w:r w:rsidR="00616E13" w:rsidRPr="00706059">
        <w:rPr>
          <w:rFonts w:hint="cs"/>
          <w:b/>
          <w:bCs/>
          <w:rtl/>
        </w:rPr>
        <w:t xml:space="preserve">מקום </w:t>
      </w:r>
      <w:r w:rsidRPr="00706059">
        <w:rPr>
          <w:rFonts w:hint="cs"/>
          <w:b/>
          <w:bCs/>
          <w:rtl/>
        </w:rPr>
        <w:t>הבוררות</w:t>
      </w:r>
      <w:r w:rsidRPr="00706059">
        <w:rPr>
          <w:rFonts w:hint="cs"/>
          <w:rtl/>
        </w:rPr>
        <w:t>- בישראל</w:t>
      </w:r>
      <w:r w:rsidR="00616E13" w:rsidRPr="00706059">
        <w:rPr>
          <w:rFonts w:hint="cs"/>
          <w:rtl/>
        </w:rPr>
        <w:t xml:space="preserve"> (ס' 5.8)</w:t>
      </w:r>
      <w:r w:rsidR="001600C6" w:rsidRPr="00706059">
        <w:rPr>
          <w:rFonts w:hint="cs"/>
          <w:rtl/>
        </w:rPr>
        <w:t>.</w:t>
      </w:r>
    </w:p>
    <w:p w:rsidR="00DA1DA7" w:rsidRPr="00706059" w:rsidRDefault="00DA1DA7" w:rsidP="00DA1DA7">
      <w:pPr>
        <w:bidi/>
        <w:spacing w:line="360" w:lineRule="auto"/>
        <w:jc w:val="both"/>
        <w:rPr>
          <w:rtl/>
        </w:rPr>
      </w:pPr>
    </w:p>
    <w:p w:rsidR="00C67AFA" w:rsidRPr="00706059" w:rsidRDefault="00D02A9A" w:rsidP="00F13A36">
      <w:pPr>
        <w:pStyle w:val="a3"/>
        <w:numPr>
          <w:ilvl w:val="0"/>
          <w:numId w:val="13"/>
        </w:numPr>
        <w:spacing w:line="360" w:lineRule="auto"/>
        <w:jc w:val="both"/>
        <w:rPr>
          <w:b/>
          <w:bCs/>
          <w:rtl/>
        </w:rPr>
      </w:pPr>
      <w:r w:rsidRPr="00706059">
        <w:rPr>
          <w:rFonts w:hint="cs"/>
          <w:b/>
          <w:bCs/>
          <w:u w:val="single"/>
          <w:rtl/>
        </w:rPr>
        <w:t>המלצתנו:</w:t>
      </w:r>
      <w:r w:rsidR="006F408F" w:rsidRPr="00706059">
        <w:rPr>
          <w:rFonts w:hint="cs"/>
          <w:b/>
          <w:bCs/>
          <w:rtl/>
        </w:rPr>
        <w:t xml:space="preserve"> </w:t>
      </w:r>
    </w:p>
    <w:p w:rsidR="00484F03" w:rsidRPr="00706059" w:rsidRDefault="00484F03" w:rsidP="00E0059B">
      <w:pPr>
        <w:bidi/>
        <w:spacing w:line="360" w:lineRule="auto"/>
        <w:jc w:val="both"/>
        <w:rPr>
          <w:rtl/>
        </w:rPr>
      </w:pPr>
    </w:p>
    <w:p w:rsidR="00F13A36" w:rsidRPr="00706059" w:rsidRDefault="00F13A36" w:rsidP="00F13A36">
      <w:pPr>
        <w:pStyle w:val="a3"/>
        <w:numPr>
          <w:ilvl w:val="0"/>
          <w:numId w:val="8"/>
        </w:numPr>
        <w:spacing w:line="360" w:lineRule="auto"/>
        <w:jc w:val="both"/>
      </w:pPr>
      <w:r w:rsidRPr="00706059">
        <w:rPr>
          <w:rFonts w:hint="cs"/>
          <w:rtl/>
        </w:rPr>
        <w:t xml:space="preserve">כאמור לעיל, אנו סבורים כי ישנה תועלת רבה באישור נוסח אחיד של </w:t>
      </w:r>
      <w:proofErr w:type="spellStart"/>
      <w:r w:rsidRPr="00706059">
        <w:rPr>
          <w:rFonts w:hint="cs"/>
          <w:rtl/>
        </w:rPr>
        <w:t>תניית</w:t>
      </w:r>
      <w:proofErr w:type="spellEnd"/>
      <w:r w:rsidRPr="00706059">
        <w:rPr>
          <w:rFonts w:hint="cs"/>
          <w:rtl/>
        </w:rPr>
        <w:t xml:space="preserve"> בוררות בהסכמי </w:t>
      </w:r>
      <w:r w:rsidRPr="00706059">
        <w:t>BOT</w:t>
      </w:r>
      <w:r w:rsidRPr="00706059">
        <w:rPr>
          <w:rFonts w:hint="cs"/>
          <w:rtl/>
        </w:rPr>
        <w:t xml:space="preserve">, שכן אישור הנוסח מראש יאפשר לחוזים ולמכרזים מסוג זה להתקדם בצורה יעילה, ותוך וודאות יחסית בנוגע לתנאי ההתקשרות בשלב מוקדם של הליכי המכרז. </w:t>
      </w:r>
    </w:p>
    <w:p w:rsidR="00F13A36" w:rsidRPr="00706059" w:rsidRDefault="00F13A36" w:rsidP="00F13A36">
      <w:pPr>
        <w:pStyle w:val="a3"/>
        <w:spacing w:line="360" w:lineRule="auto"/>
        <w:ind w:left="360"/>
        <w:jc w:val="both"/>
      </w:pPr>
    </w:p>
    <w:p w:rsidR="00632D4B" w:rsidRPr="00706059" w:rsidRDefault="00632D4B" w:rsidP="00632D4B">
      <w:pPr>
        <w:pStyle w:val="a3"/>
        <w:numPr>
          <w:ilvl w:val="0"/>
          <w:numId w:val="8"/>
        </w:numPr>
        <w:spacing w:line="360" w:lineRule="auto"/>
        <w:jc w:val="both"/>
      </w:pPr>
      <w:r w:rsidRPr="00706059">
        <w:rPr>
          <w:rFonts w:hint="cs"/>
          <w:rtl/>
        </w:rPr>
        <w:t xml:space="preserve">לגישתנו, נוסח מנגנון יישוב הסכסוכים שאישורו מתבקש הוא נוסח מאוזן, אשר משקף את העקרונות הקבועים בהנחיית היועץ ותואם את אמות המידה שסוכמו בנוגע להסכמים מסוג </w:t>
      </w:r>
      <w:r w:rsidRPr="00706059">
        <w:t>BOT</w:t>
      </w:r>
      <w:r w:rsidRPr="00706059">
        <w:rPr>
          <w:rFonts w:hint="cs"/>
          <w:rtl/>
        </w:rPr>
        <w:t xml:space="preserve"> בדיון שהתקיים בשנת 2013</w:t>
      </w:r>
      <w:r w:rsidR="00EF7B8F" w:rsidRPr="00706059">
        <w:rPr>
          <w:rFonts w:hint="cs"/>
          <w:rtl/>
        </w:rPr>
        <w:t xml:space="preserve"> </w:t>
      </w:r>
      <w:r w:rsidR="00EF7B8F" w:rsidRPr="00706059">
        <w:rPr>
          <w:rFonts w:ascii="Times New Roman" w:hAnsi="Times New Roman" w:hint="cs"/>
          <w:rtl/>
        </w:rPr>
        <w:t xml:space="preserve">אצל גב' אורית </w:t>
      </w:r>
      <w:proofErr w:type="spellStart"/>
      <w:r w:rsidR="00EF7B8F" w:rsidRPr="00706059">
        <w:rPr>
          <w:rFonts w:ascii="Times New Roman" w:hAnsi="Times New Roman" w:hint="cs"/>
          <w:rtl/>
        </w:rPr>
        <w:t>סון</w:t>
      </w:r>
      <w:proofErr w:type="spellEnd"/>
      <w:r w:rsidR="00EF7B8F" w:rsidRPr="00706059">
        <w:rPr>
          <w:rFonts w:hint="cs"/>
          <w:rtl/>
        </w:rPr>
        <w:t xml:space="preserve">, </w:t>
      </w:r>
      <w:r w:rsidR="00EF7B8F" w:rsidRPr="00706059">
        <w:rPr>
          <w:rtl/>
        </w:rPr>
        <w:t>המשנה לפרקליט המדינה (עניינים אזרחיים)</w:t>
      </w:r>
      <w:r w:rsidR="00EF7B8F" w:rsidRPr="00706059">
        <w:rPr>
          <w:rFonts w:hint="cs"/>
          <w:rtl/>
        </w:rPr>
        <w:t xml:space="preserve"> דאז</w:t>
      </w:r>
      <w:r w:rsidRPr="00706059">
        <w:rPr>
          <w:rFonts w:hint="cs"/>
          <w:rtl/>
        </w:rPr>
        <w:t xml:space="preserve">, שתואר ברישא הדברים. </w:t>
      </w:r>
    </w:p>
    <w:p w:rsidR="00AF7856" w:rsidRPr="00706059" w:rsidRDefault="00AF7856" w:rsidP="00AF7856">
      <w:pPr>
        <w:pStyle w:val="a3"/>
        <w:rPr>
          <w:rtl/>
        </w:rPr>
      </w:pPr>
    </w:p>
    <w:p w:rsidR="00B84EAD" w:rsidRPr="00706059" w:rsidRDefault="00AF7856" w:rsidP="00B06A6F">
      <w:pPr>
        <w:pStyle w:val="a3"/>
        <w:numPr>
          <w:ilvl w:val="0"/>
          <w:numId w:val="8"/>
        </w:numPr>
        <w:spacing w:line="360" w:lineRule="auto"/>
        <w:jc w:val="both"/>
      </w:pPr>
      <w:r w:rsidRPr="00706059">
        <w:rPr>
          <w:rFonts w:hint="cs"/>
          <w:rtl/>
        </w:rPr>
        <w:t xml:space="preserve">יצוין, כי </w:t>
      </w:r>
      <w:r w:rsidR="00B06A6F" w:rsidRPr="00706059">
        <w:rPr>
          <w:rFonts w:hint="cs"/>
          <w:rtl/>
        </w:rPr>
        <w:t xml:space="preserve">במסגרת השיח שהתנהל </w:t>
      </w:r>
      <w:r w:rsidRPr="00706059">
        <w:rPr>
          <w:rFonts w:hint="cs"/>
          <w:rtl/>
        </w:rPr>
        <w:t>בנוגע למנגנון יישוב הסכסוכים</w:t>
      </w:r>
      <w:r w:rsidR="00B06A6F" w:rsidRPr="00706059">
        <w:rPr>
          <w:rFonts w:hint="cs"/>
          <w:rtl/>
        </w:rPr>
        <w:t xml:space="preserve"> דנן</w:t>
      </w:r>
      <w:r w:rsidRPr="00706059">
        <w:rPr>
          <w:rFonts w:hint="cs"/>
          <w:rtl/>
        </w:rPr>
        <w:t>, התעוררה השאלה האם ניתן לקבוע רשימה של נושאים</w:t>
      </w:r>
      <w:r w:rsidR="00B06A6F" w:rsidRPr="00706059">
        <w:rPr>
          <w:rFonts w:hint="cs"/>
          <w:rtl/>
        </w:rPr>
        <w:t xml:space="preserve"> מתוך הנוסח האחיד</w:t>
      </w:r>
      <w:r w:rsidRPr="00706059">
        <w:rPr>
          <w:rFonts w:hint="cs"/>
          <w:rtl/>
        </w:rPr>
        <w:t xml:space="preserve">, שבהם יותר למשרד האוצר לבצע </w:t>
      </w:r>
      <w:r w:rsidR="00B06A6F" w:rsidRPr="00706059">
        <w:rPr>
          <w:rFonts w:hint="cs"/>
          <w:rtl/>
        </w:rPr>
        <w:t xml:space="preserve">שינויים </w:t>
      </w:r>
      <w:r w:rsidRPr="00706059">
        <w:rPr>
          <w:rFonts w:hint="cs"/>
          <w:rtl/>
        </w:rPr>
        <w:t xml:space="preserve">מבלי לקבל את אישור המוקדם של היועץ המשפטי לממשלה. </w:t>
      </w:r>
      <w:r w:rsidR="00B06A6F" w:rsidRPr="00706059">
        <w:rPr>
          <w:rFonts w:hint="cs"/>
          <w:rtl/>
        </w:rPr>
        <w:t>שאלה זו התעוררה</w:t>
      </w:r>
      <w:r w:rsidRPr="00706059">
        <w:rPr>
          <w:rFonts w:hint="cs"/>
          <w:rtl/>
        </w:rPr>
        <w:t xml:space="preserve"> לנוכח </w:t>
      </w:r>
      <w:r w:rsidR="00B84EAD" w:rsidRPr="00706059">
        <w:rPr>
          <w:rFonts w:hint="cs"/>
          <w:rtl/>
        </w:rPr>
        <w:t xml:space="preserve">החלטת הממשלה </w:t>
      </w:r>
      <w:r w:rsidR="00DA26AF" w:rsidRPr="00706059">
        <w:rPr>
          <w:rFonts w:hint="cs"/>
          <w:rtl/>
        </w:rPr>
        <w:t>משנת 1951</w:t>
      </w:r>
      <w:r w:rsidR="00B84EAD" w:rsidRPr="00706059">
        <w:rPr>
          <w:rFonts w:hint="cs"/>
          <w:rtl/>
        </w:rPr>
        <w:t xml:space="preserve">, אשר </w:t>
      </w:r>
      <w:r w:rsidR="00DA26AF" w:rsidRPr="00706059">
        <w:rPr>
          <w:rFonts w:hint="cs"/>
          <w:rtl/>
        </w:rPr>
        <w:t>ה</w:t>
      </w:r>
      <w:r w:rsidR="00B84EAD" w:rsidRPr="00706059">
        <w:rPr>
          <w:rFonts w:hint="cs"/>
          <w:rtl/>
        </w:rPr>
        <w:t xml:space="preserve">סמיכה את היועץ המשפטי לממשלה לחתום על שטרי </w:t>
      </w:r>
      <w:proofErr w:type="spellStart"/>
      <w:r w:rsidR="00B84EAD" w:rsidRPr="00706059">
        <w:rPr>
          <w:rFonts w:hint="cs"/>
          <w:rtl/>
        </w:rPr>
        <w:t>בוררין</w:t>
      </w:r>
      <w:proofErr w:type="spellEnd"/>
      <w:r w:rsidR="00B84EAD" w:rsidRPr="00706059">
        <w:rPr>
          <w:rFonts w:hint="cs"/>
          <w:rtl/>
        </w:rPr>
        <w:t xml:space="preserve">. לגישתנו, קביעת רשימה מוגדרת של נושאים, שבהם יהיה ניתן לבצע שינויים, אפשרית במקרה דנן, </w:t>
      </w:r>
      <w:r w:rsidR="00D849C7" w:rsidRPr="00706059">
        <w:rPr>
          <w:rFonts w:hint="cs"/>
          <w:rtl/>
        </w:rPr>
        <w:t>שכן</w:t>
      </w:r>
      <w:r w:rsidR="00B84EAD" w:rsidRPr="00706059">
        <w:rPr>
          <w:rFonts w:hint="cs"/>
          <w:rtl/>
        </w:rPr>
        <w:t xml:space="preserve"> רשימה זו נקבעת מראש על ידי היועץ המשפטי לממשלה.</w:t>
      </w:r>
      <w:r w:rsidR="00D849C7" w:rsidRPr="00706059">
        <w:rPr>
          <w:rFonts w:hint="cs"/>
          <w:rtl/>
        </w:rPr>
        <w:t xml:space="preserve"> </w:t>
      </w:r>
      <w:r w:rsidR="00DA26AF" w:rsidRPr="00706059">
        <w:rPr>
          <w:rFonts w:hint="cs"/>
          <w:rtl/>
        </w:rPr>
        <w:t xml:space="preserve">לצד זאת, </w:t>
      </w:r>
      <w:r w:rsidR="00D849C7" w:rsidRPr="00706059">
        <w:rPr>
          <w:rFonts w:hint="cs"/>
          <w:rtl/>
        </w:rPr>
        <w:t>כל סטייה ממנה תחייב את אישורו המוקדם של היועץ המשפטי לממשלה.</w:t>
      </w:r>
      <w:r w:rsidR="00B84EAD" w:rsidRPr="00706059">
        <w:rPr>
          <w:rFonts w:hint="cs"/>
          <w:rtl/>
        </w:rPr>
        <w:t xml:space="preserve"> </w:t>
      </w:r>
    </w:p>
    <w:p w:rsidR="00B84EAD" w:rsidRPr="00706059" w:rsidRDefault="00B84EAD" w:rsidP="00B84EAD">
      <w:pPr>
        <w:pStyle w:val="a3"/>
        <w:rPr>
          <w:rtl/>
        </w:rPr>
      </w:pPr>
    </w:p>
    <w:p w:rsidR="00632D4B" w:rsidRPr="00706059" w:rsidRDefault="00632D4B" w:rsidP="00632D4B">
      <w:pPr>
        <w:pStyle w:val="a6"/>
        <w:numPr>
          <w:ilvl w:val="0"/>
          <w:numId w:val="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rPr>
          <w:rFonts w:cs="David"/>
          <w:sz w:val="24"/>
        </w:rPr>
      </w:pPr>
      <w:r w:rsidRPr="00706059">
        <w:rPr>
          <w:rFonts w:cs="David" w:hint="cs"/>
          <w:sz w:val="24"/>
          <w:rtl/>
        </w:rPr>
        <w:t xml:space="preserve">על כן, נודה על אישורך של נוסח </w:t>
      </w:r>
      <w:proofErr w:type="spellStart"/>
      <w:r w:rsidRPr="00706059">
        <w:rPr>
          <w:rFonts w:cs="David" w:hint="cs"/>
          <w:sz w:val="24"/>
          <w:rtl/>
        </w:rPr>
        <w:t>תניית</w:t>
      </w:r>
      <w:proofErr w:type="spellEnd"/>
      <w:r w:rsidRPr="00706059">
        <w:rPr>
          <w:rFonts w:cs="David" w:hint="cs"/>
          <w:sz w:val="24"/>
          <w:rtl/>
        </w:rPr>
        <w:t xml:space="preserve"> הבוררות, בתנאים הבאים:</w:t>
      </w:r>
    </w:p>
    <w:p w:rsidR="00632D4B" w:rsidRPr="00706059" w:rsidRDefault="00632D4B" w:rsidP="00632D4B">
      <w:pPr>
        <w:pStyle w:val="a3"/>
        <w:rPr>
          <w:rtl/>
        </w:rPr>
      </w:pPr>
    </w:p>
    <w:p w:rsidR="00632D4B" w:rsidRPr="00706059" w:rsidRDefault="00632D4B" w:rsidP="00632D4B">
      <w:pPr>
        <w:pStyle w:val="a6"/>
        <w:numPr>
          <w:ilvl w:val="1"/>
          <w:numId w:val="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935"/>
        </w:tabs>
        <w:rPr>
          <w:rFonts w:cs="David"/>
          <w:sz w:val="24"/>
        </w:rPr>
      </w:pPr>
      <w:r w:rsidRPr="00706059">
        <w:rPr>
          <w:rFonts w:cs="David" w:hint="cs"/>
          <w:sz w:val="24"/>
          <w:rtl/>
        </w:rPr>
        <w:t xml:space="preserve">משרד ממשלתי המבקש להתקשר בהסכם בוררות במסגרת הסכם מסוג </w:t>
      </w:r>
      <w:r w:rsidRPr="00706059">
        <w:rPr>
          <w:rFonts w:cs="David"/>
          <w:sz w:val="24"/>
        </w:rPr>
        <w:t xml:space="preserve">BOT </w:t>
      </w:r>
      <w:r w:rsidRPr="00706059">
        <w:rPr>
          <w:rFonts w:cs="David" w:hint="cs"/>
          <w:sz w:val="24"/>
          <w:rtl/>
        </w:rPr>
        <w:t xml:space="preserve"> רשאי לעשות שימוש בנוסח האחיד המצורף לפניה זו </w:t>
      </w:r>
      <w:r w:rsidRPr="00706059">
        <w:rPr>
          <w:rFonts w:cs="David"/>
          <w:sz w:val="24"/>
          <w:rtl/>
        </w:rPr>
        <w:t xml:space="preserve">מבלי לקבל את אישורו </w:t>
      </w:r>
      <w:r w:rsidRPr="00706059">
        <w:rPr>
          <w:rFonts w:cs="David" w:hint="cs"/>
          <w:sz w:val="24"/>
          <w:rtl/>
        </w:rPr>
        <w:t xml:space="preserve">המוקדם </w:t>
      </w:r>
      <w:r w:rsidRPr="00706059">
        <w:rPr>
          <w:rFonts w:cs="David"/>
          <w:sz w:val="24"/>
          <w:rtl/>
        </w:rPr>
        <w:t>של היועץ המשפטי לממשלה</w:t>
      </w:r>
      <w:r w:rsidRPr="00706059">
        <w:rPr>
          <w:rFonts w:cs="David" w:hint="cs"/>
          <w:sz w:val="24"/>
          <w:rtl/>
        </w:rPr>
        <w:t xml:space="preserve">. </w:t>
      </w:r>
    </w:p>
    <w:p w:rsidR="00632D4B" w:rsidRPr="00706059" w:rsidRDefault="00632D4B" w:rsidP="00632D4B">
      <w:pPr>
        <w:pStyle w:val="a6"/>
        <w:numPr>
          <w:ilvl w:val="1"/>
          <w:numId w:val="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935"/>
        </w:tabs>
        <w:rPr>
          <w:rFonts w:cs="David"/>
          <w:sz w:val="24"/>
        </w:rPr>
      </w:pPr>
      <w:r w:rsidRPr="00706059">
        <w:rPr>
          <w:rFonts w:cs="David" w:hint="cs"/>
          <w:sz w:val="24"/>
          <w:rtl/>
        </w:rPr>
        <w:t>ביצוע שינויים בנוסח האחיד יחייב את קבלת אישורו המוקדם של היועץ המשפטי לממשלה, למעט בנושאים המפורטים בהערות השוליים בנוסח האחיד, ובכפוף למגבלות הקבועות בהן.</w:t>
      </w:r>
    </w:p>
    <w:p w:rsidR="00632D4B" w:rsidRPr="00706059" w:rsidRDefault="00632D4B" w:rsidP="00632D4B">
      <w:pPr>
        <w:pStyle w:val="a6"/>
        <w:numPr>
          <w:ilvl w:val="1"/>
          <w:numId w:val="8"/>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left" w:pos="935"/>
        </w:tabs>
        <w:rPr>
          <w:rFonts w:cs="David"/>
          <w:sz w:val="24"/>
        </w:rPr>
      </w:pPr>
      <w:r w:rsidRPr="00706059">
        <w:rPr>
          <w:rFonts w:cs="David" w:hint="cs"/>
          <w:sz w:val="24"/>
          <w:rtl/>
        </w:rPr>
        <w:t xml:space="preserve">ביצוע שינויים באחד או יותר מהנושאים המפורטים בהערות השוליים בנוסח האחיד יחייב את היועץ המשפטי של המשרד הממשלתי הרלוונטי ליידע את </w:t>
      </w:r>
      <w:r w:rsidRPr="00706059">
        <w:rPr>
          <w:rFonts w:cs="David"/>
          <w:sz w:val="24"/>
          <w:rtl/>
        </w:rPr>
        <w:t>המשנה ליועץ המשפטי לממשלה (אזרחי) או מי מטעמו</w:t>
      </w:r>
      <w:r w:rsidRPr="00706059">
        <w:rPr>
          <w:rFonts w:cs="David" w:hint="cs"/>
          <w:sz w:val="24"/>
          <w:rtl/>
        </w:rPr>
        <w:t xml:space="preserve"> בדבר ביצועם.</w:t>
      </w:r>
    </w:p>
    <w:p w:rsidR="008D0183" w:rsidRPr="00706059" w:rsidRDefault="008D0183" w:rsidP="008D0183">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rPr>
          <w:rFonts w:cs="David"/>
          <w:sz w:val="24"/>
          <w:rtl/>
        </w:rPr>
      </w:pPr>
    </w:p>
    <w:p w:rsidR="00706059" w:rsidRPr="00706059" w:rsidRDefault="00706059" w:rsidP="00706059">
      <w:pPr>
        <w:bidi/>
        <w:spacing w:line="360" w:lineRule="auto"/>
        <w:jc w:val="both"/>
        <w:rPr>
          <w:rtl/>
        </w:rPr>
      </w:pPr>
    </w:p>
    <w:p w:rsidR="00706059" w:rsidRPr="00706059" w:rsidRDefault="00706059" w:rsidP="00706059">
      <w:pPr>
        <w:bidi/>
        <w:spacing w:line="360" w:lineRule="auto"/>
        <w:ind w:left="4536"/>
        <w:jc w:val="center"/>
        <w:rPr>
          <w:sz w:val="22"/>
          <w:rtl/>
        </w:rPr>
      </w:pPr>
      <w:r w:rsidRPr="00706059">
        <w:rPr>
          <w:rFonts w:hint="cs"/>
          <w:sz w:val="22"/>
          <w:rtl/>
        </w:rPr>
        <w:t>בברכה,</w:t>
      </w:r>
    </w:p>
    <w:p w:rsidR="00706059" w:rsidRPr="00706059" w:rsidRDefault="00706059" w:rsidP="00706059">
      <w:pPr>
        <w:bidi/>
        <w:spacing w:line="360" w:lineRule="auto"/>
        <w:ind w:left="4536"/>
        <w:jc w:val="center"/>
        <w:rPr>
          <w:sz w:val="22"/>
          <w:rtl/>
        </w:rPr>
      </w:pPr>
      <w:r w:rsidRPr="00706059">
        <w:rPr>
          <w:rFonts w:ascii="Times New Roman" w:eastAsia="Times New Roman" w:hAnsi="Times New Roman" w:cs="Times New Roman"/>
          <w:noProof/>
          <w:sz w:val="22"/>
          <w:szCs w:val="22"/>
        </w:rPr>
        <w:drawing>
          <wp:anchor distT="0" distB="0" distL="114300" distR="114300" simplePos="0" relativeHeight="251659264" behindDoc="1" locked="0" layoutInCell="1" allowOverlap="1" wp14:anchorId="49CFDC50" wp14:editId="4643BE5E">
            <wp:simplePos x="0" y="0"/>
            <wp:positionH relativeFrom="column">
              <wp:posOffset>1000702</wp:posOffset>
            </wp:positionH>
            <wp:positionV relativeFrom="paragraph">
              <wp:posOffset>57150</wp:posOffset>
            </wp:positionV>
            <wp:extent cx="313690" cy="231775"/>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059">
        <w:rPr>
          <w:rFonts w:hint="cs"/>
          <w:sz w:val="22"/>
          <w:rtl/>
        </w:rPr>
        <w:t>רעות אופק, עו"ד</w:t>
      </w:r>
    </w:p>
    <w:p w:rsidR="00706059" w:rsidRPr="00706059" w:rsidRDefault="00706059" w:rsidP="00706059">
      <w:pPr>
        <w:bidi/>
        <w:spacing w:line="360" w:lineRule="auto"/>
        <w:ind w:left="4536"/>
        <w:jc w:val="center"/>
        <w:rPr>
          <w:sz w:val="22"/>
          <w:rtl/>
        </w:rPr>
      </w:pPr>
      <w:r w:rsidRPr="00706059">
        <w:rPr>
          <w:rFonts w:hint="cs"/>
          <w:sz w:val="22"/>
          <w:rtl/>
        </w:rPr>
        <w:t>יעוץ וחקיקה (אזרחי)</w:t>
      </w:r>
    </w:p>
    <w:p w:rsidR="00706059" w:rsidRPr="00706059" w:rsidRDefault="00706059" w:rsidP="00706059">
      <w:pPr>
        <w:tabs>
          <w:tab w:val="left" w:pos="567"/>
          <w:tab w:val="left" w:pos="1134"/>
          <w:tab w:val="left" w:pos="1701"/>
          <w:tab w:val="left" w:pos="2268"/>
          <w:tab w:val="left" w:pos="2835"/>
          <w:tab w:val="left" w:pos="3402"/>
          <w:tab w:val="left" w:pos="3969"/>
          <w:tab w:val="left" w:pos="4536"/>
          <w:tab w:val="left" w:pos="5670"/>
          <w:tab w:val="left" w:pos="6521"/>
          <w:tab w:val="left" w:pos="6804"/>
          <w:tab w:val="left" w:pos="7088"/>
          <w:tab w:val="left" w:pos="7371"/>
          <w:tab w:val="left" w:pos="7938"/>
        </w:tabs>
        <w:bidi/>
        <w:spacing w:line="360" w:lineRule="auto"/>
        <w:jc w:val="both"/>
        <w:rPr>
          <w:rFonts w:ascii="Times New Roman" w:eastAsia="Times New Roman" w:hAnsi="Times New Roman"/>
        </w:rPr>
      </w:pPr>
    </w:p>
    <w:p w:rsidR="00CB6D22" w:rsidRPr="00706059" w:rsidRDefault="00CB6D22" w:rsidP="00E0059B">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rPr>
          <w:rFonts w:cs="David"/>
          <w:sz w:val="24"/>
          <w:rtl/>
        </w:rPr>
      </w:pPr>
    </w:p>
    <w:p w:rsidR="006E1BDE" w:rsidRPr="00706059" w:rsidRDefault="006E1BDE" w:rsidP="00E0059B">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rPr>
          <w:rFonts w:cs="David"/>
          <w:sz w:val="24"/>
          <w:rtl/>
        </w:rPr>
      </w:pPr>
      <w:r w:rsidRPr="00706059">
        <w:rPr>
          <w:rFonts w:cs="David" w:hint="cs"/>
          <w:sz w:val="24"/>
          <w:rtl/>
        </w:rPr>
        <w:t>העתק:</w:t>
      </w:r>
    </w:p>
    <w:p w:rsidR="002E5C53" w:rsidRPr="00706059" w:rsidRDefault="002E5C53" w:rsidP="00E0059B">
      <w:pPr>
        <w:bidi/>
        <w:spacing w:line="360" w:lineRule="auto"/>
        <w:jc w:val="both"/>
        <w:rPr>
          <w:rtl/>
        </w:rPr>
      </w:pPr>
      <w:r w:rsidRPr="00706059">
        <w:rPr>
          <w:rFonts w:hint="cs"/>
          <w:rtl/>
        </w:rPr>
        <w:t xml:space="preserve">מר ארז </w:t>
      </w:r>
      <w:proofErr w:type="spellStart"/>
      <w:r w:rsidRPr="00706059">
        <w:rPr>
          <w:rFonts w:hint="cs"/>
          <w:rtl/>
        </w:rPr>
        <w:t>קמיניץ</w:t>
      </w:r>
      <w:proofErr w:type="spellEnd"/>
      <w:r w:rsidRPr="00706059">
        <w:rPr>
          <w:rFonts w:hint="cs"/>
          <w:rtl/>
        </w:rPr>
        <w:t>, משנה ליועץ המשפטי לממשלה (אזרחי)</w:t>
      </w:r>
    </w:p>
    <w:p w:rsidR="00641284" w:rsidRPr="00706059" w:rsidRDefault="00641284" w:rsidP="004266CD">
      <w:pPr>
        <w:bidi/>
        <w:spacing w:line="360" w:lineRule="auto"/>
        <w:jc w:val="both"/>
        <w:rPr>
          <w:rtl/>
        </w:rPr>
      </w:pPr>
      <w:r w:rsidRPr="00706059">
        <w:rPr>
          <w:rFonts w:hint="cs"/>
          <w:rtl/>
        </w:rPr>
        <w:t xml:space="preserve">גב' </w:t>
      </w:r>
      <w:r w:rsidRPr="00706059">
        <w:rPr>
          <w:rtl/>
        </w:rPr>
        <w:t xml:space="preserve">אורית </w:t>
      </w:r>
      <w:r w:rsidR="004266CD" w:rsidRPr="00706059">
        <w:rPr>
          <w:rFonts w:hint="cs"/>
          <w:rtl/>
        </w:rPr>
        <w:t>קוטב</w:t>
      </w:r>
      <w:r w:rsidRPr="00706059">
        <w:rPr>
          <w:rtl/>
        </w:rPr>
        <w:t>, המשנה לפרקליט המדינה (עניינים אזרחיים)</w:t>
      </w:r>
    </w:p>
    <w:p w:rsidR="002E5C53" w:rsidRPr="00706059" w:rsidRDefault="004266CD" w:rsidP="004266CD">
      <w:pPr>
        <w:bidi/>
        <w:spacing w:line="360" w:lineRule="auto"/>
        <w:jc w:val="both"/>
        <w:rPr>
          <w:rtl/>
        </w:rPr>
      </w:pPr>
      <w:r w:rsidRPr="00706059">
        <w:rPr>
          <w:rFonts w:hint="cs"/>
          <w:rtl/>
        </w:rPr>
        <w:t>מר</w:t>
      </w:r>
      <w:r w:rsidR="002E5C53" w:rsidRPr="00706059">
        <w:rPr>
          <w:rFonts w:hint="cs"/>
          <w:rtl/>
        </w:rPr>
        <w:t xml:space="preserve"> </w:t>
      </w:r>
      <w:r w:rsidRPr="00706059">
        <w:rPr>
          <w:rFonts w:hint="cs"/>
          <w:rtl/>
        </w:rPr>
        <w:t>ישראל בלום, מנהל</w:t>
      </w:r>
      <w:r w:rsidR="002E5C53" w:rsidRPr="00706059">
        <w:rPr>
          <w:rFonts w:hint="cs"/>
          <w:rtl/>
        </w:rPr>
        <w:t xml:space="preserve"> המחלקה האזרחית בפרקליטות המדינה</w:t>
      </w:r>
    </w:p>
    <w:p w:rsidR="00342206" w:rsidRDefault="00342206" w:rsidP="00E0059B">
      <w:pPr>
        <w:bidi/>
        <w:spacing w:line="360" w:lineRule="auto"/>
        <w:jc w:val="both"/>
        <w:rPr>
          <w:rtl/>
        </w:rPr>
      </w:pPr>
      <w:r w:rsidRPr="00706059">
        <w:rPr>
          <w:rFonts w:hint="cs"/>
          <w:rtl/>
        </w:rPr>
        <w:t>גב' שרון מן אוריין, פרקליטות המדינה (אזרחי)</w:t>
      </w:r>
    </w:p>
    <w:p w:rsidR="00342206" w:rsidRDefault="00342206" w:rsidP="00E0059B">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rPr>
          <w:rFonts w:cs="David"/>
          <w:sz w:val="24"/>
          <w:rtl/>
        </w:rPr>
      </w:pPr>
    </w:p>
    <w:p w:rsidR="00A54B9F" w:rsidRDefault="00A54B9F" w:rsidP="00E0059B">
      <w:pPr>
        <w:pStyle w:val="a6"/>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ind w:left="0" w:firstLine="0"/>
        <w:rPr>
          <w:rFonts w:cs="David"/>
          <w:sz w:val="24"/>
        </w:rPr>
      </w:pPr>
    </w:p>
    <w:sectPr w:rsidR="00A54B9F" w:rsidSect="008F2EB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856" w:rsidRDefault="00AF7856" w:rsidP="00677993">
      <w:r>
        <w:separator/>
      </w:r>
    </w:p>
  </w:endnote>
  <w:endnote w:type="continuationSeparator" w:id="0">
    <w:p w:rsidR="00AF7856" w:rsidRDefault="00AF7856" w:rsidP="0067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E7" w:rsidRDefault="001242E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856" w:rsidRPr="00C560C4" w:rsidRDefault="00AF7856" w:rsidP="0072179B">
    <w:pPr>
      <w:pStyle w:val="ac"/>
      <w:pBdr>
        <w:top w:val="single" w:sz="6" w:space="1" w:color="auto"/>
      </w:pBdr>
      <w:tabs>
        <w:tab w:val="clear" w:pos="4153"/>
        <w:tab w:val="clear" w:pos="8306"/>
      </w:tabs>
      <w:bidi/>
      <w:jc w:val="center"/>
      <w:rPr>
        <w:sz w:val="20"/>
        <w:szCs w:val="20"/>
        <w:rtl/>
      </w:rPr>
    </w:pPr>
    <w:r w:rsidRPr="00C560C4">
      <w:rPr>
        <w:sz w:val="20"/>
        <w:szCs w:val="20"/>
        <w:rtl/>
      </w:rPr>
      <w:t xml:space="preserve">רח' </w:t>
    </w:r>
    <w:proofErr w:type="spellStart"/>
    <w:r w:rsidRPr="00C560C4">
      <w:rPr>
        <w:sz w:val="20"/>
        <w:szCs w:val="20"/>
        <w:rtl/>
      </w:rPr>
      <w:t>צלאח</w:t>
    </w:r>
    <w:proofErr w:type="spellEnd"/>
    <w:r w:rsidRPr="00C560C4">
      <w:rPr>
        <w:sz w:val="20"/>
        <w:szCs w:val="20"/>
        <w:rtl/>
      </w:rPr>
      <w:t xml:space="preserve"> א-דין 29, ת.ד. </w:t>
    </w:r>
    <w:r w:rsidRPr="00C560C4">
      <w:rPr>
        <w:rFonts w:hint="cs"/>
        <w:sz w:val="20"/>
        <w:szCs w:val="20"/>
        <w:rtl/>
      </w:rPr>
      <w:t>49029</w:t>
    </w:r>
    <w:r w:rsidRPr="00C560C4">
      <w:rPr>
        <w:sz w:val="20"/>
        <w:szCs w:val="20"/>
        <w:rtl/>
      </w:rPr>
      <w:t xml:space="preserve">, ירושלים </w:t>
    </w:r>
    <w:r w:rsidRPr="002A782F">
      <w:rPr>
        <w:rFonts w:hint="cs"/>
        <w:sz w:val="20"/>
        <w:szCs w:val="20"/>
        <w:rtl/>
      </w:rPr>
      <w:t>91490</w:t>
    </w:r>
    <w:r w:rsidRPr="002A782F">
      <w:rPr>
        <w:sz w:val="20"/>
        <w:szCs w:val="20"/>
      </w:rPr>
      <w:t xml:space="preserve"> </w:t>
    </w:r>
    <w:r>
      <w:rPr>
        <w:rFonts w:hint="cs"/>
        <w:sz w:val="20"/>
        <w:szCs w:val="20"/>
        <w:rtl/>
      </w:rPr>
      <w:t xml:space="preserve"> טל'- 02-6466360, פקס-</w:t>
    </w:r>
    <w:r w:rsidRPr="00C560C4">
      <w:rPr>
        <w:rFonts w:hint="cs"/>
        <w:sz w:val="20"/>
        <w:szCs w:val="20"/>
        <w:rtl/>
      </w:rPr>
      <w:t xml:space="preserve"> </w:t>
    </w:r>
    <w:r>
      <w:rPr>
        <w:rFonts w:hint="cs"/>
        <w:sz w:val="20"/>
        <w:szCs w:val="20"/>
        <w:rtl/>
      </w:rPr>
      <w:t>02-6467031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E7" w:rsidRDefault="001242E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856" w:rsidRDefault="00AF7856" w:rsidP="00677993">
      <w:r>
        <w:separator/>
      </w:r>
    </w:p>
  </w:footnote>
  <w:footnote w:type="continuationSeparator" w:id="0">
    <w:p w:rsidR="00AF7856" w:rsidRDefault="00AF7856" w:rsidP="00677993">
      <w:r>
        <w:continuationSeparator/>
      </w:r>
    </w:p>
  </w:footnote>
  <w:footnote w:id="1">
    <w:p w:rsidR="00940E58" w:rsidRDefault="00940E58">
      <w:pPr>
        <w:pStyle w:val="a7"/>
      </w:pPr>
      <w:r>
        <w:rPr>
          <w:rStyle w:val="a9"/>
        </w:rPr>
        <w:footnoteRef/>
      </w:r>
      <w:r>
        <w:t xml:space="preserve"> </w:t>
      </w:r>
      <w:r w:rsidRPr="00B11C2E">
        <w:rPr>
          <w:rFonts w:ascii="Times New Roman" w:hAnsi="Times New Roman"/>
        </w:rPr>
        <w:t>Build-Operate-Transfer</w:t>
      </w:r>
    </w:p>
  </w:footnote>
  <w:footnote w:id="2">
    <w:p w:rsidR="00940E58" w:rsidRPr="00940E58" w:rsidRDefault="00940E58">
      <w:pPr>
        <w:pStyle w:val="a7"/>
      </w:pPr>
      <w:r>
        <w:rPr>
          <w:rStyle w:val="a9"/>
        </w:rPr>
        <w:footnoteRef/>
      </w:r>
      <w:r>
        <w:t xml:space="preserve"> </w:t>
      </w:r>
      <w:r w:rsidRPr="00940E58">
        <w:t>Public–Private Partnership</w:t>
      </w:r>
    </w:p>
  </w:footnote>
  <w:footnote w:id="3">
    <w:p w:rsidR="00AF7856" w:rsidRPr="00980C75" w:rsidRDefault="00AF7856" w:rsidP="004266CD">
      <w:pPr>
        <w:pStyle w:val="a7"/>
        <w:bidi/>
        <w:rPr>
          <w:rtl/>
        </w:rPr>
      </w:pPr>
      <w:r>
        <w:rPr>
          <w:rStyle w:val="a9"/>
        </w:rPr>
        <w:footnoteRef/>
      </w:r>
      <w:r>
        <w:t xml:space="preserve"> </w:t>
      </w:r>
      <w:r>
        <w:rPr>
          <w:rFonts w:hint="cs"/>
          <w:rtl/>
        </w:rPr>
        <w:t>למשל, שינוי פרקי זמן הנקובים בהסכם (מספר ימים שמוקצה למינוי בורר, מספר ימים שמוקצה לפרסום פסק הבורר, וכד'), קביעת תחום ההתמחות של המהנדס שימונה כמומחה בלתי תלוי, שלילת אפשרות המומחה הבלתי תלוי להסתייע במומחים וביועצים, וכד'.</w:t>
      </w:r>
    </w:p>
  </w:footnote>
  <w:footnote w:id="4">
    <w:p w:rsidR="0032423F" w:rsidRPr="0032423F" w:rsidRDefault="0032423F" w:rsidP="0032423F">
      <w:pPr>
        <w:pStyle w:val="a7"/>
        <w:bidi/>
        <w:rPr>
          <w:rtl/>
        </w:rPr>
      </w:pPr>
      <w:r>
        <w:rPr>
          <w:rStyle w:val="a9"/>
        </w:rPr>
        <w:footnoteRef/>
      </w:r>
      <w:r>
        <w:t xml:space="preserve"> </w:t>
      </w:r>
      <w:r>
        <w:rPr>
          <w:rFonts w:hint="cs"/>
          <w:rtl/>
        </w:rPr>
        <w:t xml:space="preserve"> מדובר בלוח הזמנים </w:t>
      </w:r>
      <w:r w:rsidRPr="0032423F">
        <w:rPr>
          <w:rFonts w:hint="cs"/>
          <w:rtl/>
        </w:rPr>
        <w:t>לביצוע</w:t>
      </w:r>
      <w:r w:rsidRPr="0032423F">
        <w:rPr>
          <w:rtl/>
        </w:rPr>
        <w:t xml:space="preserve"> </w:t>
      </w:r>
      <w:r w:rsidRPr="0032423F">
        <w:rPr>
          <w:rFonts w:hint="cs"/>
          <w:rtl/>
        </w:rPr>
        <w:t>הפרויקט</w:t>
      </w:r>
      <w:r w:rsidRPr="0032423F">
        <w:rPr>
          <w:rtl/>
        </w:rPr>
        <w:t xml:space="preserve"> </w:t>
      </w:r>
      <w:r w:rsidRPr="0032423F">
        <w:rPr>
          <w:rFonts w:hint="cs"/>
          <w:rtl/>
        </w:rPr>
        <w:t>שמגיש</w:t>
      </w:r>
      <w:r w:rsidRPr="0032423F">
        <w:rPr>
          <w:rtl/>
        </w:rPr>
        <w:t xml:space="preserve"> </w:t>
      </w:r>
      <w:r w:rsidRPr="0032423F">
        <w:rPr>
          <w:rFonts w:hint="cs"/>
          <w:rtl/>
        </w:rPr>
        <w:t>הזכיין</w:t>
      </w:r>
      <w:r w:rsidRPr="0032423F">
        <w:rPr>
          <w:rtl/>
        </w:rPr>
        <w:t xml:space="preserve"> </w:t>
      </w:r>
      <w:r w:rsidRPr="0032423F">
        <w:rPr>
          <w:rFonts w:hint="cs"/>
          <w:rtl/>
        </w:rPr>
        <w:t>טרם</w:t>
      </w:r>
      <w:r w:rsidRPr="0032423F">
        <w:rPr>
          <w:rtl/>
        </w:rPr>
        <w:t xml:space="preserve"> </w:t>
      </w:r>
      <w:r w:rsidRPr="0032423F">
        <w:rPr>
          <w:rFonts w:hint="cs"/>
          <w:rtl/>
        </w:rPr>
        <w:t>סגירה</w:t>
      </w:r>
      <w:r w:rsidRPr="0032423F">
        <w:rPr>
          <w:rtl/>
        </w:rPr>
        <w:t xml:space="preserve"> </w:t>
      </w:r>
      <w:r w:rsidRPr="0032423F">
        <w:rPr>
          <w:rFonts w:hint="cs"/>
          <w:rtl/>
        </w:rPr>
        <w:t>פיננסית</w:t>
      </w:r>
      <w:r w:rsidRPr="0032423F">
        <w:rPr>
          <w:rtl/>
        </w:rPr>
        <w:t xml:space="preserve">, </w:t>
      </w:r>
      <w:r w:rsidRPr="0032423F">
        <w:rPr>
          <w:rFonts w:hint="cs"/>
          <w:rtl/>
        </w:rPr>
        <w:t>אשר</w:t>
      </w:r>
      <w:r w:rsidRPr="0032423F">
        <w:rPr>
          <w:rtl/>
        </w:rPr>
        <w:t xml:space="preserve"> </w:t>
      </w:r>
      <w:r w:rsidRPr="0032423F">
        <w:rPr>
          <w:rFonts w:hint="cs"/>
          <w:rtl/>
        </w:rPr>
        <w:t>מאושר</w:t>
      </w:r>
      <w:r w:rsidRPr="0032423F">
        <w:rPr>
          <w:rtl/>
        </w:rPr>
        <w:t xml:space="preserve"> </w:t>
      </w:r>
      <w:r w:rsidRPr="0032423F">
        <w:rPr>
          <w:rFonts w:hint="cs"/>
          <w:rtl/>
        </w:rPr>
        <w:t>על</w:t>
      </w:r>
      <w:r w:rsidRPr="0032423F">
        <w:rPr>
          <w:rtl/>
        </w:rPr>
        <w:t xml:space="preserve"> </w:t>
      </w:r>
      <w:r w:rsidRPr="0032423F">
        <w:rPr>
          <w:rFonts w:hint="cs"/>
          <w:rtl/>
        </w:rPr>
        <w:t>ידי</w:t>
      </w:r>
      <w:r w:rsidRPr="0032423F">
        <w:rPr>
          <w:rtl/>
        </w:rPr>
        <w:t xml:space="preserve"> </w:t>
      </w:r>
      <w:r w:rsidRPr="0032423F">
        <w:rPr>
          <w:rFonts w:hint="cs"/>
          <w:rtl/>
        </w:rPr>
        <w:t>המזמינה</w:t>
      </w:r>
      <w:r w:rsidRPr="0032423F">
        <w:rPr>
          <w:rtl/>
        </w:rPr>
        <w:t xml:space="preserve"> </w:t>
      </w:r>
      <w:r w:rsidRPr="0032423F">
        <w:rPr>
          <w:rFonts w:hint="cs"/>
          <w:rtl/>
        </w:rPr>
        <w:t>ומצורף</w:t>
      </w:r>
      <w:r w:rsidRPr="0032423F">
        <w:rPr>
          <w:rtl/>
        </w:rPr>
        <w:t xml:space="preserve"> </w:t>
      </w:r>
      <w:r w:rsidRPr="0032423F">
        <w:rPr>
          <w:rFonts w:hint="cs"/>
          <w:rtl/>
        </w:rPr>
        <w:t>כנספח</w:t>
      </w:r>
      <w:r w:rsidRPr="0032423F">
        <w:rPr>
          <w:rtl/>
        </w:rPr>
        <w:t xml:space="preserve"> </w:t>
      </w:r>
      <w:r w:rsidRPr="0032423F">
        <w:rPr>
          <w:rFonts w:hint="cs"/>
          <w:rtl/>
        </w:rPr>
        <w:t>להסכם</w:t>
      </w:r>
      <w:r>
        <w:rPr>
          <w:rFonts w:hint="cs"/>
          <w:rtl/>
        </w:rPr>
        <w:t>.</w:t>
      </w:r>
    </w:p>
  </w:footnote>
  <w:footnote w:id="5">
    <w:p w:rsidR="0050594C" w:rsidRPr="0050594C" w:rsidRDefault="0050594C" w:rsidP="00844131">
      <w:pPr>
        <w:pStyle w:val="a7"/>
        <w:bidi/>
        <w:rPr>
          <w:rtl/>
        </w:rPr>
      </w:pPr>
      <w:r>
        <w:rPr>
          <w:rStyle w:val="a9"/>
        </w:rPr>
        <w:footnoteRef/>
      </w:r>
      <w:r>
        <w:t xml:space="preserve"> </w:t>
      </w:r>
      <w:r>
        <w:rPr>
          <w:rFonts w:hint="cs"/>
          <w:rtl/>
        </w:rPr>
        <w:t xml:space="preserve">למשל: </w:t>
      </w:r>
      <w:r w:rsidR="00844131" w:rsidRPr="00844131">
        <w:rPr>
          <w:rFonts w:hint="cs"/>
          <w:rtl/>
        </w:rPr>
        <w:t>החלטות</w:t>
      </w:r>
      <w:r w:rsidR="00844131" w:rsidRPr="00844131">
        <w:rPr>
          <w:rtl/>
        </w:rPr>
        <w:t xml:space="preserve"> </w:t>
      </w:r>
      <w:r w:rsidR="00844131" w:rsidRPr="00844131">
        <w:rPr>
          <w:rFonts w:hint="cs"/>
          <w:rtl/>
        </w:rPr>
        <w:t>בקשר</w:t>
      </w:r>
      <w:r w:rsidR="00844131" w:rsidRPr="00844131">
        <w:rPr>
          <w:rtl/>
        </w:rPr>
        <w:t xml:space="preserve"> </w:t>
      </w:r>
      <w:r w:rsidR="00844131">
        <w:rPr>
          <w:rFonts w:hint="cs"/>
          <w:rtl/>
        </w:rPr>
        <w:t>ל</w:t>
      </w:r>
      <w:r w:rsidR="00844131" w:rsidRPr="00844131">
        <w:rPr>
          <w:rFonts w:hint="cs"/>
          <w:rtl/>
        </w:rPr>
        <w:t>הפסקות</w:t>
      </w:r>
      <w:r w:rsidR="00844131" w:rsidRPr="00844131">
        <w:rPr>
          <w:rtl/>
        </w:rPr>
        <w:t xml:space="preserve"> </w:t>
      </w:r>
      <w:r w:rsidR="00844131" w:rsidRPr="00844131">
        <w:rPr>
          <w:rFonts w:hint="cs"/>
          <w:rtl/>
        </w:rPr>
        <w:t>עבודה</w:t>
      </w:r>
      <w:r w:rsidR="00844131" w:rsidRPr="00844131">
        <w:rPr>
          <w:rtl/>
        </w:rPr>
        <w:t xml:space="preserve"> </w:t>
      </w:r>
      <w:r w:rsidR="00844131" w:rsidRPr="00844131">
        <w:rPr>
          <w:rFonts w:hint="cs"/>
          <w:rtl/>
        </w:rPr>
        <w:t>בשלב</w:t>
      </w:r>
      <w:r w:rsidR="00844131" w:rsidRPr="00844131">
        <w:rPr>
          <w:rtl/>
        </w:rPr>
        <w:t xml:space="preserve"> </w:t>
      </w:r>
      <w:r w:rsidR="00844131" w:rsidRPr="00844131">
        <w:rPr>
          <w:rFonts w:hint="cs"/>
          <w:rtl/>
        </w:rPr>
        <w:t>ההקמה</w:t>
      </w:r>
      <w:r w:rsidR="00C3602F">
        <w:rPr>
          <w:rFonts w:hint="cs"/>
          <w:rtl/>
        </w:rPr>
        <w:t>,</w:t>
      </w:r>
      <w:r w:rsidR="00844131">
        <w:rPr>
          <w:rFonts w:hint="cs"/>
          <w:rtl/>
        </w:rPr>
        <w:t xml:space="preserve"> </w:t>
      </w:r>
      <w:r w:rsidR="00844131" w:rsidRPr="00844131">
        <w:rPr>
          <w:rFonts w:hint="cs"/>
          <w:rtl/>
        </w:rPr>
        <w:t>אישור</w:t>
      </w:r>
      <w:r w:rsidR="00844131" w:rsidRPr="00844131">
        <w:rPr>
          <w:rtl/>
        </w:rPr>
        <w:t xml:space="preserve"> </w:t>
      </w:r>
      <w:r w:rsidR="00844131" w:rsidRPr="00844131">
        <w:rPr>
          <w:rFonts w:hint="cs"/>
          <w:rtl/>
        </w:rPr>
        <w:t>אירוע</w:t>
      </w:r>
      <w:r w:rsidR="00844131" w:rsidRPr="00844131">
        <w:rPr>
          <w:rtl/>
        </w:rPr>
        <w:t xml:space="preserve"> </w:t>
      </w:r>
      <w:r w:rsidR="00844131" w:rsidRPr="00844131">
        <w:rPr>
          <w:rFonts w:hint="cs"/>
          <w:rtl/>
        </w:rPr>
        <w:t>על</w:t>
      </w:r>
      <w:r w:rsidR="00844131" w:rsidRPr="00844131">
        <w:rPr>
          <w:rtl/>
        </w:rPr>
        <w:t xml:space="preserve"> </w:t>
      </w:r>
      <w:r w:rsidR="00844131" w:rsidRPr="00844131">
        <w:rPr>
          <w:rFonts w:hint="cs"/>
          <w:rtl/>
        </w:rPr>
        <w:t>ידי</w:t>
      </w:r>
      <w:r w:rsidR="00844131" w:rsidRPr="00844131">
        <w:rPr>
          <w:rtl/>
        </w:rPr>
        <w:t xml:space="preserve"> </w:t>
      </w:r>
      <w:r w:rsidR="00844131" w:rsidRPr="00844131">
        <w:rPr>
          <w:rFonts w:hint="cs"/>
          <w:rtl/>
        </w:rPr>
        <w:t>הבורר</w:t>
      </w:r>
      <w:r w:rsidR="00844131" w:rsidRPr="00844131">
        <w:rPr>
          <w:rtl/>
        </w:rPr>
        <w:t xml:space="preserve"> </w:t>
      </w:r>
      <w:r w:rsidR="00844131" w:rsidRPr="00844131">
        <w:rPr>
          <w:rFonts w:hint="cs"/>
          <w:rtl/>
        </w:rPr>
        <w:t>כאירוע</w:t>
      </w:r>
      <w:r w:rsidR="00844131" w:rsidRPr="00844131">
        <w:rPr>
          <w:rtl/>
        </w:rPr>
        <w:t xml:space="preserve"> "</w:t>
      </w:r>
      <w:proofErr w:type="spellStart"/>
      <w:r w:rsidR="00844131" w:rsidRPr="00844131">
        <w:rPr>
          <w:rFonts w:hint="cs"/>
          <w:rtl/>
        </w:rPr>
        <w:t>כח</w:t>
      </w:r>
      <w:proofErr w:type="spellEnd"/>
      <w:r w:rsidR="00844131" w:rsidRPr="00844131">
        <w:rPr>
          <w:rtl/>
        </w:rPr>
        <w:t xml:space="preserve"> </w:t>
      </w:r>
      <w:r w:rsidR="00844131" w:rsidRPr="00844131">
        <w:rPr>
          <w:rFonts w:hint="cs"/>
          <w:rtl/>
        </w:rPr>
        <w:t>עליון</w:t>
      </w:r>
      <w:r w:rsidR="00844131" w:rsidRPr="00844131">
        <w:rPr>
          <w:rtl/>
        </w:rPr>
        <w:t>"</w:t>
      </w:r>
      <w:r w:rsidR="00C3602F">
        <w:rPr>
          <w:rFonts w:hint="cs"/>
          <w:rtl/>
        </w:rPr>
        <w:t>,</w:t>
      </w:r>
      <w:r w:rsidR="00844131">
        <w:rPr>
          <w:rFonts w:hint="cs"/>
          <w:rtl/>
        </w:rPr>
        <w:t xml:space="preserve"> </w:t>
      </w:r>
      <w:r w:rsidR="00844131" w:rsidRPr="00844131">
        <w:rPr>
          <w:rFonts w:hint="cs"/>
          <w:rtl/>
        </w:rPr>
        <w:t>קביעת</w:t>
      </w:r>
      <w:r w:rsidR="00844131" w:rsidRPr="00844131">
        <w:rPr>
          <w:rtl/>
        </w:rPr>
        <w:t xml:space="preserve"> </w:t>
      </w:r>
      <w:r w:rsidR="00844131" w:rsidRPr="00844131">
        <w:rPr>
          <w:rFonts w:hint="cs"/>
          <w:rtl/>
        </w:rPr>
        <w:t>סכום</w:t>
      </w:r>
      <w:r w:rsidR="00844131" w:rsidRPr="00844131">
        <w:rPr>
          <w:rtl/>
        </w:rPr>
        <w:t xml:space="preserve"> </w:t>
      </w:r>
      <w:r w:rsidR="00844131" w:rsidRPr="00844131">
        <w:rPr>
          <w:rFonts w:hint="cs"/>
          <w:rtl/>
        </w:rPr>
        <w:t>הפיצוי</w:t>
      </w:r>
      <w:r w:rsidR="00844131" w:rsidRPr="00844131">
        <w:rPr>
          <w:rtl/>
        </w:rPr>
        <w:t xml:space="preserve"> </w:t>
      </w:r>
      <w:r w:rsidR="00844131" w:rsidRPr="00844131">
        <w:rPr>
          <w:rFonts w:hint="cs"/>
          <w:rtl/>
        </w:rPr>
        <w:t>לזכיין</w:t>
      </w:r>
      <w:r w:rsidR="00844131" w:rsidRPr="00844131">
        <w:rPr>
          <w:rtl/>
        </w:rPr>
        <w:t xml:space="preserve"> </w:t>
      </w:r>
      <w:r w:rsidR="00844131" w:rsidRPr="00844131">
        <w:rPr>
          <w:rFonts w:hint="cs"/>
          <w:rtl/>
        </w:rPr>
        <w:t>במקרה</w:t>
      </w:r>
      <w:r w:rsidR="00844131" w:rsidRPr="00844131">
        <w:rPr>
          <w:rtl/>
        </w:rPr>
        <w:t xml:space="preserve"> </w:t>
      </w:r>
      <w:r w:rsidR="00844131" w:rsidRPr="00844131">
        <w:rPr>
          <w:rFonts w:hint="cs"/>
          <w:rtl/>
        </w:rPr>
        <w:t>של</w:t>
      </w:r>
      <w:r w:rsidR="00844131" w:rsidRPr="00844131">
        <w:rPr>
          <w:rtl/>
        </w:rPr>
        <w:t xml:space="preserve"> </w:t>
      </w:r>
      <w:r w:rsidR="00844131" w:rsidRPr="00844131">
        <w:rPr>
          <w:rFonts w:hint="cs"/>
          <w:rtl/>
        </w:rPr>
        <w:t>ביטול</w:t>
      </w:r>
      <w:r w:rsidR="00844131" w:rsidRPr="00844131">
        <w:rPr>
          <w:rtl/>
        </w:rPr>
        <w:t xml:space="preserve"> </w:t>
      </w:r>
      <w:r w:rsidR="00844131" w:rsidRPr="00844131">
        <w:rPr>
          <w:rFonts w:hint="cs"/>
          <w:rtl/>
        </w:rPr>
        <w:t>מטעמי</w:t>
      </w:r>
      <w:r w:rsidR="00844131" w:rsidRPr="00844131">
        <w:rPr>
          <w:rtl/>
        </w:rPr>
        <w:t xml:space="preserve"> </w:t>
      </w:r>
      <w:r w:rsidR="00844131" w:rsidRPr="00844131">
        <w:rPr>
          <w:rFonts w:hint="cs"/>
          <w:rtl/>
        </w:rPr>
        <w:t>נוחות</w:t>
      </w:r>
      <w:r w:rsidR="00844131">
        <w:rPr>
          <w:rFonts w:hint="cs"/>
          <w:rtl/>
        </w:rPr>
        <w:t>, וכד'.</w:t>
      </w:r>
    </w:p>
  </w:footnote>
  <w:footnote w:id="6">
    <w:p w:rsidR="00AF7856" w:rsidRPr="00BE32F9" w:rsidRDefault="00AF7856" w:rsidP="00BE32F9">
      <w:pPr>
        <w:pStyle w:val="a7"/>
        <w:bidi/>
        <w:rPr>
          <w:rtl/>
        </w:rPr>
      </w:pPr>
      <w:r>
        <w:rPr>
          <w:rStyle w:val="a9"/>
        </w:rPr>
        <w:footnoteRef/>
      </w:r>
      <w:r>
        <w:t xml:space="preserve"> </w:t>
      </w:r>
      <w:r>
        <w:rPr>
          <w:rFonts w:hint="cs"/>
          <w:rtl/>
        </w:rPr>
        <w:t xml:space="preserve"> ס' 24 לחוק הבוררות, התשכ"ח-1968 קובע כי </w:t>
      </w:r>
      <w:r w:rsidRPr="00BE32F9">
        <w:rPr>
          <w:rFonts w:hint="cs"/>
          <w:rtl/>
        </w:rPr>
        <w:t>בית</w:t>
      </w:r>
      <w:r w:rsidRPr="00BE32F9">
        <w:rPr>
          <w:rtl/>
        </w:rPr>
        <w:t xml:space="preserve"> </w:t>
      </w:r>
      <w:r w:rsidRPr="00BE32F9">
        <w:rPr>
          <w:rFonts w:hint="cs"/>
          <w:rtl/>
        </w:rPr>
        <w:t>המשפט</w:t>
      </w:r>
      <w:r w:rsidRPr="00BE32F9">
        <w:rPr>
          <w:rtl/>
        </w:rPr>
        <w:t xml:space="preserve"> </w:t>
      </w:r>
      <w:r w:rsidRPr="00BE32F9">
        <w:rPr>
          <w:rFonts w:hint="cs"/>
          <w:rtl/>
        </w:rPr>
        <w:t>רשאי</w:t>
      </w:r>
      <w:r w:rsidRPr="00BE32F9">
        <w:rPr>
          <w:rtl/>
        </w:rPr>
        <w:t xml:space="preserve">, </w:t>
      </w:r>
      <w:r w:rsidRPr="00BE32F9">
        <w:rPr>
          <w:rFonts w:hint="cs"/>
          <w:rtl/>
        </w:rPr>
        <w:t>על</w:t>
      </w:r>
      <w:r w:rsidRPr="00BE32F9">
        <w:rPr>
          <w:rtl/>
        </w:rPr>
        <w:t xml:space="preserve"> </w:t>
      </w:r>
      <w:r w:rsidRPr="00BE32F9">
        <w:rPr>
          <w:rFonts w:hint="cs"/>
          <w:rtl/>
        </w:rPr>
        <w:t>פי</w:t>
      </w:r>
      <w:r w:rsidRPr="00BE32F9">
        <w:rPr>
          <w:rtl/>
        </w:rPr>
        <w:t xml:space="preserve"> </w:t>
      </w:r>
      <w:r w:rsidRPr="00BE32F9">
        <w:rPr>
          <w:rFonts w:hint="cs"/>
          <w:rtl/>
        </w:rPr>
        <w:t>בקשת</w:t>
      </w:r>
      <w:r w:rsidRPr="00BE32F9">
        <w:rPr>
          <w:rtl/>
        </w:rPr>
        <w:t xml:space="preserve"> </w:t>
      </w:r>
      <w:r w:rsidRPr="00BE32F9">
        <w:rPr>
          <w:rFonts w:hint="cs"/>
          <w:rtl/>
        </w:rPr>
        <w:t>בעל</w:t>
      </w:r>
      <w:r w:rsidRPr="00BE32F9">
        <w:rPr>
          <w:rtl/>
        </w:rPr>
        <w:t>-</w:t>
      </w:r>
      <w:r w:rsidRPr="00BE32F9">
        <w:rPr>
          <w:rFonts w:hint="cs"/>
          <w:rtl/>
        </w:rPr>
        <w:t>דין</w:t>
      </w:r>
      <w:r>
        <w:rPr>
          <w:rFonts w:hint="cs"/>
          <w:rtl/>
        </w:rPr>
        <w:t>,</w:t>
      </w:r>
      <w:r w:rsidRPr="00BE32F9">
        <w:rPr>
          <w:rtl/>
        </w:rPr>
        <w:t xml:space="preserve"> </w:t>
      </w:r>
      <w:r w:rsidRPr="00BE32F9">
        <w:rPr>
          <w:rFonts w:hint="cs"/>
          <w:rtl/>
        </w:rPr>
        <w:t>לבטל</w:t>
      </w:r>
      <w:r w:rsidRPr="00BE32F9">
        <w:rPr>
          <w:rtl/>
        </w:rPr>
        <w:t xml:space="preserve"> </w:t>
      </w:r>
      <w:r w:rsidRPr="00BE32F9">
        <w:rPr>
          <w:rFonts w:hint="cs"/>
          <w:rtl/>
        </w:rPr>
        <w:t>פסק</w:t>
      </w:r>
      <w:r w:rsidRPr="00BE32F9">
        <w:rPr>
          <w:rtl/>
        </w:rPr>
        <w:t xml:space="preserve"> </w:t>
      </w:r>
      <w:r w:rsidRPr="00BE32F9">
        <w:rPr>
          <w:rFonts w:hint="cs"/>
          <w:rtl/>
        </w:rPr>
        <w:t>בוררות</w:t>
      </w:r>
      <w:r w:rsidRPr="00BE32F9">
        <w:rPr>
          <w:rtl/>
        </w:rPr>
        <w:t xml:space="preserve">, </w:t>
      </w:r>
      <w:r w:rsidRPr="00BE32F9">
        <w:rPr>
          <w:rFonts w:hint="cs"/>
          <w:rtl/>
        </w:rPr>
        <w:t>כולו</w:t>
      </w:r>
      <w:r w:rsidRPr="00BE32F9">
        <w:rPr>
          <w:rtl/>
        </w:rPr>
        <w:t xml:space="preserve"> </w:t>
      </w:r>
      <w:r w:rsidRPr="00BE32F9">
        <w:rPr>
          <w:rFonts w:hint="cs"/>
          <w:rtl/>
        </w:rPr>
        <w:t>או</w:t>
      </w:r>
      <w:r w:rsidRPr="00BE32F9">
        <w:rPr>
          <w:rtl/>
        </w:rPr>
        <w:t xml:space="preserve"> </w:t>
      </w:r>
      <w:r w:rsidRPr="00BE32F9">
        <w:rPr>
          <w:rFonts w:hint="cs"/>
          <w:rtl/>
        </w:rPr>
        <w:t>חלקו</w:t>
      </w:r>
      <w:r w:rsidRPr="00BE32F9">
        <w:rPr>
          <w:rtl/>
        </w:rPr>
        <w:t xml:space="preserve">, </w:t>
      </w:r>
      <w:r w:rsidRPr="00BE32F9">
        <w:rPr>
          <w:rFonts w:hint="cs"/>
          <w:rtl/>
        </w:rPr>
        <w:t>להשלימו</w:t>
      </w:r>
      <w:r w:rsidRPr="00BE32F9">
        <w:rPr>
          <w:rtl/>
        </w:rPr>
        <w:t xml:space="preserve">, </w:t>
      </w:r>
      <w:r w:rsidRPr="00BE32F9">
        <w:rPr>
          <w:rFonts w:hint="cs"/>
          <w:rtl/>
        </w:rPr>
        <w:t>לתקנו</w:t>
      </w:r>
      <w:r w:rsidRPr="00BE32F9">
        <w:rPr>
          <w:rtl/>
        </w:rPr>
        <w:t xml:space="preserve"> </w:t>
      </w:r>
      <w:r w:rsidRPr="00BE32F9">
        <w:rPr>
          <w:rFonts w:hint="cs"/>
          <w:rtl/>
        </w:rPr>
        <w:t>או</w:t>
      </w:r>
      <w:r w:rsidRPr="00BE32F9">
        <w:rPr>
          <w:rtl/>
        </w:rPr>
        <w:t xml:space="preserve"> </w:t>
      </w:r>
      <w:r w:rsidRPr="00BE32F9">
        <w:rPr>
          <w:rFonts w:hint="cs"/>
          <w:rtl/>
        </w:rPr>
        <w:t>להחזירו</w:t>
      </w:r>
      <w:r w:rsidRPr="00BE32F9">
        <w:rPr>
          <w:rtl/>
        </w:rPr>
        <w:t xml:space="preserve"> </w:t>
      </w:r>
      <w:r w:rsidRPr="00BE32F9">
        <w:rPr>
          <w:rFonts w:hint="cs"/>
          <w:rtl/>
        </w:rPr>
        <w:t>לבורר</w:t>
      </w:r>
      <w:r w:rsidRPr="00BE32F9">
        <w:rPr>
          <w:rtl/>
        </w:rPr>
        <w:t xml:space="preserve">, </w:t>
      </w:r>
      <w:r>
        <w:rPr>
          <w:rFonts w:hint="cs"/>
          <w:rtl/>
        </w:rPr>
        <w:t xml:space="preserve">בשל </w:t>
      </w:r>
      <w:r w:rsidRPr="00BE32F9">
        <w:rPr>
          <w:rFonts w:hint="cs"/>
          <w:rtl/>
        </w:rPr>
        <w:t>אחת</w:t>
      </w:r>
      <w:r w:rsidRPr="00BE32F9">
        <w:rPr>
          <w:rtl/>
        </w:rPr>
        <w:t xml:space="preserve"> </w:t>
      </w:r>
      <w:r>
        <w:rPr>
          <w:rFonts w:hint="cs"/>
          <w:rtl/>
        </w:rPr>
        <w:t>מעשר העילות המנויות בסעיף (למשל, חריגת הבורר מסמכות, תוכן הפסק מנוגד לתקנת הציבור, וכו').</w:t>
      </w:r>
    </w:p>
  </w:footnote>
  <w:footnote w:id="7">
    <w:p w:rsidR="00AF7856" w:rsidRPr="006D0D9B" w:rsidRDefault="00AF7856" w:rsidP="002D2AD5">
      <w:pPr>
        <w:pStyle w:val="a7"/>
        <w:bidi/>
        <w:rPr>
          <w:rtl/>
        </w:rPr>
      </w:pPr>
      <w:r>
        <w:rPr>
          <w:rStyle w:val="a9"/>
        </w:rPr>
        <w:footnoteRef/>
      </w:r>
      <w:r>
        <w:t xml:space="preserve"> </w:t>
      </w:r>
      <w:r>
        <w:rPr>
          <w:rFonts w:hint="cs"/>
          <w:rtl/>
        </w:rPr>
        <w:t xml:space="preserve"> ס' 29ב לחוק הבוררות,</w:t>
      </w:r>
      <w:r w:rsidRPr="00BF18E2">
        <w:rPr>
          <w:rFonts w:hint="cs"/>
          <w:rtl/>
        </w:rPr>
        <w:t xml:space="preserve"> </w:t>
      </w:r>
      <w:r>
        <w:rPr>
          <w:rFonts w:hint="cs"/>
          <w:rtl/>
        </w:rPr>
        <w:t xml:space="preserve">התשכ"ח-1968  מאפשר להגיש ערעור ברשות </w:t>
      </w:r>
      <w:r w:rsidRPr="00485FE5">
        <w:rPr>
          <w:rFonts w:hint="cs"/>
          <w:rtl/>
        </w:rPr>
        <w:t>אם</w:t>
      </w:r>
      <w:r w:rsidRPr="00485FE5">
        <w:rPr>
          <w:rtl/>
        </w:rPr>
        <w:t xml:space="preserve"> </w:t>
      </w:r>
      <w:r w:rsidRPr="00485FE5">
        <w:rPr>
          <w:rFonts w:hint="cs"/>
          <w:rtl/>
        </w:rPr>
        <w:t>נפלה</w:t>
      </w:r>
      <w:r w:rsidRPr="00485FE5">
        <w:rPr>
          <w:rtl/>
        </w:rPr>
        <w:t xml:space="preserve"> </w:t>
      </w:r>
      <w:r>
        <w:rPr>
          <w:rFonts w:hint="cs"/>
          <w:rtl/>
        </w:rPr>
        <w:t xml:space="preserve">בפסק </w:t>
      </w:r>
      <w:r w:rsidRPr="00485FE5">
        <w:rPr>
          <w:rFonts w:hint="cs"/>
          <w:rtl/>
        </w:rPr>
        <w:t>טעות</w:t>
      </w:r>
      <w:r w:rsidRPr="00485FE5">
        <w:rPr>
          <w:rtl/>
        </w:rPr>
        <w:t xml:space="preserve"> </w:t>
      </w:r>
      <w:r w:rsidRPr="00485FE5">
        <w:rPr>
          <w:rFonts w:hint="cs"/>
          <w:rtl/>
        </w:rPr>
        <w:t>יסודית</w:t>
      </w:r>
      <w:r w:rsidRPr="00485FE5">
        <w:rPr>
          <w:rtl/>
        </w:rPr>
        <w:t xml:space="preserve"> </w:t>
      </w:r>
      <w:r w:rsidRPr="00485FE5">
        <w:rPr>
          <w:rFonts w:hint="cs"/>
          <w:rtl/>
        </w:rPr>
        <w:t>ביישום</w:t>
      </w:r>
      <w:r w:rsidRPr="00485FE5">
        <w:rPr>
          <w:rtl/>
        </w:rPr>
        <w:t xml:space="preserve"> </w:t>
      </w:r>
      <w:r w:rsidRPr="00485FE5">
        <w:rPr>
          <w:rFonts w:hint="cs"/>
          <w:rtl/>
        </w:rPr>
        <w:t>הדין</w:t>
      </w:r>
      <w:r w:rsidRPr="00485FE5">
        <w:rPr>
          <w:rtl/>
        </w:rPr>
        <w:t xml:space="preserve"> </w:t>
      </w:r>
      <w:r w:rsidRPr="00485FE5">
        <w:rPr>
          <w:rFonts w:hint="cs"/>
          <w:rtl/>
        </w:rPr>
        <w:t>אשר</w:t>
      </w:r>
      <w:r w:rsidRPr="00485FE5">
        <w:rPr>
          <w:rtl/>
        </w:rPr>
        <w:t xml:space="preserve"> </w:t>
      </w:r>
      <w:r w:rsidRPr="00485FE5">
        <w:rPr>
          <w:rFonts w:hint="cs"/>
          <w:rtl/>
        </w:rPr>
        <w:t>יש</w:t>
      </w:r>
      <w:r w:rsidRPr="00485FE5">
        <w:rPr>
          <w:rtl/>
        </w:rPr>
        <w:t xml:space="preserve"> </w:t>
      </w:r>
      <w:r w:rsidRPr="00485FE5">
        <w:rPr>
          <w:rFonts w:hint="cs"/>
          <w:rtl/>
        </w:rPr>
        <w:t>בה</w:t>
      </w:r>
      <w:r w:rsidRPr="00485FE5">
        <w:rPr>
          <w:rtl/>
        </w:rPr>
        <w:t xml:space="preserve"> </w:t>
      </w:r>
      <w:r w:rsidRPr="00485FE5">
        <w:rPr>
          <w:rFonts w:hint="cs"/>
          <w:rtl/>
        </w:rPr>
        <w:t>כדי</w:t>
      </w:r>
      <w:r w:rsidRPr="00485FE5">
        <w:rPr>
          <w:rtl/>
        </w:rPr>
        <w:t xml:space="preserve"> </w:t>
      </w:r>
      <w:r w:rsidRPr="00485FE5">
        <w:rPr>
          <w:rFonts w:hint="cs"/>
          <w:rtl/>
        </w:rPr>
        <w:t>לגרום</w:t>
      </w:r>
      <w:r w:rsidRPr="00485FE5">
        <w:rPr>
          <w:rtl/>
        </w:rPr>
        <w:t xml:space="preserve"> </w:t>
      </w:r>
      <w:r w:rsidRPr="00485FE5">
        <w:rPr>
          <w:rFonts w:hint="cs"/>
          <w:rtl/>
        </w:rPr>
        <w:t>לעיוות</w:t>
      </w:r>
      <w:r w:rsidRPr="00485FE5">
        <w:rPr>
          <w:rtl/>
        </w:rPr>
        <w:t xml:space="preserve"> </w:t>
      </w:r>
      <w:r w:rsidRPr="00485FE5">
        <w:rPr>
          <w:rFonts w:hint="cs"/>
          <w:rtl/>
        </w:rPr>
        <w:t>דין</w:t>
      </w:r>
      <w:r>
        <w:rPr>
          <w:rFonts w:hint="cs"/>
          <w:rtl/>
        </w:rPr>
        <w:t xml:space="preserve"> או אם התקיימו עילות לביטול פסק הבורר לפי ס' 24 לחוק הבוררות.</w:t>
      </w:r>
    </w:p>
  </w:footnote>
  <w:footnote w:id="8">
    <w:p w:rsidR="00AF7856" w:rsidRDefault="00AF7856" w:rsidP="00AD4F2C">
      <w:pPr>
        <w:pStyle w:val="a7"/>
        <w:bidi/>
        <w:jc w:val="both"/>
        <w:rPr>
          <w:rtl/>
        </w:rPr>
      </w:pPr>
      <w:r>
        <w:rPr>
          <w:rStyle w:val="a9"/>
        </w:rPr>
        <w:footnoteRef/>
      </w:r>
      <w:r>
        <w:t xml:space="preserve"> </w:t>
      </w:r>
      <w:r>
        <w:rPr>
          <w:rFonts w:hint="cs"/>
          <w:rtl/>
        </w:rPr>
        <w:t xml:space="preserve"> הכוונה היא ל</w:t>
      </w:r>
      <w:r w:rsidRPr="00C922C0">
        <w:rPr>
          <w:rFonts w:hint="cs"/>
          <w:rtl/>
        </w:rPr>
        <w:t>הוראות</w:t>
      </w:r>
      <w:r w:rsidRPr="00C922C0">
        <w:rPr>
          <w:rtl/>
        </w:rPr>
        <w:t xml:space="preserve"> </w:t>
      </w:r>
      <w:r w:rsidRPr="00C922C0">
        <w:rPr>
          <w:rFonts w:hint="cs"/>
          <w:rtl/>
        </w:rPr>
        <w:t>המקנות</w:t>
      </w:r>
      <w:r w:rsidRPr="00C922C0">
        <w:rPr>
          <w:rtl/>
        </w:rPr>
        <w:t xml:space="preserve"> </w:t>
      </w:r>
      <w:r w:rsidRPr="00C922C0">
        <w:rPr>
          <w:rFonts w:hint="cs"/>
          <w:rtl/>
        </w:rPr>
        <w:t>לזכיין</w:t>
      </w:r>
      <w:r w:rsidRPr="00C922C0">
        <w:rPr>
          <w:rtl/>
        </w:rPr>
        <w:t xml:space="preserve"> </w:t>
      </w:r>
      <w:r w:rsidRPr="00C922C0">
        <w:rPr>
          <w:rFonts w:hint="cs"/>
          <w:rtl/>
        </w:rPr>
        <w:t>פיצוי</w:t>
      </w:r>
      <w:r w:rsidRPr="00C922C0">
        <w:rPr>
          <w:rtl/>
        </w:rPr>
        <w:t xml:space="preserve"> </w:t>
      </w:r>
      <w:r w:rsidRPr="00C922C0">
        <w:rPr>
          <w:rFonts w:hint="cs"/>
          <w:rtl/>
        </w:rPr>
        <w:t>במקרה</w:t>
      </w:r>
      <w:r w:rsidRPr="00C922C0">
        <w:rPr>
          <w:rtl/>
        </w:rPr>
        <w:t xml:space="preserve"> </w:t>
      </w:r>
      <w:r w:rsidRPr="00C922C0">
        <w:rPr>
          <w:rFonts w:hint="cs"/>
          <w:rtl/>
        </w:rPr>
        <w:t>של</w:t>
      </w:r>
      <w:r w:rsidRPr="00C922C0">
        <w:rPr>
          <w:rtl/>
        </w:rPr>
        <w:t xml:space="preserve"> </w:t>
      </w:r>
      <w:r w:rsidRPr="00C922C0">
        <w:rPr>
          <w:rFonts w:hint="cs"/>
          <w:rtl/>
        </w:rPr>
        <w:t>שינוי</w:t>
      </w:r>
      <w:r w:rsidRPr="00C922C0">
        <w:rPr>
          <w:rtl/>
        </w:rPr>
        <w:t xml:space="preserve"> </w:t>
      </w:r>
      <w:r w:rsidRPr="00C922C0">
        <w:rPr>
          <w:rFonts w:hint="cs"/>
          <w:rtl/>
        </w:rPr>
        <w:t>בדין</w:t>
      </w:r>
      <w:r w:rsidRPr="00C922C0">
        <w:rPr>
          <w:rtl/>
        </w:rPr>
        <w:t xml:space="preserve">, </w:t>
      </w:r>
      <w:r w:rsidRPr="00C922C0">
        <w:rPr>
          <w:rFonts w:hint="cs"/>
          <w:rtl/>
        </w:rPr>
        <w:t>שחל</w:t>
      </w:r>
      <w:r w:rsidRPr="00C922C0">
        <w:rPr>
          <w:rtl/>
        </w:rPr>
        <w:t xml:space="preserve"> </w:t>
      </w:r>
      <w:r w:rsidRPr="00C922C0">
        <w:rPr>
          <w:rFonts w:hint="cs"/>
          <w:rtl/>
        </w:rPr>
        <w:t>במישרין</w:t>
      </w:r>
      <w:r w:rsidRPr="00C922C0">
        <w:rPr>
          <w:rtl/>
        </w:rPr>
        <w:t xml:space="preserve"> </w:t>
      </w:r>
      <w:r w:rsidRPr="00C922C0">
        <w:rPr>
          <w:rFonts w:hint="cs"/>
          <w:rtl/>
        </w:rPr>
        <w:t>רק</w:t>
      </w:r>
      <w:r w:rsidRPr="00C922C0">
        <w:rPr>
          <w:rtl/>
        </w:rPr>
        <w:t xml:space="preserve"> </w:t>
      </w:r>
      <w:r w:rsidRPr="00C922C0">
        <w:rPr>
          <w:rFonts w:hint="cs"/>
          <w:rtl/>
        </w:rPr>
        <w:t>על</w:t>
      </w:r>
      <w:r w:rsidRPr="00C922C0">
        <w:rPr>
          <w:rtl/>
        </w:rPr>
        <w:t xml:space="preserve"> </w:t>
      </w:r>
      <w:r w:rsidRPr="00C922C0">
        <w:rPr>
          <w:rFonts w:hint="cs"/>
          <w:rtl/>
        </w:rPr>
        <w:t>הזכיין</w:t>
      </w:r>
      <w:r w:rsidRPr="00C922C0">
        <w:rPr>
          <w:rtl/>
        </w:rPr>
        <w:t xml:space="preserve"> </w:t>
      </w:r>
      <w:r w:rsidRPr="00C922C0">
        <w:rPr>
          <w:rFonts w:hint="cs"/>
          <w:rtl/>
        </w:rPr>
        <w:t>או</w:t>
      </w:r>
      <w:r w:rsidRPr="00C922C0">
        <w:rPr>
          <w:rtl/>
        </w:rPr>
        <w:t xml:space="preserve"> </w:t>
      </w:r>
      <w:r w:rsidRPr="00C922C0">
        <w:rPr>
          <w:rFonts w:hint="cs"/>
          <w:rtl/>
        </w:rPr>
        <w:t>הפרויקט</w:t>
      </w:r>
      <w:r>
        <w:rPr>
          <w:rFonts w:hint="cs"/>
          <w:rtl/>
        </w:rPr>
        <w:t xml:space="preserve"> (בכפוף לתנאי החוזה)</w:t>
      </w:r>
      <w:r w:rsidRPr="00C922C0">
        <w:rPr>
          <w:rtl/>
        </w:rPr>
        <w:t>.</w:t>
      </w:r>
    </w:p>
  </w:footnote>
  <w:footnote w:id="9">
    <w:p w:rsidR="00AF7856" w:rsidRPr="00A660C0" w:rsidRDefault="00AF7856" w:rsidP="00AD4F2C">
      <w:pPr>
        <w:pStyle w:val="a7"/>
        <w:bidi/>
        <w:rPr>
          <w:rtl/>
        </w:rPr>
      </w:pPr>
      <w:r>
        <w:rPr>
          <w:rStyle w:val="a9"/>
        </w:rPr>
        <w:footnoteRef/>
      </w:r>
      <w:r>
        <w:t xml:space="preserve"> </w:t>
      </w:r>
      <w:r>
        <w:rPr>
          <w:rFonts w:hint="cs"/>
          <w:rtl/>
        </w:rPr>
        <w:t xml:space="preserve"> הכוונה היא להוראות המקנות לזכיין פיצוי במקרה שבו המדינה נותנת לו הוראת שינוי.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E7" w:rsidRDefault="001242E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E7" w:rsidRDefault="001242E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E7" w:rsidRDefault="001242E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43D"/>
    <w:multiLevelType w:val="hybridMultilevel"/>
    <w:tmpl w:val="6D724F50"/>
    <w:lvl w:ilvl="0" w:tplc="FA88DB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A508E"/>
    <w:multiLevelType w:val="hybridMultilevel"/>
    <w:tmpl w:val="738C4EAA"/>
    <w:lvl w:ilvl="0" w:tplc="B4BE86A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513B4C"/>
    <w:multiLevelType w:val="hybridMultilevel"/>
    <w:tmpl w:val="279AA2A0"/>
    <w:lvl w:ilvl="0" w:tplc="0409000F">
      <w:start w:val="1"/>
      <w:numFmt w:val="decimal"/>
      <w:lvlText w:val="%1."/>
      <w:lvlJc w:val="left"/>
      <w:pPr>
        <w:tabs>
          <w:tab w:val="num" w:pos="360"/>
        </w:tabs>
        <w:ind w:left="360" w:hanging="360"/>
      </w:pPr>
      <w:rPr>
        <w:rFonts w:hint="default"/>
      </w:rPr>
    </w:lvl>
    <w:lvl w:ilvl="1" w:tplc="44585B2E">
      <w:start w:val="1"/>
      <w:numFmt w:val="hebrew1"/>
      <w:lvlText w:val="%2."/>
      <w:lvlJc w:val="left"/>
      <w:pPr>
        <w:tabs>
          <w:tab w:val="num" w:pos="1080"/>
        </w:tabs>
        <w:ind w:left="1080" w:hanging="360"/>
      </w:pPr>
      <w:rPr>
        <w:rFonts w:ascii="Calibri" w:eastAsia="Calibri" w:hAnsi="Calibri" w:cs="David"/>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471330C"/>
    <w:multiLevelType w:val="hybridMultilevel"/>
    <w:tmpl w:val="A844DD6E"/>
    <w:lvl w:ilvl="0" w:tplc="6044762E">
      <w:start w:val="1"/>
      <w:numFmt w:val="hebrew1"/>
      <w:lvlText w:val="%1."/>
      <w:lvlJc w:val="left"/>
      <w:pPr>
        <w:ind w:left="720" w:hanging="360"/>
      </w:pPr>
      <w:rPr>
        <w:rFonts w:hint="default"/>
        <w:color w:val="auto"/>
        <w:sz w:val="24"/>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DF3BC4"/>
    <w:multiLevelType w:val="hybridMultilevel"/>
    <w:tmpl w:val="2EE6859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7B0C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9F5EC2"/>
    <w:multiLevelType w:val="hybridMultilevel"/>
    <w:tmpl w:val="152A5C2A"/>
    <w:lvl w:ilvl="0" w:tplc="23389F12">
      <w:start w:val="1"/>
      <w:numFmt w:val="bullet"/>
      <w:lvlText w:val=""/>
      <w:lvlJc w:val="left"/>
      <w:pPr>
        <w:ind w:left="1440" w:hanging="360"/>
      </w:pPr>
      <w:rPr>
        <w:rFonts w:ascii="Symbol" w:eastAsia="Times New Roman" w:hAnsi="Symbol" w:cs="David" w:hint="default"/>
        <w:color w:val="auto"/>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F767D2"/>
    <w:multiLevelType w:val="multilevel"/>
    <w:tmpl w:val="E6C47BDA"/>
    <w:lvl w:ilvl="0">
      <w:start w:val="1"/>
      <w:numFmt w:val="decimal"/>
      <w:pStyle w:val="1"/>
      <w:isLgl/>
      <w:lvlText w:val="%1."/>
      <w:lvlJc w:val="left"/>
      <w:pPr>
        <w:tabs>
          <w:tab w:val="num" w:pos="567"/>
        </w:tabs>
        <w:ind w:left="567" w:hanging="567"/>
      </w:pPr>
      <w:rPr>
        <w:rFonts w:ascii="Arial" w:hAnsi="Arial" w:cs="David" w:hint="default"/>
        <w:b w:val="0"/>
        <w:bCs w:val="0"/>
        <w:i w:val="0"/>
        <w:iCs w:val="0"/>
        <w:sz w:val="20"/>
        <w:szCs w:val="24"/>
      </w:rPr>
    </w:lvl>
    <w:lvl w:ilvl="1">
      <w:start w:val="1"/>
      <w:numFmt w:val="decimal"/>
      <w:pStyle w:val="2"/>
      <w:lvlText w:val="%1.%2."/>
      <w:lvlJc w:val="left"/>
      <w:pPr>
        <w:tabs>
          <w:tab w:val="num" w:pos="1134"/>
        </w:tabs>
        <w:ind w:left="1134" w:hanging="567"/>
      </w:pPr>
      <w:rPr>
        <w:rFonts w:ascii="Times New Roman" w:hAnsi="Times New Roman" w:cs="David" w:hint="default"/>
        <w:b w:val="0"/>
        <w:bCs w:val="0"/>
        <w:i w:val="0"/>
        <w:iCs w:val="0"/>
        <w:sz w:val="26"/>
        <w:szCs w:val="24"/>
      </w:rPr>
    </w:lvl>
    <w:lvl w:ilvl="2">
      <w:start w:val="1"/>
      <w:numFmt w:val="decimal"/>
      <w:pStyle w:val="3"/>
      <w:lvlText w:val="%1.%2.%3."/>
      <w:lvlJc w:val="left"/>
      <w:pPr>
        <w:tabs>
          <w:tab w:val="num" w:pos="1871"/>
        </w:tabs>
        <w:ind w:left="1871" w:hanging="737"/>
      </w:pPr>
      <w:rPr>
        <w:rFonts w:ascii="Times New Roman" w:hAnsi="Times New Roman" w:cs="David" w:hint="default"/>
        <w:b w:val="0"/>
        <w:bCs w:val="0"/>
        <w:i w:val="0"/>
        <w:iCs w:val="0"/>
        <w:sz w:val="26"/>
        <w:szCs w:val="24"/>
        <w:lang w:val="en-US"/>
      </w:rPr>
    </w:lvl>
    <w:lvl w:ilvl="3">
      <w:start w:val="1"/>
      <w:numFmt w:val="decimal"/>
      <w:pStyle w:val="4"/>
      <w:lvlText w:val="%1.%2.%3.%4."/>
      <w:lvlJc w:val="left"/>
      <w:pPr>
        <w:tabs>
          <w:tab w:val="num" w:pos="2722"/>
        </w:tabs>
        <w:ind w:left="2722" w:hanging="851"/>
      </w:pPr>
    </w:lvl>
    <w:lvl w:ilvl="4">
      <w:start w:val="1"/>
      <w:numFmt w:val="decimal"/>
      <w:pStyle w:val="5"/>
      <w:lvlText w:val="%1.%2.%3.%4.%5."/>
      <w:lvlJc w:val="left"/>
      <w:pPr>
        <w:tabs>
          <w:tab w:val="num" w:pos="3802"/>
        </w:tabs>
        <w:ind w:left="3402" w:hanging="680"/>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8">
    <w:nsid w:val="6C7B7A33"/>
    <w:multiLevelType w:val="hybridMultilevel"/>
    <w:tmpl w:val="87AA2A70"/>
    <w:lvl w:ilvl="0" w:tplc="4F2A8A9C">
      <w:start w:val="1"/>
      <w:numFmt w:val="hebrew1"/>
      <w:lvlText w:val="%1."/>
      <w:lvlJc w:val="left"/>
      <w:pPr>
        <w:ind w:left="720" w:hanging="360"/>
      </w:pPr>
      <w:rPr>
        <w:rFonts w:ascii="Times New Roman" w:eastAsia="Calibri" w:hAnsi="Times New Roman"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686E1A"/>
    <w:multiLevelType w:val="hybridMultilevel"/>
    <w:tmpl w:val="74D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6A1816"/>
    <w:multiLevelType w:val="hybridMultilevel"/>
    <w:tmpl w:val="5630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B77898"/>
    <w:multiLevelType w:val="hybridMultilevel"/>
    <w:tmpl w:val="F79CD4C8"/>
    <w:lvl w:ilvl="0" w:tplc="7B68DBCC">
      <w:start w:val="1"/>
      <w:numFmt w:val="hebrew1"/>
      <w:lvlText w:val="%1."/>
      <w:lvlJc w:val="left"/>
      <w:pPr>
        <w:ind w:left="720" w:hanging="360"/>
      </w:pPr>
      <w:rPr>
        <w:rFonts w:ascii="Times New Roman" w:eastAsia="Calibri" w:hAnsi="Times New Roman"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51170D"/>
    <w:multiLevelType w:val="hybridMultilevel"/>
    <w:tmpl w:val="FBEC51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9ED5018"/>
    <w:multiLevelType w:val="hybridMultilevel"/>
    <w:tmpl w:val="EBBC1DFA"/>
    <w:lvl w:ilvl="0" w:tplc="9ACCF1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0420C8"/>
    <w:multiLevelType w:val="hybridMultilevel"/>
    <w:tmpl w:val="A9521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7822A5"/>
    <w:multiLevelType w:val="hybridMultilevel"/>
    <w:tmpl w:val="39F25844"/>
    <w:lvl w:ilvl="0" w:tplc="333AA2C0">
      <w:numFmt w:val="bullet"/>
      <w:lvlText w:val="-"/>
      <w:lvlJc w:val="left"/>
      <w:pPr>
        <w:ind w:left="1800" w:hanging="360"/>
      </w:pPr>
      <w:rPr>
        <w:rFonts w:ascii="Times New Roman" w:eastAsia="Times New Roman" w:hAnsi="Times New Roman" w:cs="David"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4"/>
  </w:num>
  <w:num w:numId="4">
    <w:abstractNumId w:val="8"/>
  </w:num>
  <w:num w:numId="5">
    <w:abstractNumId w:val="11"/>
  </w:num>
  <w:num w:numId="6">
    <w:abstractNumId w:val="10"/>
  </w:num>
  <w:num w:numId="7">
    <w:abstractNumId w:val="0"/>
  </w:num>
  <w:num w:numId="8">
    <w:abstractNumId w:val="5"/>
  </w:num>
  <w:num w:numId="9">
    <w:abstractNumId w:val="13"/>
  </w:num>
  <w:num w:numId="10">
    <w:abstractNumId w:val="3"/>
  </w:num>
  <w:num w:numId="11">
    <w:abstractNumId w:val="6"/>
  </w:num>
  <w:num w:numId="12">
    <w:abstractNumId w:val="15"/>
  </w:num>
  <w:num w:numId="13">
    <w:abstractNumId w:val="1"/>
  </w:num>
  <w:num w:numId="14">
    <w:abstractNumId w:val="7"/>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7B0B75"/>
    <w:rsid w:val="00003500"/>
    <w:rsid w:val="00010B37"/>
    <w:rsid w:val="00012976"/>
    <w:rsid w:val="00012D35"/>
    <w:rsid w:val="00012DBB"/>
    <w:rsid w:val="000152FF"/>
    <w:rsid w:val="000224F7"/>
    <w:rsid w:val="0002646F"/>
    <w:rsid w:val="00032CFC"/>
    <w:rsid w:val="00037621"/>
    <w:rsid w:val="00042638"/>
    <w:rsid w:val="00044A72"/>
    <w:rsid w:val="00045D93"/>
    <w:rsid w:val="00056325"/>
    <w:rsid w:val="00057649"/>
    <w:rsid w:val="00061E5C"/>
    <w:rsid w:val="00065114"/>
    <w:rsid w:val="00065419"/>
    <w:rsid w:val="00074337"/>
    <w:rsid w:val="000766EE"/>
    <w:rsid w:val="000813C1"/>
    <w:rsid w:val="000839C4"/>
    <w:rsid w:val="00085D24"/>
    <w:rsid w:val="00086730"/>
    <w:rsid w:val="00091022"/>
    <w:rsid w:val="00096D5F"/>
    <w:rsid w:val="00097E4A"/>
    <w:rsid w:val="000A6864"/>
    <w:rsid w:val="000B2B40"/>
    <w:rsid w:val="000B3471"/>
    <w:rsid w:val="000B3EC8"/>
    <w:rsid w:val="000B6AA2"/>
    <w:rsid w:val="000C050A"/>
    <w:rsid w:val="000C627D"/>
    <w:rsid w:val="000C780A"/>
    <w:rsid w:val="000D1332"/>
    <w:rsid w:val="000D3879"/>
    <w:rsid w:val="000D7D75"/>
    <w:rsid w:val="000E237B"/>
    <w:rsid w:val="000E596B"/>
    <w:rsid w:val="000F1927"/>
    <w:rsid w:val="000F73AF"/>
    <w:rsid w:val="0010443C"/>
    <w:rsid w:val="001055DD"/>
    <w:rsid w:val="00110D90"/>
    <w:rsid w:val="00114003"/>
    <w:rsid w:val="00116DF0"/>
    <w:rsid w:val="001242E7"/>
    <w:rsid w:val="001377CB"/>
    <w:rsid w:val="00141C6E"/>
    <w:rsid w:val="00151B77"/>
    <w:rsid w:val="001521A8"/>
    <w:rsid w:val="001566B8"/>
    <w:rsid w:val="001600C6"/>
    <w:rsid w:val="00161371"/>
    <w:rsid w:val="0016384E"/>
    <w:rsid w:val="00164F6C"/>
    <w:rsid w:val="001654FB"/>
    <w:rsid w:val="001676D0"/>
    <w:rsid w:val="00191E61"/>
    <w:rsid w:val="001A003E"/>
    <w:rsid w:val="001A0A91"/>
    <w:rsid w:val="001A1A75"/>
    <w:rsid w:val="001A346E"/>
    <w:rsid w:val="001A3643"/>
    <w:rsid w:val="001A5A55"/>
    <w:rsid w:val="001A7E7E"/>
    <w:rsid w:val="001B2280"/>
    <w:rsid w:val="001B7E45"/>
    <w:rsid w:val="001C0ABB"/>
    <w:rsid w:val="001C0E7B"/>
    <w:rsid w:val="001C1047"/>
    <w:rsid w:val="001C1D90"/>
    <w:rsid w:val="001C2282"/>
    <w:rsid w:val="001C2A4A"/>
    <w:rsid w:val="001C515A"/>
    <w:rsid w:val="001C5A63"/>
    <w:rsid w:val="001C6852"/>
    <w:rsid w:val="001E1861"/>
    <w:rsid w:val="001E7177"/>
    <w:rsid w:val="0020002E"/>
    <w:rsid w:val="002021E9"/>
    <w:rsid w:val="00203736"/>
    <w:rsid w:val="002106AD"/>
    <w:rsid w:val="00210D25"/>
    <w:rsid w:val="00213BC6"/>
    <w:rsid w:val="00215060"/>
    <w:rsid w:val="002172E7"/>
    <w:rsid w:val="002235FB"/>
    <w:rsid w:val="0023188F"/>
    <w:rsid w:val="00233D8B"/>
    <w:rsid w:val="0023454B"/>
    <w:rsid w:val="00237087"/>
    <w:rsid w:val="00242CEB"/>
    <w:rsid w:val="0024320B"/>
    <w:rsid w:val="002456A7"/>
    <w:rsid w:val="00247921"/>
    <w:rsid w:val="00247EF6"/>
    <w:rsid w:val="00252BB4"/>
    <w:rsid w:val="00253A98"/>
    <w:rsid w:val="00257E6D"/>
    <w:rsid w:val="002628B7"/>
    <w:rsid w:val="002632AF"/>
    <w:rsid w:val="002636C1"/>
    <w:rsid w:val="00267205"/>
    <w:rsid w:val="002711FB"/>
    <w:rsid w:val="00280C84"/>
    <w:rsid w:val="002863D0"/>
    <w:rsid w:val="00293348"/>
    <w:rsid w:val="0029423A"/>
    <w:rsid w:val="0029520F"/>
    <w:rsid w:val="002A6867"/>
    <w:rsid w:val="002A782F"/>
    <w:rsid w:val="002A792E"/>
    <w:rsid w:val="002B4ADA"/>
    <w:rsid w:val="002B4BDF"/>
    <w:rsid w:val="002B534A"/>
    <w:rsid w:val="002B5FD6"/>
    <w:rsid w:val="002C1C0D"/>
    <w:rsid w:val="002D01F8"/>
    <w:rsid w:val="002D1B7B"/>
    <w:rsid w:val="002D2AD5"/>
    <w:rsid w:val="002D7C9C"/>
    <w:rsid w:val="002E20AE"/>
    <w:rsid w:val="002E2905"/>
    <w:rsid w:val="002E414D"/>
    <w:rsid w:val="002E5C53"/>
    <w:rsid w:val="002E660C"/>
    <w:rsid w:val="002F0841"/>
    <w:rsid w:val="002F7F1C"/>
    <w:rsid w:val="00300749"/>
    <w:rsid w:val="00302D36"/>
    <w:rsid w:val="00303C9E"/>
    <w:rsid w:val="00307E23"/>
    <w:rsid w:val="00312BBC"/>
    <w:rsid w:val="00313C0F"/>
    <w:rsid w:val="0031413B"/>
    <w:rsid w:val="00315FC1"/>
    <w:rsid w:val="00316EEB"/>
    <w:rsid w:val="00321599"/>
    <w:rsid w:val="00321A5B"/>
    <w:rsid w:val="0032423F"/>
    <w:rsid w:val="003252E8"/>
    <w:rsid w:val="003278BE"/>
    <w:rsid w:val="00332AF0"/>
    <w:rsid w:val="00333836"/>
    <w:rsid w:val="00337933"/>
    <w:rsid w:val="00341AFE"/>
    <w:rsid w:val="00341E17"/>
    <w:rsid w:val="00342206"/>
    <w:rsid w:val="00343EB8"/>
    <w:rsid w:val="00346935"/>
    <w:rsid w:val="00346C96"/>
    <w:rsid w:val="00347997"/>
    <w:rsid w:val="00351213"/>
    <w:rsid w:val="00351ACB"/>
    <w:rsid w:val="00352567"/>
    <w:rsid w:val="00353957"/>
    <w:rsid w:val="003542FF"/>
    <w:rsid w:val="003669C8"/>
    <w:rsid w:val="003669EB"/>
    <w:rsid w:val="0037072C"/>
    <w:rsid w:val="00371023"/>
    <w:rsid w:val="00375C81"/>
    <w:rsid w:val="00376573"/>
    <w:rsid w:val="00377521"/>
    <w:rsid w:val="00380B33"/>
    <w:rsid w:val="003823D6"/>
    <w:rsid w:val="00383C12"/>
    <w:rsid w:val="00387FBD"/>
    <w:rsid w:val="003903FC"/>
    <w:rsid w:val="00391BEE"/>
    <w:rsid w:val="00394F87"/>
    <w:rsid w:val="00397B6F"/>
    <w:rsid w:val="003A0806"/>
    <w:rsid w:val="003A2719"/>
    <w:rsid w:val="003A2AF9"/>
    <w:rsid w:val="003A7518"/>
    <w:rsid w:val="003A7BF2"/>
    <w:rsid w:val="003C011E"/>
    <w:rsid w:val="003C2FF4"/>
    <w:rsid w:val="003C7B92"/>
    <w:rsid w:val="003D2A0F"/>
    <w:rsid w:val="003D7001"/>
    <w:rsid w:val="003E734C"/>
    <w:rsid w:val="003F3E1E"/>
    <w:rsid w:val="003F6159"/>
    <w:rsid w:val="00402F15"/>
    <w:rsid w:val="00404750"/>
    <w:rsid w:val="0041042A"/>
    <w:rsid w:val="00412829"/>
    <w:rsid w:val="004145BA"/>
    <w:rsid w:val="00422F32"/>
    <w:rsid w:val="004266CD"/>
    <w:rsid w:val="004272FD"/>
    <w:rsid w:val="00427D68"/>
    <w:rsid w:val="00434C15"/>
    <w:rsid w:val="00435972"/>
    <w:rsid w:val="00450BBE"/>
    <w:rsid w:val="0045175C"/>
    <w:rsid w:val="00454F9E"/>
    <w:rsid w:val="00455C48"/>
    <w:rsid w:val="004601CA"/>
    <w:rsid w:val="0046520C"/>
    <w:rsid w:val="004713B0"/>
    <w:rsid w:val="004735F8"/>
    <w:rsid w:val="00477813"/>
    <w:rsid w:val="004802BA"/>
    <w:rsid w:val="00481983"/>
    <w:rsid w:val="0048211E"/>
    <w:rsid w:val="004823C7"/>
    <w:rsid w:val="00484F03"/>
    <w:rsid w:val="00485FE5"/>
    <w:rsid w:val="00486A9E"/>
    <w:rsid w:val="00486AD5"/>
    <w:rsid w:val="00487545"/>
    <w:rsid w:val="004875F2"/>
    <w:rsid w:val="00491597"/>
    <w:rsid w:val="00492C06"/>
    <w:rsid w:val="00493140"/>
    <w:rsid w:val="004955D5"/>
    <w:rsid w:val="004956E0"/>
    <w:rsid w:val="004A2598"/>
    <w:rsid w:val="004A4FD2"/>
    <w:rsid w:val="004A5DF8"/>
    <w:rsid w:val="004B27D4"/>
    <w:rsid w:val="004B6C53"/>
    <w:rsid w:val="004B7352"/>
    <w:rsid w:val="004C0067"/>
    <w:rsid w:val="004C16C1"/>
    <w:rsid w:val="004C26E1"/>
    <w:rsid w:val="004C2EFC"/>
    <w:rsid w:val="004C4B6D"/>
    <w:rsid w:val="004E0B39"/>
    <w:rsid w:val="004E0DEB"/>
    <w:rsid w:val="004E23A4"/>
    <w:rsid w:val="004E788D"/>
    <w:rsid w:val="004F02B3"/>
    <w:rsid w:val="004F514D"/>
    <w:rsid w:val="004F5F5A"/>
    <w:rsid w:val="00503F46"/>
    <w:rsid w:val="0050594C"/>
    <w:rsid w:val="0051491B"/>
    <w:rsid w:val="00514AEE"/>
    <w:rsid w:val="00517969"/>
    <w:rsid w:val="005227F4"/>
    <w:rsid w:val="0052333F"/>
    <w:rsid w:val="00524B97"/>
    <w:rsid w:val="0053001D"/>
    <w:rsid w:val="00533E1E"/>
    <w:rsid w:val="00541CF7"/>
    <w:rsid w:val="005464BE"/>
    <w:rsid w:val="00552905"/>
    <w:rsid w:val="00565E02"/>
    <w:rsid w:val="005766C5"/>
    <w:rsid w:val="00577382"/>
    <w:rsid w:val="00580DE2"/>
    <w:rsid w:val="00581FC8"/>
    <w:rsid w:val="00582572"/>
    <w:rsid w:val="00585A16"/>
    <w:rsid w:val="005A23B1"/>
    <w:rsid w:val="005A775F"/>
    <w:rsid w:val="005B722F"/>
    <w:rsid w:val="005C43A3"/>
    <w:rsid w:val="005C4477"/>
    <w:rsid w:val="005C615F"/>
    <w:rsid w:val="005D2333"/>
    <w:rsid w:val="005E0C22"/>
    <w:rsid w:val="005E2573"/>
    <w:rsid w:val="005E6AB0"/>
    <w:rsid w:val="005F1528"/>
    <w:rsid w:val="005F2BED"/>
    <w:rsid w:val="00600451"/>
    <w:rsid w:val="006030E2"/>
    <w:rsid w:val="006129CF"/>
    <w:rsid w:val="006136D0"/>
    <w:rsid w:val="006139C9"/>
    <w:rsid w:val="0061520A"/>
    <w:rsid w:val="00616E13"/>
    <w:rsid w:val="00632D4B"/>
    <w:rsid w:val="00634375"/>
    <w:rsid w:val="00641284"/>
    <w:rsid w:val="00641CC4"/>
    <w:rsid w:val="006452FB"/>
    <w:rsid w:val="006540E5"/>
    <w:rsid w:val="00654DF4"/>
    <w:rsid w:val="006559B6"/>
    <w:rsid w:val="00655D4B"/>
    <w:rsid w:val="00656453"/>
    <w:rsid w:val="0065744E"/>
    <w:rsid w:val="00657A29"/>
    <w:rsid w:val="00661C71"/>
    <w:rsid w:val="00664A07"/>
    <w:rsid w:val="00665A1E"/>
    <w:rsid w:val="00671B04"/>
    <w:rsid w:val="00672620"/>
    <w:rsid w:val="00677993"/>
    <w:rsid w:val="00685E0B"/>
    <w:rsid w:val="00686519"/>
    <w:rsid w:val="00687C40"/>
    <w:rsid w:val="006913EB"/>
    <w:rsid w:val="006A4D03"/>
    <w:rsid w:val="006A695D"/>
    <w:rsid w:val="006B7BDD"/>
    <w:rsid w:val="006C1D70"/>
    <w:rsid w:val="006C1FBF"/>
    <w:rsid w:val="006C30D8"/>
    <w:rsid w:val="006C470B"/>
    <w:rsid w:val="006C748F"/>
    <w:rsid w:val="006D0D9B"/>
    <w:rsid w:val="006D2E0E"/>
    <w:rsid w:val="006D45D8"/>
    <w:rsid w:val="006D54FA"/>
    <w:rsid w:val="006D691A"/>
    <w:rsid w:val="006E1944"/>
    <w:rsid w:val="006E1BDE"/>
    <w:rsid w:val="006E373E"/>
    <w:rsid w:val="006F0878"/>
    <w:rsid w:val="006F2A6D"/>
    <w:rsid w:val="006F408F"/>
    <w:rsid w:val="006F44F3"/>
    <w:rsid w:val="006F77BC"/>
    <w:rsid w:val="00706059"/>
    <w:rsid w:val="00706966"/>
    <w:rsid w:val="007075F2"/>
    <w:rsid w:val="00715374"/>
    <w:rsid w:val="00721165"/>
    <w:rsid w:val="0072179B"/>
    <w:rsid w:val="00727A51"/>
    <w:rsid w:val="00731BB0"/>
    <w:rsid w:val="00731E66"/>
    <w:rsid w:val="007321F6"/>
    <w:rsid w:val="0073421F"/>
    <w:rsid w:val="00752002"/>
    <w:rsid w:val="0075401A"/>
    <w:rsid w:val="00754396"/>
    <w:rsid w:val="00755995"/>
    <w:rsid w:val="00756A22"/>
    <w:rsid w:val="00757848"/>
    <w:rsid w:val="00757D67"/>
    <w:rsid w:val="00763AB5"/>
    <w:rsid w:val="007750E6"/>
    <w:rsid w:val="00775150"/>
    <w:rsid w:val="0077689F"/>
    <w:rsid w:val="00781C66"/>
    <w:rsid w:val="00782203"/>
    <w:rsid w:val="007857B9"/>
    <w:rsid w:val="007912B8"/>
    <w:rsid w:val="007920CC"/>
    <w:rsid w:val="007923E2"/>
    <w:rsid w:val="00793ED1"/>
    <w:rsid w:val="007946DA"/>
    <w:rsid w:val="00797E80"/>
    <w:rsid w:val="007A1548"/>
    <w:rsid w:val="007A24B6"/>
    <w:rsid w:val="007A3458"/>
    <w:rsid w:val="007A39B0"/>
    <w:rsid w:val="007A3A2C"/>
    <w:rsid w:val="007B0B75"/>
    <w:rsid w:val="007B1E0E"/>
    <w:rsid w:val="007B4721"/>
    <w:rsid w:val="007B489F"/>
    <w:rsid w:val="007B72F8"/>
    <w:rsid w:val="007B7BF8"/>
    <w:rsid w:val="007D1DBA"/>
    <w:rsid w:val="007D55DD"/>
    <w:rsid w:val="007D647C"/>
    <w:rsid w:val="007E7D2C"/>
    <w:rsid w:val="007F274B"/>
    <w:rsid w:val="007F31EB"/>
    <w:rsid w:val="007F4AED"/>
    <w:rsid w:val="007F4C79"/>
    <w:rsid w:val="007F65D0"/>
    <w:rsid w:val="008017CF"/>
    <w:rsid w:val="00803F40"/>
    <w:rsid w:val="00804D55"/>
    <w:rsid w:val="00805D52"/>
    <w:rsid w:val="00806BDF"/>
    <w:rsid w:val="008070E8"/>
    <w:rsid w:val="0081013A"/>
    <w:rsid w:val="00813FEC"/>
    <w:rsid w:val="00815981"/>
    <w:rsid w:val="00816A63"/>
    <w:rsid w:val="00816B33"/>
    <w:rsid w:val="00835253"/>
    <w:rsid w:val="00836535"/>
    <w:rsid w:val="00840EFC"/>
    <w:rsid w:val="00844131"/>
    <w:rsid w:val="00847DCB"/>
    <w:rsid w:val="008507B6"/>
    <w:rsid w:val="00850C63"/>
    <w:rsid w:val="008514D7"/>
    <w:rsid w:val="0085409A"/>
    <w:rsid w:val="008542E6"/>
    <w:rsid w:val="00855AC4"/>
    <w:rsid w:val="008663F3"/>
    <w:rsid w:val="00876C48"/>
    <w:rsid w:val="00877D9F"/>
    <w:rsid w:val="00882418"/>
    <w:rsid w:val="00887995"/>
    <w:rsid w:val="008A05E7"/>
    <w:rsid w:val="008A0641"/>
    <w:rsid w:val="008A48BC"/>
    <w:rsid w:val="008A4C86"/>
    <w:rsid w:val="008A50E4"/>
    <w:rsid w:val="008A79EF"/>
    <w:rsid w:val="008B25A8"/>
    <w:rsid w:val="008B3A7C"/>
    <w:rsid w:val="008B486E"/>
    <w:rsid w:val="008B73FC"/>
    <w:rsid w:val="008C261A"/>
    <w:rsid w:val="008C2D25"/>
    <w:rsid w:val="008C3B41"/>
    <w:rsid w:val="008C487C"/>
    <w:rsid w:val="008C79E2"/>
    <w:rsid w:val="008D0183"/>
    <w:rsid w:val="008D43A2"/>
    <w:rsid w:val="008D48E1"/>
    <w:rsid w:val="008E43CC"/>
    <w:rsid w:val="008E716D"/>
    <w:rsid w:val="008F0175"/>
    <w:rsid w:val="008F2EB4"/>
    <w:rsid w:val="00900351"/>
    <w:rsid w:val="00901532"/>
    <w:rsid w:val="00905BD3"/>
    <w:rsid w:val="00914E29"/>
    <w:rsid w:val="0091576C"/>
    <w:rsid w:val="00915917"/>
    <w:rsid w:val="00917DC2"/>
    <w:rsid w:val="00924BF8"/>
    <w:rsid w:val="0092648D"/>
    <w:rsid w:val="009264CD"/>
    <w:rsid w:val="009267CE"/>
    <w:rsid w:val="00931817"/>
    <w:rsid w:val="00933523"/>
    <w:rsid w:val="00940E58"/>
    <w:rsid w:val="009478A2"/>
    <w:rsid w:val="009540E9"/>
    <w:rsid w:val="00956227"/>
    <w:rsid w:val="00956C72"/>
    <w:rsid w:val="0096230F"/>
    <w:rsid w:val="00963A01"/>
    <w:rsid w:val="009664FD"/>
    <w:rsid w:val="009666AC"/>
    <w:rsid w:val="00971608"/>
    <w:rsid w:val="0097324F"/>
    <w:rsid w:val="0097339C"/>
    <w:rsid w:val="00973C72"/>
    <w:rsid w:val="00974917"/>
    <w:rsid w:val="0097557A"/>
    <w:rsid w:val="00980C75"/>
    <w:rsid w:val="0098214B"/>
    <w:rsid w:val="00985AF5"/>
    <w:rsid w:val="00991069"/>
    <w:rsid w:val="009963BD"/>
    <w:rsid w:val="00996B1F"/>
    <w:rsid w:val="00997EB2"/>
    <w:rsid w:val="009A6AE5"/>
    <w:rsid w:val="009B28E4"/>
    <w:rsid w:val="009B713D"/>
    <w:rsid w:val="009C6F3B"/>
    <w:rsid w:val="009D2342"/>
    <w:rsid w:val="009E2948"/>
    <w:rsid w:val="009E41AF"/>
    <w:rsid w:val="009E5410"/>
    <w:rsid w:val="009E6738"/>
    <w:rsid w:val="009F3DA3"/>
    <w:rsid w:val="009F46C3"/>
    <w:rsid w:val="009F48BD"/>
    <w:rsid w:val="00A0029C"/>
    <w:rsid w:val="00A00BCD"/>
    <w:rsid w:val="00A102E1"/>
    <w:rsid w:val="00A2008A"/>
    <w:rsid w:val="00A21DE1"/>
    <w:rsid w:val="00A26787"/>
    <w:rsid w:val="00A3045E"/>
    <w:rsid w:val="00A336AE"/>
    <w:rsid w:val="00A342CC"/>
    <w:rsid w:val="00A35D16"/>
    <w:rsid w:val="00A47479"/>
    <w:rsid w:val="00A51B4A"/>
    <w:rsid w:val="00A528FA"/>
    <w:rsid w:val="00A53A7B"/>
    <w:rsid w:val="00A54B9F"/>
    <w:rsid w:val="00A56A6A"/>
    <w:rsid w:val="00A601DE"/>
    <w:rsid w:val="00A61C5A"/>
    <w:rsid w:val="00A660C0"/>
    <w:rsid w:val="00A66491"/>
    <w:rsid w:val="00A76B1E"/>
    <w:rsid w:val="00A81CB8"/>
    <w:rsid w:val="00A87315"/>
    <w:rsid w:val="00A93EAB"/>
    <w:rsid w:val="00AA22A5"/>
    <w:rsid w:val="00AA4787"/>
    <w:rsid w:val="00AA5DEB"/>
    <w:rsid w:val="00AB23A8"/>
    <w:rsid w:val="00AB3A7F"/>
    <w:rsid w:val="00AB4623"/>
    <w:rsid w:val="00AB630D"/>
    <w:rsid w:val="00AD0543"/>
    <w:rsid w:val="00AD0AE3"/>
    <w:rsid w:val="00AD2AA6"/>
    <w:rsid w:val="00AD4ED4"/>
    <w:rsid w:val="00AD4F2C"/>
    <w:rsid w:val="00AE28ED"/>
    <w:rsid w:val="00AE58F9"/>
    <w:rsid w:val="00AE69A6"/>
    <w:rsid w:val="00AF0EAE"/>
    <w:rsid w:val="00AF1417"/>
    <w:rsid w:val="00AF7856"/>
    <w:rsid w:val="00B00C2A"/>
    <w:rsid w:val="00B00F71"/>
    <w:rsid w:val="00B03F13"/>
    <w:rsid w:val="00B04ACC"/>
    <w:rsid w:val="00B06A6F"/>
    <w:rsid w:val="00B11C2E"/>
    <w:rsid w:val="00B13B4A"/>
    <w:rsid w:val="00B171C2"/>
    <w:rsid w:val="00B25485"/>
    <w:rsid w:val="00B31858"/>
    <w:rsid w:val="00B43D1F"/>
    <w:rsid w:val="00B442D9"/>
    <w:rsid w:val="00B4784E"/>
    <w:rsid w:val="00B60F62"/>
    <w:rsid w:val="00B614E1"/>
    <w:rsid w:val="00B619DB"/>
    <w:rsid w:val="00B63184"/>
    <w:rsid w:val="00B64A13"/>
    <w:rsid w:val="00B66644"/>
    <w:rsid w:val="00B673D6"/>
    <w:rsid w:val="00B75524"/>
    <w:rsid w:val="00B7796C"/>
    <w:rsid w:val="00B81B3C"/>
    <w:rsid w:val="00B82493"/>
    <w:rsid w:val="00B84C47"/>
    <w:rsid w:val="00B84EAD"/>
    <w:rsid w:val="00B92D0D"/>
    <w:rsid w:val="00B9374D"/>
    <w:rsid w:val="00B95CFE"/>
    <w:rsid w:val="00BA0E90"/>
    <w:rsid w:val="00BA3FC7"/>
    <w:rsid w:val="00BA7185"/>
    <w:rsid w:val="00BD3292"/>
    <w:rsid w:val="00BD3E14"/>
    <w:rsid w:val="00BD467B"/>
    <w:rsid w:val="00BD70EE"/>
    <w:rsid w:val="00BD78DA"/>
    <w:rsid w:val="00BE1886"/>
    <w:rsid w:val="00BE2F5A"/>
    <w:rsid w:val="00BE32F9"/>
    <w:rsid w:val="00BE3FF2"/>
    <w:rsid w:val="00BE6EA1"/>
    <w:rsid w:val="00BF18E2"/>
    <w:rsid w:val="00BF4D3A"/>
    <w:rsid w:val="00C01012"/>
    <w:rsid w:val="00C018F4"/>
    <w:rsid w:val="00C036DA"/>
    <w:rsid w:val="00C04D24"/>
    <w:rsid w:val="00C0798F"/>
    <w:rsid w:val="00C10660"/>
    <w:rsid w:val="00C10EF3"/>
    <w:rsid w:val="00C20EBF"/>
    <w:rsid w:val="00C21009"/>
    <w:rsid w:val="00C21A9E"/>
    <w:rsid w:val="00C2456B"/>
    <w:rsid w:val="00C3602F"/>
    <w:rsid w:val="00C422BF"/>
    <w:rsid w:val="00C42394"/>
    <w:rsid w:val="00C4637B"/>
    <w:rsid w:val="00C52E27"/>
    <w:rsid w:val="00C53B06"/>
    <w:rsid w:val="00C54A65"/>
    <w:rsid w:val="00C571EC"/>
    <w:rsid w:val="00C62F74"/>
    <w:rsid w:val="00C67AFA"/>
    <w:rsid w:val="00C70B39"/>
    <w:rsid w:val="00C71605"/>
    <w:rsid w:val="00C761CD"/>
    <w:rsid w:val="00C80696"/>
    <w:rsid w:val="00C8114B"/>
    <w:rsid w:val="00C81C7A"/>
    <w:rsid w:val="00C8205B"/>
    <w:rsid w:val="00C82BB9"/>
    <w:rsid w:val="00C90ADC"/>
    <w:rsid w:val="00C922C0"/>
    <w:rsid w:val="00C92388"/>
    <w:rsid w:val="00C973E6"/>
    <w:rsid w:val="00CA4A35"/>
    <w:rsid w:val="00CA70A7"/>
    <w:rsid w:val="00CB6D22"/>
    <w:rsid w:val="00CB7097"/>
    <w:rsid w:val="00CC2242"/>
    <w:rsid w:val="00CC278A"/>
    <w:rsid w:val="00CC5890"/>
    <w:rsid w:val="00CC7DD5"/>
    <w:rsid w:val="00CD1142"/>
    <w:rsid w:val="00CD2521"/>
    <w:rsid w:val="00CD6564"/>
    <w:rsid w:val="00CD6983"/>
    <w:rsid w:val="00CD69D5"/>
    <w:rsid w:val="00CF481C"/>
    <w:rsid w:val="00D01A08"/>
    <w:rsid w:val="00D01AFF"/>
    <w:rsid w:val="00D02A9A"/>
    <w:rsid w:val="00D14889"/>
    <w:rsid w:val="00D157AC"/>
    <w:rsid w:val="00D175E1"/>
    <w:rsid w:val="00D21108"/>
    <w:rsid w:val="00D236FB"/>
    <w:rsid w:val="00D247EF"/>
    <w:rsid w:val="00D24886"/>
    <w:rsid w:val="00D26720"/>
    <w:rsid w:val="00D35540"/>
    <w:rsid w:val="00D441FD"/>
    <w:rsid w:val="00D446BB"/>
    <w:rsid w:val="00D4615B"/>
    <w:rsid w:val="00D502E0"/>
    <w:rsid w:val="00D52661"/>
    <w:rsid w:val="00D53AC8"/>
    <w:rsid w:val="00D57AAD"/>
    <w:rsid w:val="00D607B0"/>
    <w:rsid w:val="00D64943"/>
    <w:rsid w:val="00D755B1"/>
    <w:rsid w:val="00D77E12"/>
    <w:rsid w:val="00D8125F"/>
    <w:rsid w:val="00D82120"/>
    <w:rsid w:val="00D8490C"/>
    <w:rsid w:val="00D849C7"/>
    <w:rsid w:val="00D90E51"/>
    <w:rsid w:val="00D9211D"/>
    <w:rsid w:val="00DA1519"/>
    <w:rsid w:val="00DA1DA7"/>
    <w:rsid w:val="00DA21B3"/>
    <w:rsid w:val="00DA26AF"/>
    <w:rsid w:val="00DA7A47"/>
    <w:rsid w:val="00DB1945"/>
    <w:rsid w:val="00DB1AA0"/>
    <w:rsid w:val="00DC38AD"/>
    <w:rsid w:val="00DD1EE8"/>
    <w:rsid w:val="00DD29D9"/>
    <w:rsid w:val="00DE4732"/>
    <w:rsid w:val="00DE5FDD"/>
    <w:rsid w:val="00DE6718"/>
    <w:rsid w:val="00DE7479"/>
    <w:rsid w:val="00DE7D74"/>
    <w:rsid w:val="00DF04E0"/>
    <w:rsid w:val="00DF3DDA"/>
    <w:rsid w:val="00E0059B"/>
    <w:rsid w:val="00E0067D"/>
    <w:rsid w:val="00E15A34"/>
    <w:rsid w:val="00E16AB4"/>
    <w:rsid w:val="00E17E6E"/>
    <w:rsid w:val="00E224E1"/>
    <w:rsid w:val="00E22EA1"/>
    <w:rsid w:val="00E23348"/>
    <w:rsid w:val="00E3191F"/>
    <w:rsid w:val="00E33561"/>
    <w:rsid w:val="00E344C0"/>
    <w:rsid w:val="00E349B6"/>
    <w:rsid w:val="00E36472"/>
    <w:rsid w:val="00E50FD4"/>
    <w:rsid w:val="00E520D7"/>
    <w:rsid w:val="00E5370A"/>
    <w:rsid w:val="00E538B0"/>
    <w:rsid w:val="00E623B7"/>
    <w:rsid w:val="00E73FF6"/>
    <w:rsid w:val="00E8592D"/>
    <w:rsid w:val="00E92904"/>
    <w:rsid w:val="00EA4292"/>
    <w:rsid w:val="00EA4813"/>
    <w:rsid w:val="00EB4EF9"/>
    <w:rsid w:val="00EB7F9A"/>
    <w:rsid w:val="00EC33C4"/>
    <w:rsid w:val="00EC5FC6"/>
    <w:rsid w:val="00ED747E"/>
    <w:rsid w:val="00EE2A89"/>
    <w:rsid w:val="00EE7218"/>
    <w:rsid w:val="00EF21A5"/>
    <w:rsid w:val="00EF7B8F"/>
    <w:rsid w:val="00F05464"/>
    <w:rsid w:val="00F0732F"/>
    <w:rsid w:val="00F076F4"/>
    <w:rsid w:val="00F138FE"/>
    <w:rsid w:val="00F13A36"/>
    <w:rsid w:val="00F1543C"/>
    <w:rsid w:val="00F1666B"/>
    <w:rsid w:val="00F20B4A"/>
    <w:rsid w:val="00F22CA4"/>
    <w:rsid w:val="00F247B4"/>
    <w:rsid w:val="00F27520"/>
    <w:rsid w:val="00F31067"/>
    <w:rsid w:val="00F35FE4"/>
    <w:rsid w:val="00F4196A"/>
    <w:rsid w:val="00F47013"/>
    <w:rsid w:val="00F47ACA"/>
    <w:rsid w:val="00F47DD0"/>
    <w:rsid w:val="00F50F5F"/>
    <w:rsid w:val="00F53436"/>
    <w:rsid w:val="00F627B0"/>
    <w:rsid w:val="00F6613F"/>
    <w:rsid w:val="00F814F6"/>
    <w:rsid w:val="00F81F15"/>
    <w:rsid w:val="00F852D9"/>
    <w:rsid w:val="00F867B6"/>
    <w:rsid w:val="00F9151B"/>
    <w:rsid w:val="00F93973"/>
    <w:rsid w:val="00F94A55"/>
    <w:rsid w:val="00F9713B"/>
    <w:rsid w:val="00FA1184"/>
    <w:rsid w:val="00FA2F7F"/>
    <w:rsid w:val="00FA40A0"/>
    <w:rsid w:val="00FB01CA"/>
    <w:rsid w:val="00FB6A01"/>
    <w:rsid w:val="00FC4DC1"/>
    <w:rsid w:val="00FC752B"/>
    <w:rsid w:val="00FD1465"/>
    <w:rsid w:val="00FF418A"/>
    <w:rsid w:val="00FF68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avid"/>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4D"/>
  </w:style>
  <w:style w:type="paragraph" w:styleId="1">
    <w:name w:val="heading 1"/>
    <w:aliases w:val="H2,H2 Char,H2 Char Char,H2 Char Char תו, Char Char Char, Char Char,H2 Char Char תו Char Char Char Char Char,Heading 1 תו,Heading 1 תו תו תו,Heading 1 תו תו תו תו תו תו תו תו תו תו תו,h1,hdg1,Heading 1 Char תו,Art One,כותרת 1 תו תו,H1"/>
    <w:basedOn w:val="a"/>
    <w:next w:val="a"/>
    <w:link w:val="10"/>
    <w:qFormat/>
    <w:rsid w:val="00347997"/>
    <w:pPr>
      <w:numPr>
        <w:numId w:val="14"/>
      </w:numPr>
      <w:bidi/>
      <w:spacing w:after="240" w:line="360" w:lineRule="auto"/>
      <w:jc w:val="both"/>
      <w:outlineLvl w:val="0"/>
    </w:pPr>
    <w:rPr>
      <w:rFonts w:ascii="Arial" w:eastAsia="Times New Roman" w:hAnsi="Arial"/>
      <w:sz w:val="20"/>
    </w:rPr>
  </w:style>
  <w:style w:type="paragraph" w:styleId="2">
    <w:name w:val="heading 2"/>
    <w:aliases w:val=" תו Char תו, תו Char Char, תו Char, Char Char Char Char,Heading 2 Char3,Heading 2 Char1 Char2,Heading 2 Char Char Char2,Heading 2 Char Char Char Char Char2,Heading 2 Char Char Char Char Char Char Char2,h2,רמה 2,א2, Char Char Char2,s,תו Char"/>
    <w:basedOn w:val="a"/>
    <w:link w:val="20"/>
    <w:qFormat/>
    <w:rsid w:val="00347997"/>
    <w:pPr>
      <w:numPr>
        <w:ilvl w:val="1"/>
        <w:numId w:val="14"/>
      </w:numPr>
      <w:bidi/>
      <w:spacing w:after="240" w:line="360" w:lineRule="auto"/>
      <w:jc w:val="both"/>
      <w:outlineLvl w:val="1"/>
    </w:pPr>
    <w:rPr>
      <w:rFonts w:ascii="Arial" w:eastAsia="Times New Roman" w:hAnsi="Arial"/>
      <w:sz w:val="20"/>
    </w:rPr>
  </w:style>
  <w:style w:type="paragraph" w:styleId="3">
    <w:name w:val="heading 3"/>
    <w:aliases w:val="טקסט 3,Heading 3 Char Char,Heading 3 Char Char Char,Heading 3 Char,Heading 31,Heading 3 Char Char1,Heading 3 Char Char Char Char Char,Heading 3 Char Char Char Char Char Char Char Char Char,Char2,Heading 3 Char Char Char Char,3,?,תו,h3,H3,??"/>
    <w:basedOn w:val="a"/>
    <w:link w:val="30"/>
    <w:qFormat/>
    <w:rsid w:val="00347997"/>
    <w:pPr>
      <w:numPr>
        <w:ilvl w:val="2"/>
        <w:numId w:val="14"/>
      </w:numPr>
      <w:bidi/>
      <w:spacing w:after="240" w:line="240" w:lineRule="atLeast"/>
      <w:jc w:val="both"/>
      <w:outlineLvl w:val="2"/>
    </w:pPr>
    <w:rPr>
      <w:rFonts w:ascii="Arial" w:eastAsia="Times New Roman" w:hAnsi="Arial"/>
      <w:sz w:val="20"/>
    </w:rPr>
  </w:style>
  <w:style w:type="paragraph" w:styleId="4">
    <w:name w:val="heading 4"/>
    <w:aliases w:val="Char,Char Char,Char Char Char,Char Char1, Char, Char Char1,H4,4heading,4,l4,H41,4heading1,41,l41,H42,4heading2,42,l42,H43,4heading3,43,l43,H44,4heading4,44,l44,H45,4heading5,45,l45,H46,4heading6,46,l46,H47,4heading7,47,l47,H48,4heading8,48,l48"/>
    <w:basedOn w:val="a"/>
    <w:link w:val="40"/>
    <w:qFormat/>
    <w:rsid w:val="00347997"/>
    <w:pPr>
      <w:numPr>
        <w:ilvl w:val="3"/>
        <w:numId w:val="14"/>
      </w:numPr>
      <w:bidi/>
      <w:spacing w:after="240" w:line="240" w:lineRule="atLeast"/>
      <w:jc w:val="both"/>
      <w:outlineLvl w:val="3"/>
    </w:pPr>
    <w:rPr>
      <w:rFonts w:ascii="Arial" w:eastAsia="Times New Roman" w:hAnsi="Arial"/>
      <w:sz w:val="20"/>
    </w:rPr>
  </w:style>
  <w:style w:type="paragraph" w:styleId="5">
    <w:name w:val="heading 5"/>
    <w:aliases w:val="blue,כותרת 51,blue תו תו,Normal 20 B,Contrat 5,H5,Heading5_Titre5,h5,H51,H52,H53,H54,H55,H56,H57,H58,H59,H510,H511,H512,H513,H514,H515,H516,H517,H518,H519,H520,H521,H522,H523,H524,H525,H526,H527,H528,H529,H530,H531,H532,H533,H534,H535"/>
    <w:basedOn w:val="a"/>
    <w:link w:val="50"/>
    <w:qFormat/>
    <w:rsid w:val="00347997"/>
    <w:pPr>
      <w:numPr>
        <w:ilvl w:val="4"/>
        <w:numId w:val="14"/>
      </w:numPr>
      <w:bidi/>
      <w:spacing w:after="240" w:line="240" w:lineRule="atLeast"/>
      <w:jc w:val="both"/>
      <w:outlineLvl w:val="4"/>
    </w:pPr>
    <w:rPr>
      <w:rFonts w:ascii="Arial" w:eastAsia="Times New Roman"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371"/>
    <w:pPr>
      <w:bidi/>
      <w:ind w:left="720"/>
    </w:pPr>
    <w:rPr>
      <w:rFonts w:ascii="Georgia" w:eastAsia="Times New Roman" w:hAnsi="Georgia"/>
    </w:rPr>
  </w:style>
  <w:style w:type="paragraph" w:styleId="a4">
    <w:name w:val="Balloon Text"/>
    <w:basedOn w:val="a"/>
    <w:link w:val="a5"/>
    <w:uiPriority w:val="99"/>
    <w:semiHidden/>
    <w:unhideWhenUsed/>
    <w:rsid w:val="00161371"/>
    <w:rPr>
      <w:rFonts w:ascii="Tahoma" w:hAnsi="Tahoma" w:cs="Tahoma"/>
      <w:sz w:val="16"/>
      <w:szCs w:val="16"/>
    </w:rPr>
  </w:style>
  <w:style w:type="character" w:customStyle="1" w:styleId="a5">
    <w:name w:val="טקסט בלונים תו"/>
    <w:basedOn w:val="a0"/>
    <w:link w:val="a4"/>
    <w:uiPriority w:val="99"/>
    <w:semiHidden/>
    <w:rsid w:val="00161371"/>
    <w:rPr>
      <w:rFonts w:ascii="Tahoma" w:hAnsi="Tahoma" w:cs="Tahoma"/>
      <w:sz w:val="16"/>
      <w:szCs w:val="16"/>
    </w:rPr>
  </w:style>
  <w:style w:type="paragraph" w:customStyle="1" w:styleId="a6">
    <w:name w:val="סעיפים"/>
    <w:basedOn w:val="a"/>
    <w:rsid w:val="00973C72"/>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bidi/>
      <w:spacing w:line="360" w:lineRule="auto"/>
      <w:ind w:left="567" w:hanging="567"/>
      <w:jc w:val="both"/>
    </w:pPr>
    <w:rPr>
      <w:rFonts w:ascii="Times New Roman" w:eastAsia="Times New Roman" w:hAnsi="Times New Roman" w:cs="Narkisim"/>
      <w:sz w:val="22"/>
    </w:rPr>
  </w:style>
  <w:style w:type="paragraph" w:styleId="a7">
    <w:name w:val="footnote text"/>
    <w:basedOn w:val="a"/>
    <w:link w:val="a8"/>
    <w:semiHidden/>
    <w:unhideWhenUsed/>
    <w:rsid w:val="00677993"/>
    <w:rPr>
      <w:sz w:val="20"/>
      <w:szCs w:val="20"/>
    </w:rPr>
  </w:style>
  <w:style w:type="character" w:customStyle="1" w:styleId="a8">
    <w:name w:val="טקסט הערת שוליים תו"/>
    <w:basedOn w:val="a0"/>
    <w:link w:val="a7"/>
    <w:uiPriority w:val="99"/>
    <w:semiHidden/>
    <w:rsid w:val="00677993"/>
    <w:rPr>
      <w:sz w:val="20"/>
      <w:szCs w:val="20"/>
    </w:rPr>
  </w:style>
  <w:style w:type="character" w:styleId="a9">
    <w:name w:val="footnote reference"/>
    <w:basedOn w:val="a0"/>
    <w:semiHidden/>
    <w:unhideWhenUsed/>
    <w:rsid w:val="00677993"/>
    <w:rPr>
      <w:vertAlign w:val="superscript"/>
    </w:rPr>
  </w:style>
  <w:style w:type="paragraph" w:styleId="aa">
    <w:name w:val="header"/>
    <w:basedOn w:val="a"/>
    <w:link w:val="ab"/>
    <w:unhideWhenUsed/>
    <w:rsid w:val="002A782F"/>
    <w:pPr>
      <w:tabs>
        <w:tab w:val="center" w:pos="4153"/>
        <w:tab w:val="right" w:pos="8306"/>
      </w:tabs>
    </w:pPr>
  </w:style>
  <w:style w:type="character" w:customStyle="1" w:styleId="ab">
    <w:name w:val="כותרת עליונה תו"/>
    <w:basedOn w:val="a0"/>
    <w:link w:val="aa"/>
    <w:uiPriority w:val="99"/>
    <w:rsid w:val="002A782F"/>
  </w:style>
  <w:style w:type="paragraph" w:styleId="ac">
    <w:name w:val="footer"/>
    <w:basedOn w:val="a"/>
    <w:link w:val="ad"/>
    <w:unhideWhenUsed/>
    <w:rsid w:val="002A782F"/>
    <w:pPr>
      <w:tabs>
        <w:tab w:val="center" w:pos="4153"/>
        <w:tab w:val="right" w:pos="8306"/>
      </w:tabs>
    </w:pPr>
  </w:style>
  <w:style w:type="character" w:customStyle="1" w:styleId="ad">
    <w:name w:val="כותרת תחתונה תו"/>
    <w:basedOn w:val="a0"/>
    <w:link w:val="ac"/>
    <w:uiPriority w:val="99"/>
    <w:rsid w:val="002A782F"/>
  </w:style>
  <w:style w:type="character" w:styleId="ae">
    <w:name w:val="annotation reference"/>
    <w:basedOn w:val="a0"/>
    <w:uiPriority w:val="99"/>
    <w:semiHidden/>
    <w:unhideWhenUsed/>
    <w:rsid w:val="00B9374D"/>
    <w:rPr>
      <w:sz w:val="16"/>
      <w:szCs w:val="16"/>
    </w:rPr>
  </w:style>
  <w:style w:type="paragraph" w:styleId="af">
    <w:name w:val="annotation text"/>
    <w:basedOn w:val="a"/>
    <w:link w:val="af0"/>
    <w:uiPriority w:val="99"/>
    <w:semiHidden/>
    <w:unhideWhenUsed/>
    <w:rsid w:val="00B9374D"/>
    <w:rPr>
      <w:sz w:val="20"/>
      <w:szCs w:val="20"/>
    </w:rPr>
  </w:style>
  <w:style w:type="character" w:customStyle="1" w:styleId="af0">
    <w:name w:val="טקסט הערה תו"/>
    <w:basedOn w:val="a0"/>
    <w:link w:val="af"/>
    <w:uiPriority w:val="99"/>
    <w:semiHidden/>
    <w:rsid w:val="00B9374D"/>
    <w:rPr>
      <w:sz w:val="20"/>
      <w:szCs w:val="20"/>
    </w:rPr>
  </w:style>
  <w:style w:type="paragraph" w:styleId="af1">
    <w:name w:val="annotation subject"/>
    <w:basedOn w:val="af"/>
    <w:next w:val="af"/>
    <w:link w:val="af2"/>
    <w:uiPriority w:val="99"/>
    <w:semiHidden/>
    <w:unhideWhenUsed/>
    <w:rsid w:val="00B9374D"/>
    <w:rPr>
      <w:b/>
      <w:bCs/>
    </w:rPr>
  </w:style>
  <w:style w:type="character" w:customStyle="1" w:styleId="af2">
    <w:name w:val="נושא הערה תו"/>
    <w:basedOn w:val="af0"/>
    <w:link w:val="af1"/>
    <w:uiPriority w:val="99"/>
    <w:semiHidden/>
    <w:rsid w:val="00B9374D"/>
    <w:rPr>
      <w:b/>
      <w:bCs/>
      <w:sz w:val="20"/>
      <w:szCs w:val="20"/>
    </w:rPr>
  </w:style>
  <w:style w:type="character" w:customStyle="1" w:styleId="10">
    <w:name w:val="כותרת 1 תו"/>
    <w:aliases w:val="H2 תו,H2 Char תו,H2 Char Char תו1,H2 Char Char תו תו, Char Char Char תו, Char Char תו,H2 Char Char תו Char Char Char Char Char תו,Heading 1 תו תו,Heading 1 תו תו תו תו,Heading 1 תו תו תו תו תו תו תו תו תו תו תו תו,h1 תו,hdg1 תו,Art One תו"/>
    <w:basedOn w:val="a0"/>
    <w:link w:val="1"/>
    <w:rsid w:val="00347997"/>
    <w:rPr>
      <w:rFonts w:ascii="Arial" w:eastAsia="Times New Roman" w:hAnsi="Arial"/>
      <w:sz w:val="20"/>
    </w:rPr>
  </w:style>
  <w:style w:type="character" w:customStyle="1" w:styleId="20">
    <w:name w:val="כותרת 2 תו"/>
    <w:aliases w:val=" תו Char תו תו, תו Char Char תו, תו Char תו1, Char Char Char Char תו,Heading 2 Char3 תו,Heading 2 Char1 Char2 תו,Heading 2 Char Char Char2 תו,Heading 2 Char Char Char Char Char2 תו,Heading 2 Char Char Char Char Char Char Char2 תו,h2 תו,א2 תו"/>
    <w:basedOn w:val="a0"/>
    <w:link w:val="2"/>
    <w:rsid w:val="00347997"/>
    <w:rPr>
      <w:rFonts w:ascii="Arial" w:eastAsia="Times New Roman" w:hAnsi="Arial"/>
      <w:sz w:val="20"/>
    </w:rPr>
  </w:style>
  <w:style w:type="character" w:customStyle="1" w:styleId="30">
    <w:name w:val="כותרת 3 תו"/>
    <w:aliases w:val="טקסט 3 תו,Heading 3 Char Char תו,Heading 3 Char Char Char תו,Heading 3 Char תו,Heading 31 תו,Heading 3 Char Char1 תו,Heading 3 Char Char Char Char Char תו,Heading 3 Char Char Char Char Char Char Char Char Char תו,Char2 תו,3 תו,? תו,תו תו"/>
    <w:basedOn w:val="a0"/>
    <w:link w:val="3"/>
    <w:rsid w:val="00347997"/>
    <w:rPr>
      <w:rFonts w:ascii="Arial" w:eastAsia="Times New Roman" w:hAnsi="Arial"/>
      <w:sz w:val="20"/>
    </w:rPr>
  </w:style>
  <w:style w:type="character" w:customStyle="1" w:styleId="40">
    <w:name w:val="כותרת 4 תו"/>
    <w:aliases w:val="Char תו,Char Char תו,Char Char Char תו,Char Char1 תו, Char תו, Char Char1 תו,H4 תו,4heading תו,4 תו,l4 תו,H41 תו,4heading1 תו,41 תו,l41 תו,H42 תו,4heading2 תו,42 תו,l42 תו,H43 תו,4heading3 תו,43 תו,l43 תו,H44 תו,4heading4 תו,44 תו,l44 תו"/>
    <w:basedOn w:val="a0"/>
    <w:link w:val="4"/>
    <w:rsid w:val="00347997"/>
    <w:rPr>
      <w:rFonts w:ascii="Arial" w:eastAsia="Times New Roman" w:hAnsi="Arial"/>
      <w:sz w:val="20"/>
    </w:rPr>
  </w:style>
  <w:style w:type="character" w:customStyle="1" w:styleId="50">
    <w:name w:val="כותרת 5 תו"/>
    <w:aliases w:val="blue תו,כותרת 51 תו,blue תו תו תו,Normal 20 B תו,Contrat 5 תו,H5 תו,Heading5_Titre5 תו,h5 תו,H51 תו,H52 תו,H53 תו,H54 תו,H55 תו,H56 תו,H57 תו,H58 תו,H59 תו,H510 תו,H511 תו,H512 תו,H513 תו,H514 תו,H515 תו,H516 תו,H517 תו,H518 תו,H519 תו"/>
    <w:basedOn w:val="a0"/>
    <w:link w:val="5"/>
    <w:rsid w:val="00347997"/>
    <w:rPr>
      <w:rFonts w:ascii="Arial" w:eastAsia="Times New Roman"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avid"/>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371"/>
    <w:pPr>
      <w:bidi/>
      <w:ind w:left="720"/>
    </w:pPr>
    <w:rPr>
      <w:rFonts w:ascii="Georgia" w:eastAsia="Times New Roman" w:hAnsi="Georgia"/>
    </w:rPr>
  </w:style>
  <w:style w:type="paragraph" w:styleId="a4">
    <w:name w:val="Balloon Text"/>
    <w:basedOn w:val="a"/>
    <w:link w:val="a5"/>
    <w:uiPriority w:val="99"/>
    <w:semiHidden/>
    <w:unhideWhenUsed/>
    <w:rsid w:val="00161371"/>
    <w:rPr>
      <w:rFonts w:ascii="Tahoma" w:hAnsi="Tahoma" w:cs="Tahoma"/>
      <w:sz w:val="16"/>
      <w:szCs w:val="16"/>
    </w:rPr>
  </w:style>
  <w:style w:type="character" w:customStyle="1" w:styleId="a5">
    <w:name w:val="טקסט בלונים תו"/>
    <w:basedOn w:val="a0"/>
    <w:link w:val="a4"/>
    <w:uiPriority w:val="99"/>
    <w:semiHidden/>
    <w:rsid w:val="00161371"/>
    <w:rPr>
      <w:rFonts w:ascii="Tahoma" w:hAnsi="Tahoma" w:cs="Tahoma"/>
      <w:sz w:val="16"/>
      <w:szCs w:val="16"/>
    </w:rPr>
  </w:style>
  <w:style w:type="paragraph" w:customStyle="1" w:styleId="a6">
    <w:name w:val="סעיפים"/>
    <w:basedOn w:val="a"/>
    <w:rsid w:val="00973C72"/>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bidi/>
      <w:spacing w:line="360" w:lineRule="auto"/>
      <w:ind w:left="567" w:hanging="567"/>
      <w:jc w:val="both"/>
    </w:pPr>
    <w:rPr>
      <w:rFonts w:ascii="Times New Roman" w:eastAsia="Times New Roman" w:hAnsi="Times New Roman" w:cs="Narkisim"/>
      <w:sz w:val="22"/>
    </w:rPr>
  </w:style>
  <w:style w:type="paragraph" w:styleId="a7">
    <w:name w:val="footnote text"/>
    <w:basedOn w:val="a"/>
    <w:link w:val="a8"/>
    <w:uiPriority w:val="99"/>
    <w:semiHidden/>
    <w:unhideWhenUsed/>
    <w:rsid w:val="00677993"/>
    <w:rPr>
      <w:sz w:val="20"/>
      <w:szCs w:val="20"/>
    </w:rPr>
  </w:style>
  <w:style w:type="character" w:customStyle="1" w:styleId="a8">
    <w:name w:val="טקסט הערת שוליים תו"/>
    <w:basedOn w:val="a0"/>
    <w:link w:val="a7"/>
    <w:uiPriority w:val="99"/>
    <w:semiHidden/>
    <w:rsid w:val="00677993"/>
    <w:rPr>
      <w:sz w:val="20"/>
      <w:szCs w:val="20"/>
    </w:rPr>
  </w:style>
  <w:style w:type="character" w:styleId="a9">
    <w:name w:val="footnote reference"/>
    <w:basedOn w:val="a0"/>
    <w:uiPriority w:val="99"/>
    <w:semiHidden/>
    <w:unhideWhenUsed/>
    <w:rsid w:val="00677993"/>
    <w:rPr>
      <w:vertAlign w:val="superscript"/>
    </w:rPr>
  </w:style>
  <w:style w:type="paragraph" w:styleId="aa">
    <w:name w:val="header"/>
    <w:basedOn w:val="a"/>
    <w:link w:val="ab"/>
    <w:unhideWhenUsed/>
    <w:rsid w:val="002A782F"/>
    <w:pPr>
      <w:tabs>
        <w:tab w:val="center" w:pos="4153"/>
        <w:tab w:val="right" w:pos="8306"/>
      </w:tabs>
    </w:pPr>
  </w:style>
  <w:style w:type="character" w:customStyle="1" w:styleId="ab">
    <w:name w:val="כותרת עליונה תו"/>
    <w:basedOn w:val="a0"/>
    <w:link w:val="aa"/>
    <w:uiPriority w:val="99"/>
    <w:rsid w:val="002A782F"/>
  </w:style>
  <w:style w:type="paragraph" w:styleId="ac">
    <w:name w:val="footer"/>
    <w:basedOn w:val="a"/>
    <w:link w:val="ad"/>
    <w:unhideWhenUsed/>
    <w:rsid w:val="002A782F"/>
    <w:pPr>
      <w:tabs>
        <w:tab w:val="center" w:pos="4153"/>
        <w:tab w:val="right" w:pos="8306"/>
      </w:tabs>
    </w:pPr>
  </w:style>
  <w:style w:type="character" w:customStyle="1" w:styleId="ad">
    <w:name w:val="כותרת תחתונה תו"/>
    <w:basedOn w:val="a0"/>
    <w:link w:val="ac"/>
    <w:uiPriority w:val="99"/>
    <w:rsid w:val="002A782F"/>
  </w:style>
  <w:style w:type="character" w:styleId="ae">
    <w:name w:val="annotation reference"/>
    <w:basedOn w:val="a0"/>
    <w:uiPriority w:val="99"/>
    <w:semiHidden/>
    <w:unhideWhenUsed/>
    <w:rsid w:val="00B9374D"/>
    <w:rPr>
      <w:sz w:val="16"/>
      <w:szCs w:val="16"/>
    </w:rPr>
  </w:style>
  <w:style w:type="paragraph" w:styleId="af">
    <w:name w:val="annotation text"/>
    <w:basedOn w:val="a"/>
    <w:link w:val="af0"/>
    <w:uiPriority w:val="99"/>
    <w:semiHidden/>
    <w:unhideWhenUsed/>
    <w:rsid w:val="00B9374D"/>
    <w:rPr>
      <w:sz w:val="20"/>
      <w:szCs w:val="20"/>
    </w:rPr>
  </w:style>
  <w:style w:type="character" w:customStyle="1" w:styleId="af0">
    <w:name w:val="טקסט הערה תו"/>
    <w:basedOn w:val="a0"/>
    <w:link w:val="af"/>
    <w:uiPriority w:val="99"/>
    <w:semiHidden/>
    <w:rsid w:val="00B9374D"/>
    <w:rPr>
      <w:sz w:val="20"/>
      <w:szCs w:val="20"/>
    </w:rPr>
  </w:style>
  <w:style w:type="paragraph" w:styleId="af1">
    <w:name w:val="annotation subject"/>
    <w:basedOn w:val="af"/>
    <w:next w:val="af"/>
    <w:link w:val="af2"/>
    <w:uiPriority w:val="99"/>
    <w:semiHidden/>
    <w:unhideWhenUsed/>
    <w:rsid w:val="00B9374D"/>
    <w:rPr>
      <w:b/>
      <w:bCs/>
    </w:rPr>
  </w:style>
  <w:style w:type="character" w:customStyle="1" w:styleId="af2">
    <w:name w:val="נושא הערה תו"/>
    <w:basedOn w:val="af0"/>
    <w:link w:val="af1"/>
    <w:uiPriority w:val="99"/>
    <w:semiHidden/>
    <w:rsid w:val="00B93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52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F50B-05F8-4639-8F43-103D4D89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8</Pages>
  <Words>2175</Words>
  <Characters>10876</Characters>
  <Application>Microsoft Office Word</Application>
  <DocSecurity>0</DocSecurity>
  <Lines>90</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ReutO</dc:creator>
  <cp:lastModifiedBy>Reut Ofek</cp:lastModifiedBy>
  <cp:revision>279</cp:revision>
  <cp:lastPrinted>2013-10-06T19:26:00Z</cp:lastPrinted>
  <dcterms:created xsi:type="dcterms:W3CDTF">2013-02-06T11:04:00Z</dcterms:created>
  <dcterms:modified xsi:type="dcterms:W3CDTF">2017-05-16T14:30:00Z</dcterms:modified>
</cp:coreProperties>
</file>