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7F6" w:rsidRPr="00F577F6" w:rsidRDefault="00F577F6" w:rsidP="00F577F6">
      <w:pPr>
        <w:jc w:val="right"/>
        <w:rPr>
          <w:rFonts w:cs="David"/>
        </w:rPr>
      </w:pPr>
      <w:r w:rsidRPr="00F577F6">
        <w:rPr>
          <w:rFonts w:cs="David"/>
          <w:rtl/>
        </w:rPr>
        <w:t>י' שבט תשע"ג</w:t>
      </w:r>
    </w:p>
    <w:p w:rsidR="00F577F6" w:rsidRDefault="0073289D" w:rsidP="00F577F6">
      <w:pPr>
        <w:jc w:val="right"/>
        <w:rPr>
          <w:rFonts w:cs="David"/>
        </w:rPr>
      </w:pPr>
      <w:r>
        <w:rPr>
          <w:rFonts w:cs="David"/>
          <w:rtl/>
        </w:rPr>
        <w:fldChar w:fldCharType="begin"/>
      </w:r>
      <w:r w:rsidR="00F577F6">
        <w:rPr>
          <w:rFonts w:cs="David"/>
          <w:rtl/>
        </w:rPr>
        <w:instrText xml:space="preserve"> </w:instrText>
      </w:r>
      <w:r w:rsidR="00F577F6">
        <w:rPr>
          <w:rFonts w:cs="David" w:hint="cs"/>
        </w:rPr>
        <w:instrText>DATE</w:instrText>
      </w:r>
      <w:r w:rsidR="00F577F6">
        <w:rPr>
          <w:rFonts w:cs="David" w:hint="cs"/>
          <w:rtl/>
        </w:rPr>
        <w:instrText xml:space="preserve"> \@ "</w:instrText>
      </w:r>
      <w:r w:rsidR="00F577F6">
        <w:rPr>
          <w:rFonts w:cs="David" w:hint="cs"/>
        </w:rPr>
        <w:instrText>d MMMM, yyyy</w:instrText>
      </w:r>
      <w:r w:rsidR="00F577F6">
        <w:rPr>
          <w:rFonts w:cs="David" w:hint="cs"/>
          <w:rtl/>
        </w:rPr>
        <w:instrText>"</w:instrText>
      </w:r>
      <w:r w:rsidR="00F577F6">
        <w:rPr>
          <w:rFonts w:cs="David"/>
          <w:rtl/>
        </w:rPr>
        <w:instrText xml:space="preserve"> </w:instrText>
      </w:r>
      <w:r>
        <w:rPr>
          <w:rFonts w:cs="David"/>
          <w:rtl/>
        </w:rPr>
        <w:fldChar w:fldCharType="separate"/>
      </w:r>
      <w:r w:rsidR="00F35289">
        <w:rPr>
          <w:rFonts w:cs="David"/>
          <w:noProof/>
          <w:rtl/>
        </w:rPr>
        <w:t>‏1 יוני, 2015</w:t>
      </w:r>
      <w:r>
        <w:rPr>
          <w:rFonts w:cs="David"/>
          <w:rtl/>
        </w:rPr>
        <w:fldChar w:fldCharType="end"/>
      </w:r>
    </w:p>
    <w:p w:rsidR="00F577F6" w:rsidRPr="00F577F6" w:rsidRDefault="00F577F6" w:rsidP="00F577F6">
      <w:pPr>
        <w:jc w:val="right"/>
        <w:rPr>
          <w:rFonts w:cs="David"/>
          <w:rtl/>
        </w:rPr>
      </w:pPr>
      <w:r w:rsidRPr="00F577F6">
        <w:rPr>
          <w:rFonts w:cs="David"/>
          <w:rtl/>
        </w:rPr>
        <w:t xml:space="preserve"> 01799013</w:t>
      </w:r>
    </w:p>
    <w:p w:rsidR="00F577F6" w:rsidRDefault="00F577F6">
      <w:pPr>
        <w:rPr>
          <w:b/>
          <w:bCs/>
          <w:rtl/>
        </w:rPr>
      </w:pPr>
    </w:p>
    <w:p w:rsidR="00F577F6" w:rsidRPr="00F577F6" w:rsidRDefault="00F577F6" w:rsidP="00F577F6">
      <w:pPr>
        <w:jc w:val="right"/>
        <w:rPr>
          <w:rFonts w:cs="David"/>
          <w:b/>
          <w:bCs/>
          <w:rtl/>
        </w:rPr>
      </w:pPr>
      <w:r w:rsidRPr="00F577F6">
        <w:rPr>
          <w:rFonts w:cs="David" w:hint="cs"/>
          <w:b/>
          <w:bCs/>
          <w:rtl/>
        </w:rPr>
        <w:t>מס' תיק:</w:t>
      </w:r>
      <w:r>
        <w:rPr>
          <w:rFonts w:cs="David" w:hint="cs"/>
          <w:b/>
          <w:bCs/>
          <w:rtl/>
        </w:rPr>
        <w:t xml:space="preserve"> 556-12</w:t>
      </w:r>
    </w:p>
    <w:p w:rsidR="00F577F6" w:rsidRDefault="00F577F6" w:rsidP="00F577F6">
      <w:pPr>
        <w:jc w:val="right"/>
        <w:rPr>
          <w:u w:val="single"/>
          <w:rtl/>
        </w:rPr>
      </w:pPr>
    </w:p>
    <w:p w:rsidR="00F577F6" w:rsidRPr="00F577F6" w:rsidRDefault="00F577F6">
      <w:pPr>
        <w:rPr>
          <w:rFonts w:cs="David"/>
          <w:b/>
          <w:bCs/>
          <w:rtl/>
        </w:rPr>
      </w:pPr>
      <w:r w:rsidRPr="00F577F6">
        <w:rPr>
          <w:rFonts w:cs="David" w:hint="cs"/>
          <w:b/>
          <w:bCs/>
          <w:rtl/>
        </w:rPr>
        <w:t>לכבוד</w:t>
      </w:r>
    </w:p>
    <w:p w:rsidR="00F577F6" w:rsidRPr="00F577F6" w:rsidRDefault="00F577F6" w:rsidP="00F577F6">
      <w:pPr>
        <w:rPr>
          <w:rFonts w:cs="David"/>
          <w:b/>
          <w:bCs/>
          <w:rtl/>
        </w:rPr>
      </w:pPr>
      <w:r w:rsidRPr="00F577F6">
        <w:rPr>
          <w:rFonts w:cs="David" w:hint="cs"/>
          <w:b/>
          <w:bCs/>
          <w:rtl/>
        </w:rPr>
        <w:t>עו"ד יצחק בר-תנחום</w:t>
      </w:r>
    </w:p>
    <w:p w:rsidR="00F577F6" w:rsidRPr="00F577F6" w:rsidRDefault="00F577F6" w:rsidP="00F577F6">
      <w:pPr>
        <w:rPr>
          <w:rFonts w:cs="David"/>
          <w:b/>
          <w:bCs/>
          <w:rtl/>
        </w:rPr>
      </w:pPr>
      <w:proofErr w:type="spellStart"/>
      <w:r w:rsidRPr="00F577F6">
        <w:rPr>
          <w:rFonts w:cs="David" w:hint="cs"/>
          <w:b/>
          <w:bCs/>
          <w:rtl/>
        </w:rPr>
        <w:t>רח</w:t>
      </w:r>
      <w:proofErr w:type="spellEnd"/>
      <w:r w:rsidRPr="00F577F6">
        <w:rPr>
          <w:rFonts w:cs="David" w:hint="cs"/>
          <w:b/>
          <w:bCs/>
          <w:rtl/>
        </w:rPr>
        <w:t>' שנקר 27 חולון 58280</w:t>
      </w:r>
    </w:p>
    <w:p w:rsidR="00F577F6" w:rsidRPr="00F577F6" w:rsidRDefault="00F577F6" w:rsidP="00F577F6">
      <w:pPr>
        <w:rPr>
          <w:rFonts w:cs="David"/>
          <w:b/>
          <w:bCs/>
          <w:u w:val="single"/>
          <w:rtl/>
        </w:rPr>
      </w:pPr>
      <w:r w:rsidRPr="00F577F6">
        <w:rPr>
          <w:rFonts w:cs="David" w:hint="cs"/>
          <w:b/>
          <w:bCs/>
          <w:u w:val="single"/>
          <w:rtl/>
        </w:rPr>
        <w:t>בפקס': 03-5030777</w:t>
      </w:r>
    </w:p>
    <w:p w:rsidR="00F577F6" w:rsidRDefault="00F577F6" w:rsidP="00F577F6">
      <w:pPr>
        <w:rPr>
          <w:rFonts w:cs="David"/>
          <w:u w:val="single"/>
          <w:rtl/>
        </w:rPr>
      </w:pPr>
    </w:p>
    <w:p w:rsidR="00F577F6" w:rsidRDefault="00F577F6" w:rsidP="00F577F6">
      <w:pPr>
        <w:rPr>
          <w:rFonts w:cs="David"/>
          <w:u w:val="single"/>
          <w:rtl/>
        </w:rPr>
      </w:pPr>
    </w:p>
    <w:p w:rsidR="00F577F6" w:rsidRPr="00F577F6" w:rsidRDefault="00F577F6" w:rsidP="00F577F6">
      <w:pPr>
        <w:rPr>
          <w:rFonts w:cs="David"/>
          <w:rtl/>
        </w:rPr>
      </w:pPr>
      <w:r w:rsidRPr="00F577F6">
        <w:rPr>
          <w:rFonts w:cs="David" w:hint="cs"/>
          <w:rtl/>
        </w:rPr>
        <w:t>א.נ.,</w:t>
      </w:r>
    </w:p>
    <w:p w:rsidR="00F577F6" w:rsidRDefault="00F577F6">
      <w:pPr>
        <w:rPr>
          <w:rtl/>
        </w:rPr>
      </w:pPr>
    </w:p>
    <w:p w:rsidR="00F577F6" w:rsidRDefault="00F577F6" w:rsidP="00F577F6">
      <w:pPr>
        <w:jc w:val="center"/>
        <w:rPr>
          <w:rFonts w:cs="David"/>
          <w:b/>
          <w:bCs/>
          <w:u w:val="single"/>
          <w:rtl/>
        </w:rPr>
      </w:pPr>
      <w:r>
        <w:rPr>
          <w:rFonts w:cs="David" w:hint="cs"/>
          <w:rtl/>
        </w:rPr>
        <w:t xml:space="preserve"> הנדון: </w:t>
      </w:r>
      <w:proofErr w:type="spellStart"/>
      <w:r>
        <w:rPr>
          <w:rFonts w:cs="David" w:hint="cs"/>
          <w:b/>
          <w:bCs/>
          <w:u w:val="single"/>
          <w:rtl/>
        </w:rPr>
        <w:t>תמ"ש</w:t>
      </w:r>
      <w:proofErr w:type="spellEnd"/>
      <w:r>
        <w:rPr>
          <w:rFonts w:cs="David" w:hint="cs"/>
          <w:b/>
          <w:bCs/>
          <w:u w:val="single"/>
          <w:rtl/>
        </w:rPr>
        <w:t xml:space="preserve"> 38170-03-10 </w:t>
      </w:r>
      <w:proofErr w:type="spellStart"/>
      <w:r>
        <w:rPr>
          <w:rFonts w:cs="David" w:hint="cs"/>
          <w:b/>
          <w:bCs/>
          <w:u w:val="single"/>
          <w:rtl/>
        </w:rPr>
        <w:t>טצת</w:t>
      </w:r>
      <w:proofErr w:type="spellEnd"/>
      <w:r>
        <w:rPr>
          <w:rFonts w:cs="David" w:hint="cs"/>
          <w:b/>
          <w:bCs/>
          <w:u w:val="single"/>
          <w:rtl/>
        </w:rPr>
        <w:t xml:space="preserve"> דוד נ' ויויאן </w:t>
      </w:r>
      <w:proofErr w:type="spellStart"/>
      <w:r>
        <w:rPr>
          <w:rFonts w:cs="David" w:hint="cs"/>
          <w:b/>
          <w:bCs/>
          <w:u w:val="single"/>
          <w:rtl/>
        </w:rPr>
        <w:t>טצת</w:t>
      </w:r>
      <w:proofErr w:type="spellEnd"/>
    </w:p>
    <w:p w:rsidR="00F577F6" w:rsidRDefault="00F577F6" w:rsidP="001B66F6">
      <w:pPr>
        <w:jc w:val="both"/>
        <w:rPr>
          <w:rFonts w:cs="David"/>
          <w:rtl/>
        </w:rPr>
      </w:pPr>
    </w:p>
    <w:p w:rsidR="005B4027" w:rsidRDefault="005B4027" w:rsidP="001B66F6">
      <w:pPr>
        <w:spacing w:line="360" w:lineRule="auto"/>
        <w:jc w:val="both"/>
        <w:rPr>
          <w:rFonts w:cs="David"/>
          <w:rtl/>
        </w:rPr>
      </w:pPr>
    </w:p>
    <w:p w:rsidR="001B66F6" w:rsidRDefault="001B66F6" w:rsidP="00847BD1">
      <w:pPr>
        <w:spacing w:line="360" w:lineRule="auto"/>
        <w:jc w:val="both"/>
        <w:rPr>
          <w:rFonts w:cs="David"/>
          <w:rtl/>
        </w:rPr>
      </w:pPr>
      <w:r>
        <w:rPr>
          <w:rFonts w:cs="David" w:hint="cs"/>
          <w:rtl/>
        </w:rPr>
        <w:t>בהתייחס לצו מיום 8.7.2012 לפיו על רשות המסים להמציא לך הסכם שנחתם, לטענותיך,</w:t>
      </w:r>
      <w:r w:rsidR="00847BD1">
        <w:rPr>
          <w:rFonts w:cs="David" w:hint="cs"/>
          <w:rtl/>
        </w:rPr>
        <w:t xml:space="preserve"> בין רשות המסים לבין ויויאן </w:t>
      </w:r>
      <w:proofErr w:type="spellStart"/>
      <w:r w:rsidR="00847BD1">
        <w:rPr>
          <w:rFonts w:cs="David" w:hint="cs"/>
          <w:rtl/>
        </w:rPr>
        <w:t>טצת</w:t>
      </w:r>
      <w:proofErr w:type="spellEnd"/>
      <w:r>
        <w:rPr>
          <w:rFonts w:cs="David" w:hint="cs"/>
          <w:rtl/>
        </w:rPr>
        <w:t xml:space="preserve"> וכן את כל הכספים ו/או התגמולים ששולמו לה, לטענותיך</w:t>
      </w:r>
      <w:r w:rsidR="00847BD1">
        <w:rPr>
          <w:rFonts w:cs="David" w:hint="cs"/>
          <w:rtl/>
        </w:rPr>
        <w:t>,</w:t>
      </w:r>
      <w:r>
        <w:rPr>
          <w:rFonts w:cs="David" w:hint="cs"/>
          <w:rtl/>
        </w:rPr>
        <w:t xml:space="preserve"> בגין הסכם זה, </w:t>
      </w:r>
      <w:r w:rsidR="00847BD1">
        <w:rPr>
          <w:rFonts w:cs="David" w:hint="cs"/>
          <w:rtl/>
        </w:rPr>
        <w:t xml:space="preserve">ובהמשך לשיחתנו הטלפונית, </w:t>
      </w:r>
      <w:r>
        <w:rPr>
          <w:rFonts w:cs="David" w:hint="cs"/>
          <w:rtl/>
        </w:rPr>
        <w:t>הריני ל</w:t>
      </w:r>
      <w:r w:rsidR="00847BD1">
        <w:rPr>
          <w:rFonts w:cs="David" w:hint="cs"/>
          <w:rtl/>
        </w:rPr>
        <w:t>הבהיר</w:t>
      </w:r>
      <w:r>
        <w:rPr>
          <w:rFonts w:cs="David" w:hint="cs"/>
          <w:rtl/>
        </w:rPr>
        <w:t xml:space="preserve"> כי אנו מנועים להמציא </w:t>
      </w:r>
      <w:r w:rsidR="00847BD1">
        <w:rPr>
          <w:rFonts w:cs="David" w:hint="cs"/>
          <w:rtl/>
        </w:rPr>
        <w:t xml:space="preserve">לך </w:t>
      </w:r>
      <w:r>
        <w:rPr>
          <w:rFonts w:cs="David" w:hint="cs"/>
          <w:rtl/>
        </w:rPr>
        <w:t>את מבוקשך בשל החיסיון הקבוע בסעיפים 235-</w:t>
      </w:r>
      <w:r w:rsidR="002F156A">
        <w:rPr>
          <w:rFonts w:cs="David" w:hint="cs"/>
          <w:rtl/>
        </w:rPr>
        <w:t xml:space="preserve">231 לפקודת מס הכנסה (נוסח חדש) </w:t>
      </w:r>
      <w:r w:rsidR="00847BD1">
        <w:rPr>
          <w:rFonts w:cs="David" w:hint="cs"/>
          <w:rtl/>
        </w:rPr>
        <w:t>(להלן - הפקודה).</w:t>
      </w:r>
    </w:p>
    <w:p w:rsidR="002F156A" w:rsidRDefault="001B66F6" w:rsidP="001B66F6">
      <w:pPr>
        <w:spacing w:line="360" w:lineRule="auto"/>
        <w:jc w:val="both"/>
        <w:rPr>
          <w:rFonts w:cs="David"/>
          <w:rtl/>
        </w:rPr>
      </w:pPr>
      <w:r>
        <w:rPr>
          <w:rFonts w:cs="David" w:hint="cs"/>
          <w:rtl/>
        </w:rPr>
        <w:t>סעיף 232 לפקודה</w:t>
      </w:r>
      <w:r w:rsidR="001A752B">
        <w:rPr>
          <w:rFonts w:cs="David" w:hint="cs"/>
          <w:rtl/>
        </w:rPr>
        <w:t xml:space="preserve"> קובע לאמור:</w:t>
      </w:r>
    </w:p>
    <w:p w:rsidR="001B66F6" w:rsidRDefault="001A752B" w:rsidP="002F156A">
      <w:pPr>
        <w:spacing w:line="360" w:lineRule="auto"/>
        <w:ind w:left="720"/>
        <w:jc w:val="both"/>
        <w:rPr>
          <w:rFonts w:cs="David"/>
          <w:b/>
          <w:bCs/>
          <w:i/>
          <w:iCs/>
          <w:rtl/>
        </w:rPr>
      </w:pPr>
      <w:r>
        <w:rPr>
          <w:rFonts w:cs="David" w:hint="cs"/>
          <w:rtl/>
        </w:rPr>
        <w:t xml:space="preserve"> </w:t>
      </w:r>
      <w:r w:rsidRPr="001A752B">
        <w:rPr>
          <w:rFonts w:cs="David" w:hint="cs"/>
          <w:b/>
          <w:bCs/>
          <w:i/>
          <w:iCs/>
          <w:rtl/>
        </w:rPr>
        <w:t>"</w:t>
      </w:r>
      <w:r>
        <w:rPr>
          <w:rFonts w:cs="David" w:hint="cs"/>
          <w:b/>
          <w:bCs/>
          <w:i/>
          <w:iCs/>
          <w:rtl/>
        </w:rPr>
        <w:t>מי שנתמנה לפי הוראות הפקודה, או מי שמועסק בביצועה, לא יידרש להראות לבית משפט כל דו"ח, תעודה או שומה, או לגלות לבית המשפט או להודיע לו, כל דבר שהגיע לידיעתו אגב מילוי תפקידו לפי הפקודה, אלא במידה שדרוש לעשות כן להפעלת הוראות הפקודה או מתוך כוונה לתבוע לדין על עבירה שנעברה במס הכנסה, או תוך כדי בירור תביעה כאמור".</w:t>
      </w:r>
    </w:p>
    <w:p w:rsidR="001A752B" w:rsidRDefault="001A752B" w:rsidP="002F156A">
      <w:pPr>
        <w:spacing w:line="360" w:lineRule="auto"/>
        <w:jc w:val="both"/>
        <w:rPr>
          <w:rFonts w:cs="David"/>
          <w:rtl/>
        </w:rPr>
      </w:pPr>
      <w:r>
        <w:rPr>
          <w:rFonts w:cs="David" w:hint="cs"/>
          <w:rtl/>
        </w:rPr>
        <w:t xml:space="preserve">יודגש כי הסעיף מדבר על </w:t>
      </w:r>
      <w:r w:rsidR="002F156A">
        <w:rPr>
          <w:rFonts w:cs="David" w:hint="cs"/>
          <w:rtl/>
        </w:rPr>
        <w:t>'</w:t>
      </w:r>
      <w:r>
        <w:rPr>
          <w:rFonts w:cs="David" w:hint="cs"/>
          <w:rtl/>
        </w:rPr>
        <w:t>כל דבר שהגיע לידיעתו</w:t>
      </w:r>
      <w:r w:rsidR="002F156A">
        <w:rPr>
          <w:rFonts w:cs="David" w:hint="cs"/>
          <w:rtl/>
        </w:rPr>
        <w:t>'</w:t>
      </w:r>
      <w:r>
        <w:rPr>
          <w:rFonts w:cs="David" w:hint="cs"/>
          <w:rtl/>
        </w:rPr>
        <w:t xml:space="preserve"> ולא רק </w:t>
      </w:r>
      <w:r w:rsidR="002F156A">
        <w:rPr>
          <w:rFonts w:cs="David" w:hint="cs"/>
          <w:rtl/>
        </w:rPr>
        <w:t>'</w:t>
      </w:r>
      <w:r>
        <w:rPr>
          <w:rFonts w:cs="David" w:hint="cs"/>
          <w:rtl/>
        </w:rPr>
        <w:t>הכנסתו או פרט שבהכנסתו של אדם</w:t>
      </w:r>
      <w:r w:rsidR="002F156A">
        <w:rPr>
          <w:rFonts w:cs="David" w:hint="cs"/>
          <w:rtl/>
        </w:rPr>
        <w:t xml:space="preserve">', </w:t>
      </w:r>
      <w:r>
        <w:rPr>
          <w:rFonts w:cs="David" w:hint="cs"/>
          <w:rtl/>
        </w:rPr>
        <w:t xml:space="preserve"> </w:t>
      </w:r>
      <w:r w:rsidR="002F156A">
        <w:rPr>
          <w:rFonts w:cs="David" w:hint="cs"/>
          <w:rtl/>
        </w:rPr>
        <w:t>כ</w:t>
      </w:r>
      <w:r>
        <w:rPr>
          <w:rFonts w:cs="David" w:hint="cs"/>
          <w:rtl/>
        </w:rPr>
        <w:t>אמור בסעיפים 231 או 234.</w:t>
      </w:r>
    </w:p>
    <w:p w:rsidR="001A752B" w:rsidRDefault="001A752B" w:rsidP="001A752B">
      <w:pPr>
        <w:spacing w:line="360" w:lineRule="auto"/>
        <w:jc w:val="both"/>
        <w:rPr>
          <w:rFonts w:cs="David"/>
          <w:rtl/>
        </w:rPr>
      </w:pPr>
      <w:r>
        <w:rPr>
          <w:rFonts w:cs="David" w:hint="cs"/>
          <w:rtl/>
        </w:rPr>
        <w:t>לא זו אף זו, סעיף 235(א) לפקודה קובע לאמור:</w:t>
      </w:r>
    </w:p>
    <w:p w:rsidR="001A752B" w:rsidRDefault="001A752B" w:rsidP="002F156A">
      <w:pPr>
        <w:spacing w:line="360" w:lineRule="auto"/>
        <w:ind w:left="720"/>
        <w:jc w:val="both"/>
        <w:rPr>
          <w:rFonts w:cs="David"/>
          <w:b/>
          <w:bCs/>
          <w:i/>
          <w:iCs/>
          <w:rtl/>
        </w:rPr>
      </w:pPr>
      <w:r>
        <w:rPr>
          <w:rFonts w:cs="David" w:hint="cs"/>
          <w:b/>
          <w:bCs/>
          <w:i/>
          <w:iCs/>
          <w:rtl/>
        </w:rPr>
        <w:t>"הוראה בדין המחייבת למסור ידיעות על רכושו או הכנסתו של אדם אחר, למעט הוראה כאמור על פי פקודת הסטטיסטיקה (נוסח חדש), תשל"ב-1972, לא תחול על מי שממלא תפקיד רשמי בביצוע הפקודה או המועסק בביצועה, מלבד אם נאמר כך במפורש בפקודה זו".</w:t>
      </w:r>
    </w:p>
    <w:p w:rsidR="001A752B" w:rsidRDefault="001A752B" w:rsidP="001A752B">
      <w:pPr>
        <w:spacing w:line="360" w:lineRule="auto"/>
        <w:jc w:val="both"/>
        <w:rPr>
          <w:rFonts w:cs="David"/>
          <w:rtl/>
        </w:rPr>
      </w:pPr>
      <w:r>
        <w:rPr>
          <w:rFonts w:cs="David" w:hint="cs"/>
          <w:rtl/>
        </w:rPr>
        <w:t>הצו</w:t>
      </w:r>
      <w:r w:rsidR="002F156A">
        <w:rPr>
          <w:rFonts w:cs="David" w:hint="cs"/>
          <w:rtl/>
        </w:rPr>
        <w:t>,</w:t>
      </w:r>
      <w:r>
        <w:rPr>
          <w:rFonts w:cs="David" w:hint="cs"/>
          <w:rtl/>
        </w:rPr>
        <w:t xml:space="preserve"> אותו ביקשת מבית המשפט</w:t>
      </w:r>
      <w:r w:rsidR="002F156A">
        <w:rPr>
          <w:rFonts w:cs="David" w:hint="cs"/>
          <w:rtl/>
        </w:rPr>
        <w:t>,</w:t>
      </w:r>
      <w:r>
        <w:rPr>
          <w:rFonts w:cs="David" w:hint="cs"/>
          <w:rtl/>
        </w:rPr>
        <w:t xml:space="preserve"> אינו כלול בין החיקוקים המפורטים בפקודה על פיהם ניתן למסור מידע.</w:t>
      </w:r>
    </w:p>
    <w:p w:rsidR="001A752B" w:rsidRDefault="002F156A" w:rsidP="00847BD1">
      <w:pPr>
        <w:spacing w:line="360" w:lineRule="auto"/>
        <w:jc w:val="both"/>
        <w:rPr>
          <w:rFonts w:cs="David"/>
          <w:rtl/>
        </w:rPr>
      </w:pPr>
      <w:r>
        <w:rPr>
          <w:rFonts w:cs="David" w:hint="cs"/>
          <w:rtl/>
        </w:rPr>
        <w:t>בהתחשב בכך שהצו מיום 8.7.2012</w:t>
      </w:r>
      <w:r w:rsidR="001A752B">
        <w:rPr>
          <w:rFonts w:cs="David" w:hint="cs"/>
          <w:rtl/>
        </w:rPr>
        <w:t xml:space="preserve"> ניתן בלי שתגובת רשות המסים נתבקשה ובלי שלבית המשפט הובהרו המגבלות לדרוש מידע מרשות המיסים, הנך מתבקש לפעול לביטול הצו ולהודיע לנו על ביטולו, או להודיע לנו האם עלינו לבקש מהפרקליטות לפעול לביטול</w:t>
      </w:r>
      <w:r>
        <w:rPr>
          <w:rFonts w:cs="David" w:hint="cs"/>
          <w:rtl/>
        </w:rPr>
        <w:t>ו</w:t>
      </w:r>
      <w:r w:rsidR="001A752B">
        <w:rPr>
          <w:rFonts w:cs="David" w:hint="cs"/>
          <w:rtl/>
        </w:rPr>
        <w:t>.</w:t>
      </w:r>
    </w:p>
    <w:p w:rsidR="001A752B" w:rsidRDefault="001A752B" w:rsidP="001A752B">
      <w:pPr>
        <w:spacing w:line="360" w:lineRule="auto"/>
        <w:jc w:val="both"/>
        <w:rPr>
          <w:rFonts w:cs="David"/>
          <w:rtl/>
        </w:rPr>
      </w:pPr>
    </w:p>
    <w:p w:rsidR="001A752B" w:rsidRPr="001A752B" w:rsidRDefault="001A752B" w:rsidP="001A752B">
      <w:pPr>
        <w:spacing w:line="360" w:lineRule="auto"/>
        <w:ind w:left="6237"/>
        <w:jc w:val="both"/>
        <w:rPr>
          <w:rFonts w:cs="David"/>
          <w:b/>
          <w:bCs/>
          <w:rtl/>
        </w:rPr>
      </w:pPr>
      <w:r>
        <w:rPr>
          <w:rFonts w:cs="David" w:hint="cs"/>
          <w:b/>
          <w:bCs/>
          <w:rtl/>
        </w:rPr>
        <w:t xml:space="preserve">           </w:t>
      </w:r>
      <w:r w:rsidRPr="001A752B">
        <w:rPr>
          <w:rFonts w:cs="David" w:hint="cs"/>
          <w:b/>
          <w:bCs/>
          <w:rtl/>
        </w:rPr>
        <w:t>בכבוד רב,</w:t>
      </w:r>
    </w:p>
    <w:p w:rsidR="001A752B" w:rsidRPr="001A752B" w:rsidRDefault="001A752B" w:rsidP="001A752B">
      <w:pPr>
        <w:spacing w:line="360" w:lineRule="auto"/>
        <w:ind w:left="6237"/>
        <w:jc w:val="both"/>
        <w:rPr>
          <w:rFonts w:cs="David"/>
          <w:b/>
          <w:bCs/>
          <w:rtl/>
        </w:rPr>
      </w:pPr>
    </w:p>
    <w:p w:rsidR="005B4027" w:rsidRDefault="001A752B" w:rsidP="001A752B">
      <w:pPr>
        <w:spacing w:line="360" w:lineRule="auto"/>
        <w:ind w:left="6237"/>
        <w:jc w:val="both"/>
        <w:rPr>
          <w:rFonts w:cs="David"/>
          <w:b/>
          <w:bCs/>
          <w:rtl/>
        </w:rPr>
      </w:pPr>
      <w:r>
        <w:rPr>
          <w:rFonts w:cs="David" w:hint="cs"/>
          <w:b/>
          <w:bCs/>
          <w:rtl/>
        </w:rPr>
        <w:t xml:space="preserve">  </w:t>
      </w:r>
      <w:r w:rsidRPr="001A752B">
        <w:rPr>
          <w:rFonts w:cs="David" w:hint="cs"/>
          <w:b/>
          <w:bCs/>
          <w:rtl/>
        </w:rPr>
        <w:t>ז'אן-פול גוטליב, עו"ד</w:t>
      </w:r>
    </w:p>
    <w:p w:rsidR="001A752B" w:rsidRPr="001A752B" w:rsidRDefault="005B4027" w:rsidP="001A752B">
      <w:pPr>
        <w:spacing w:line="360" w:lineRule="auto"/>
        <w:ind w:left="6237"/>
        <w:jc w:val="both"/>
        <w:rPr>
          <w:rFonts w:cs="David"/>
          <w:b/>
          <w:bCs/>
          <w:rtl/>
        </w:rPr>
      </w:pPr>
      <w:r>
        <w:rPr>
          <w:rFonts w:cs="David" w:hint="cs"/>
          <w:b/>
          <w:bCs/>
          <w:rtl/>
        </w:rPr>
        <w:t xml:space="preserve">     מנהל מחלקה בכיר</w:t>
      </w:r>
      <w:r w:rsidR="001A752B" w:rsidRPr="001A752B">
        <w:rPr>
          <w:rFonts w:cs="David" w:hint="cs"/>
          <w:b/>
          <w:bCs/>
          <w:rtl/>
        </w:rPr>
        <w:t xml:space="preserve"> </w:t>
      </w:r>
    </w:p>
    <w:p w:rsidR="001A752B" w:rsidRPr="001A752B" w:rsidRDefault="001A752B" w:rsidP="001B66F6">
      <w:pPr>
        <w:spacing w:line="360" w:lineRule="auto"/>
        <w:jc w:val="both"/>
        <w:rPr>
          <w:rFonts w:cs="David"/>
        </w:rPr>
      </w:pPr>
    </w:p>
    <w:sectPr w:rsidR="001A752B" w:rsidRPr="001A752B" w:rsidSect="00F577F6">
      <w:headerReference w:type="default" r:id="rId6"/>
      <w:footerReference w:type="default" r:id="rId7"/>
      <w:pgSz w:w="11906" w:h="16838"/>
      <w:pgMar w:top="1440" w:right="850" w:bottom="1440" w:left="85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265" w:rsidRDefault="00B43265" w:rsidP="00F577F6">
      <w:r>
        <w:separator/>
      </w:r>
    </w:p>
  </w:endnote>
  <w:endnote w:type="continuationSeparator" w:id="0">
    <w:p w:rsidR="00B43265" w:rsidRDefault="00B43265" w:rsidP="00F57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RosenbergBlackMF">
    <w:panose1 w:val="00000000000000000000"/>
    <w:charset w:val="B1"/>
    <w:family w:val="auto"/>
    <w:pitch w:val="variable"/>
    <w:sig w:usb0="00000801" w:usb1="00000000" w:usb2="00000000" w:usb3="00000000" w:csb0="00000020" w:csb1="00000000"/>
  </w:font>
  <w:font w:name="RosenbergMF">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2B" w:rsidRDefault="001A752B" w:rsidP="00F577F6">
    <w:pPr>
      <w:pStyle w:val="a5"/>
      <w:jc w:val="center"/>
      <w:rPr>
        <w:rFonts w:ascii="RosenbergMF" w:hAnsi="RosenbergMF" w:cs="RosenbergMF"/>
        <w:color w:val="0158A8"/>
        <w:rtl/>
      </w:rPr>
    </w:pPr>
    <w:proofErr w:type="spellStart"/>
    <w:r>
      <w:rPr>
        <w:rFonts w:ascii="RosenbergMF" w:hAnsi="RosenbergMF" w:cs="RosenbergMF"/>
        <w:color w:val="0158A8"/>
        <w:rtl/>
      </w:rPr>
      <w:t>רח</w:t>
    </w:r>
    <w:proofErr w:type="spellEnd"/>
    <w:r>
      <w:rPr>
        <w:rFonts w:ascii="RosenbergMF" w:hAnsi="RosenbergMF" w:cs="RosenbergMF"/>
        <w:color w:val="0158A8"/>
        <w:rtl/>
      </w:rPr>
      <w:t>' כנפי נשרים 5 , ת"ד 1170 ירושלים 91010, טל:02-6559</w:t>
    </w:r>
    <w:r>
      <w:rPr>
        <w:rFonts w:ascii="RosenbergMF" w:hAnsi="RosenbergMF" w:cs="RosenbergMF" w:hint="cs"/>
        <w:color w:val="0158A8"/>
        <w:rtl/>
      </w:rPr>
      <w:t xml:space="preserve">234 </w:t>
    </w:r>
  </w:p>
  <w:p w:rsidR="001A752B" w:rsidRPr="00F577F6" w:rsidRDefault="001A752B" w:rsidP="00F577F6">
    <w:pPr>
      <w:pStyle w:val="a5"/>
      <w:jc w:val="center"/>
      <w:rPr>
        <w:color w:val="0158A8"/>
        <w:spacing w:val="24"/>
      </w:rPr>
    </w:pPr>
    <w:r>
      <w:rPr>
        <w:color w:val="0158A8"/>
        <w:spacing w:val="24"/>
      </w:rPr>
      <w:t>www.mof.gov.il/taxes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265" w:rsidRDefault="00B43265" w:rsidP="00F577F6">
      <w:r>
        <w:separator/>
      </w:r>
    </w:p>
  </w:footnote>
  <w:footnote w:type="continuationSeparator" w:id="0">
    <w:p w:rsidR="00B43265" w:rsidRDefault="00B43265" w:rsidP="00F57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2B" w:rsidRDefault="0073289D" w:rsidP="00F577F6">
    <w:pPr>
      <w:pStyle w:val="a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v:imagedata r:id="rId1" o:title="logo"/>
        </v:shape>
      </w:pict>
    </w:r>
  </w:p>
  <w:p w:rsidR="001A752B" w:rsidRPr="00F577F6" w:rsidRDefault="001A752B" w:rsidP="00F577F6">
    <w:pPr>
      <w:pStyle w:val="a3"/>
      <w:jc w:val="center"/>
      <w:rPr>
        <w:rFonts w:cs="RosenbergBlackMF"/>
        <w:bCs/>
        <w:color w:val="0158A8"/>
        <w:szCs w:val="28"/>
      </w:rPr>
    </w:pPr>
    <w:r>
      <w:rPr>
        <w:rFonts w:cs="RosenbergBlackMF" w:hint="cs"/>
        <w:bCs/>
        <w:color w:val="0158A8"/>
        <w:szCs w:val="28"/>
        <w:rtl/>
      </w:rPr>
      <w:t>חטיבה משפטית</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6B71"/>
    <w:rsid w:val="001A61C7"/>
    <w:rsid w:val="001A752B"/>
    <w:rsid w:val="001B66F6"/>
    <w:rsid w:val="00265ED9"/>
    <w:rsid w:val="002939C9"/>
    <w:rsid w:val="002F156A"/>
    <w:rsid w:val="0037028D"/>
    <w:rsid w:val="005067E0"/>
    <w:rsid w:val="00566B71"/>
    <w:rsid w:val="005B4027"/>
    <w:rsid w:val="0062123E"/>
    <w:rsid w:val="0073289D"/>
    <w:rsid w:val="00847BD1"/>
    <w:rsid w:val="00920E7B"/>
    <w:rsid w:val="00B43265"/>
    <w:rsid w:val="00BE73CE"/>
    <w:rsid w:val="00C05BE0"/>
    <w:rsid w:val="00C76AD8"/>
    <w:rsid w:val="00F3054F"/>
    <w:rsid w:val="00F35289"/>
    <w:rsid w:val="00F577F6"/>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23E"/>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77F6"/>
    <w:pPr>
      <w:tabs>
        <w:tab w:val="center" w:pos="4153"/>
        <w:tab w:val="right" w:pos="8306"/>
      </w:tabs>
    </w:pPr>
  </w:style>
  <w:style w:type="character" w:customStyle="1" w:styleId="a4">
    <w:name w:val="כותרת עליונה תו"/>
    <w:basedOn w:val="a0"/>
    <w:link w:val="a3"/>
    <w:rsid w:val="00F577F6"/>
    <w:rPr>
      <w:sz w:val="24"/>
      <w:szCs w:val="24"/>
    </w:rPr>
  </w:style>
  <w:style w:type="paragraph" w:styleId="a5">
    <w:name w:val="footer"/>
    <w:basedOn w:val="a"/>
    <w:link w:val="a6"/>
    <w:rsid w:val="00F577F6"/>
    <w:pPr>
      <w:tabs>
        <w:tab w:val="center" w:pos="4153"/>
        <w:tab w:val="right" w:pos="8306"/>
      </w:tabs>
    </w:pPr>
  </w:style>
  <w:style w:type="character" w:customStyle="1" w:styleId="a6">
    <w:name w:val="כותרת תחתונה תו"/>
    <w:basedOn w:val="a0"/>
    <w:link w:val="a5"/>
    <w:rsid w:val="00F577F6"/>
    <w:rPr>
      <w:sz w:val="24"/>
      <w:szCs w:val="24"/>
    </w:rPr>
  </w:style>
  <w:style w:type="paragraph" w:styleId="a7">
    <w:name w:val="Balloon Text"/>
    <w:basedOn w:val="a"/>
    <w:link w:val="a8"/>
    <w:rsid w:val="002F156A"/>
    <w:rPr>
      <w:rFonts w:ascii="Tahoma" w:hAnsi="Tahoma" w:cs="Tahoma"/>
      <w:sz w:val="16"/>
      <w:szCs w:val="16"/>
    </w:rPr>
  </w:style>
  <w:style w:type="character" w:customStyle="1" w:styleId="a8">
    <w:name w:val="טקסט בלונים תו"/>
    <w:basedOn w:val="a0"/>
    <w:link w:val="a7"/>
    <w:rsid w:val="002F15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1373</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dc:creator>
  <cp:lastModifiedBy>JeanP</cp:lastModifiedBy>
  <cp:revision>2</cp:revision>
  <cp:lastPrinted>2013-01-21T15:13:00Z</cp:lastPrinted>
  <dcterms:created xsi:type="dcterms:W3CDTF">2015-06-01T13:50:00Z</dcterms:created>
  <dcterms:modified xsi:type="dcterms:W3CDTF">2015-06-01T13:50:00Z</dcterms:modified>
</cp:coreProperties>
</file>