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2F" w:rsidRPr="005D0506" w:rsidRDefault="00B22C2F" w:rsidP="002C3D6A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5D0506">
        <w:rPr>
          <w:rFonts w:cs="David" w:hint="cs"/>
          <w:b/>
          <w:bCs/>
          <w:sz w:val="24"/>
          <w:szCs w:val="24"/>
          <w:u w:val="single"/>
          <w:rtl/>
        </w:rPr>
        <w:t xml:space="preserve">תוספות </w:t>
      </w:r>
      <w:r w:rsidR="006258C3">
        <w:rPr>
          <w:rFonts w:cs="David" w:hint="cs"/>
          <w:b/>
          <w:bCs/>
          <w:sz w:val="24"/>
          <w:szCs w:val="24"/>
          <w:u w:val="single"/>
          <w:rtl/>
        </w:rPr>
        <w:t>ל</w:t>
      </w:r>
      <w:r w:rsidR="002C3D6A">
        <w:rPr>
          <w:rFonts w:cs="David" w:hint="cs"/>
          <w:b/>
          <w:bCs/>
          <w:sz w:val="24"/>
          <w:szCs w:val="24"/>
          <w:u w:val="single"/>
          <w:rtl/>
        </w:rPr>
        <w:t>פרק</w:t>
      </w:r>
      <w:r w:rsidR="006258C3">
        <w:rPr>
          <w:rFonts w:cs="David" w:hint="cs"/>
          <w:b/>
          <w:bCs/>
          <w:sz w:val="24"/>
          <w:szCs w:val="24"/>
          <w:u w:val="single"/>
          <w:rtl/>
        </w:rPr>
        <w:t xml:space="preserve"> ד' ממכתבנו מיום 3.11.16 - כ</w:t>
      </w:r>
      <w:r w:rsidRPr="005D0506">
        <w:rPr>
          <w:rFonts w:cs="David" w:hint="cs"/>
          <w:b/>
          <w:bCs/>
          <w:sz w:val="24"/>
          <w:szCs w:val="24"/>
          <w:u w:val="single"/>
          <w:rtl/>
        </w:rPr>
        <w:t>נספח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6258C3">
        <w:rPr>
          <w:rFonts w:cs="David" w:hint="cs"/>
          <w:b/>
          <w:bCs/>
          <w:sz w:val="24"/>
          <w:szCs w:val="24"/>
          <w:u w:val="single"/>
          <w:rtl/>
        </w:rPr>
        <w:t>להסדר הטיעון</w:t>
      </w:r>
    </w:p>
    <w:p w:rsidR="00665F28" w:rsidRPr="0023349E" w:rsidRDefault="006258C3" w:rsidP="00B22C2F">
      <w:pPr>
        <w:spacing w:line="360" w:lineRule="auto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 w:rsidRPr="0023349E">
        <w:rPr>
          <w:rFonts w:cs="David" w:hint="cs"/>
          <w:b/>
          <w:bCs/>
          <w:sz w:val="28"/>
          <w:szCs w:val="28"/>
          <w:u w:val="single"/>
          <w:rtl/>
        </w:rPr>
        <w:t xml:space="preserve">אישום 1 - </w:t>
      </w:r>
      <w:proofErr w:type="spellStart"/>
      <w:r w:rsidRPr="0023349E">
        <w:rPr>
          <w:rFonts w:cs="David" w:hint="cs"/>
          <w:b/>
          <w:bCs/>
          <w:sz w:val="28"/>
          <w:szCs w:val="28"/>
          <w:u w:val="single"/>
          <w:rtl/>
        </w:rPr>
        <w:t>פרוייקט</w:t>
      </w:r>
      <w:proofErr w:type="spellEnd"/>
      <w:r w:rsidRPr="0023349E">
        <w:rPr>
          <w:rFonts w:cs="David" w:hint="cs"/>
          <w:b/>
          <w:bCs/>
          <w:sz w:val="28"/>
          <w:szCs w:val="28"/>
          <w:u w:val="single"/>
          <w:rtl/>
        </w:rPr>
        <w:t xml:space="preserve"> "</w:t>
      </w:r>
      <w:r w:rsidRPr="0023349E">
        <w:rPr>
          <w:rFonts w:cs="David"/>
          <w:b/>
          <w:bCs/>
          <w:sz w:val="28"/>
          <w:szCs w:val="28"/>
          <w:u w:val="single"/>
        </w:rPr>
        <w:t>White</w:t>
      </w:r>
      <w:r w:rsidRPr="0023349E">
        <w:rPr>
          <w:rFonts w:cs="David" w:hint="cs"/>
          <w:b/>
          <w:bCs/>
          <w:sz w:val="28"/>
          <w:szCs w:val="28"/>
          <w:u w:val="single"/>
          <w:rtl/>
        </w:rPr>
        <w:t>"</w:t>
      </w:r>
    </w:p>
    <w:p w:rsidR="006258C3" w:rsidRPr="006258C3" w:rsidRDefault="006258C3" w:rsidP="002C3D6A">
      <w:pPr>
        <w:pStyle w:val="a3"/>
        <w:numPr>
          <w:ilvl w:val="0"/>
          <w:numId w:val="2"/>
        </w:numPr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ביחס </w:t>
      </w:r>
      <w:r w:rsidRPr="006258C3">
        <w:rPr>
          <w:rFonts w:cs="David" w:hint="cs"/>
          <w:b/>
          <w:bCs/>
          <w:sz w:val="24"/>
          <w:szCs w:val="24"/>
          <w:rtl/>
        </w:rPr>
        <w:t>לסע</w:t>
      </w:r>
      <w:r w:rsidR="00246397">
        <w:rPr>
          <w:rFonts w:cs="David" w:hint="cs"/>
          <w:b/>
          <w:bCs/>
          <w:sz w:val="24"/>
          <w:szCs w:val="24"/>
          <w:rtl/>
        </w:rPr>
        <w:t>יף</w:t>
      </w:r>
      <w:r w:rsidRPr="006258C3">
        <w:rPr>
          <w:rFonts w:cs="David" w:hint="cs"/>
          <w:b/>
          <w:bCs/>
          <w:sz w:val="24"/>
          <w:szCs w:val="24"/>
          <w:rtl/>
        </w:rPr>
        <w:t xml:space="preserve"> 98 -</w:t>
      </w:r>
      <w:r>
        <w:rPr>
          <w:rFonts w:cs="David" w:hint="cs"/>
          <w:sz w:val="24"/>
          <w:szCs w:val="24"/>
          <w:rtl/>
        </w:rPr>
        <w:t xml:space="preserve"> נבקש להוריד את הסע' מן החלק הכללי או לחילופין לרכך אותו מאד</w:t>
      </w:r>
      <w:r w:rsidR="00CF2E38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כך שיובן שמדובר אך ורק בפגישה בסוהו (סע</w:t>
      </w:r>
      <w:r w:rsidR="00246397">
        <w:rPr>
          <w:rFonts w:cs="David" w:hint="cs"/>
          <w:sz w:val="24"/>
          <w:szCs w:val="24"/>
          <w:rtl/>
        </w:rPr>
        <w:t xml:space="preserve">יפים </w:t>
      </w:r>
      <w:r>
        <w:rPr>
          <w:rFonts w:cs="David" w:hint="cs"/>
          <w:sz w:val="24"/>
          <w:szCs w:val="24"/>
          <w:rtl/>
        </w:rPr>
        <w:t xml:space="preserve">181-182). נזכיר כי </w:t>
      </w:r>
      <w:r w:rsidR="00180AD5">
        <w:rPr>
          <w:rFonts w:cs="David" w:hint="cs"/>
          <w:sz w:val="24"/>
          <w:szCs w:val="24"/>
          <w:rtl/>
        </w:rPr>
        <w:t>עו"ד בר לא מודה</w:t>
      </w:r>
      <w:r w:rsidR="00180AD5">
        <w:rPr>
          <w:rFonts w:cs="David" w:hint="cs"/>
          <w:sz w:val="24"/>
          <w:szCs w:val="24"/>
          <w:rtl/>
        </w:rPr>
        <w:t xml:space="preserve"> באמור בסע</w:t>
      </w:r>
      <w:r w:rsidR="002C3D6A">
        <w:rPr>
          <w:rFonts w:cs="David" w:hint="cs"/>
          <w:sz w:val="24"/>
          <w:szCs w:val="24"/>
          <w:rtl/>
        </w:rPr>
        <w:t>יף</w:t>
      </w:r>
      <w:bookmarkStart w:id="0" w:name="_GoBack"/>
      <w:bookmarkEnd w:id="0"/>
      <w:r w:rsidR="00180AD5">
        <w:rPr>
          <w:rFonts w:cs="David" w:hint="cs"/>
          <w:sz w:val="24"/>
          <w:szCs w:val="24"/>
          <w:rtl/>
        </w:rPr>
        <w:t xml:space="preserve"> 198</w:t>
      </w:r>
      <w:r>
        <w:rPr>
          <w:rFonts w:cs="David" w:hint="cs"/>
          <w:sz w:val="24"/>
          <w:szCs w:val="24"/>
          <w:rtl/>
        </w:rPr>
        <w:t>, כיוון שהוא לא מיוחס לו.</w:t>
      </w:r>
      <w:r w:rsidR="00CF2E38">
        <w:rPr>
          <w:rFonts w:cs="David" w:hint="cs"/>
          <w:sz w:val="24"/>
          <w:szCs w:val="24"/>
          <w:rtl/>
        </w:rPr>
        <w:t xml:space="preserve"> </w:t>
      </w:r>
    </w:p>
    <w:p w:rsidR="00B22C2F" w:rsidRDefault="0023349E" w:rsidP="0023349E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ביחס לדיון בבקשה להקלה </w:t>
      </w:r>
      <w:proofErr w:type="spellStart"/>
      <w:r>
        <w:rPr>
          <w:rFonts w:cs="David" w:hint="cs"/>
          <w:b/>
          <w:bCs/>
          <w:sz w:val="24"/>
          <w:szCs w:val="24"/>
          <w:u w:val="single"/>
          <w:rtl/>
        </w:rPr>
        <w:t>בועדת</w:t>
      </w:r>
      <w:proofErr w:type="spellEnd"/>
      <w:r>
        <w:rPr>
          <w:rFonts w:cs="David" w:hint="cs"/>
          <w:b/>
          <w:bCs/>
          <w:sz w:val="24"/>
          <w:szCs w:val="24"/>
          <w:u w:val="single"/>
          <w:rtl/>
        </w:rPr>
        <w:t xml:space="preserve"> משנה</w:t>
      </w:r>
    </w:p>
    <w:p w:rsidR="00115D5E" w:rsidRDefault="00B22C2F" w:rsidP="00180AD5">
      <w:pPr>
        <w:pStyle w:val="a3"/>
        <w:numPr>
          <w:ilvl w:val="0"/>
          <w:numId w:val="2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ביחס ל</w:t>
      </w:r>
      <w:r w:rsidRPr="00877964">
        <w:rPr>
          <w:rFonts w:cs="David" w:hint="cs"/>
          <w:b/>
          <w:bCs/>
          <w:sz w:val="24"/>
          <w:szCs w:val="24"/>
          <w:rtl/>
        </w:rPr>
        <w:t xml:space="preserve">סעיפים </w:t>
      </w:r>
      <w:r w:rsidR="0023349E">
        <w:rPr>
          <w:rFonts w:cs="David" w:hint="cs"/>
          <w:b/>
          <w:bCs/>
          <w:sz w:val="24"/>
          <w:szCs w:val="24"/>
          <w:rtl/>
        </w:rPr>
        <w:t xml:space="preserve">152 </w:t>
      </w:r>
      <w:r w:rsidR="00722C13">
        <w:rPr>
          <w:rFonts w:cs="David" w:hint="cs"/>
          <w:b/>
          <w:bCs/>
          <w:sz w:val="24"/>
          <w:szCs w:val="24"/>
          <w:rtl/>
        </w:rPr>
        <w:t>וסעיף 155</w:t>
      </w:r>
      <w:r w:rsidR="00246397">
        <w:rPr>
          <w:rFonts w:cs="David" w:hint="cs"/>
          <w:b/>
          <w:bCs/>
          <w:sz w:val="24"/>
          <w:szCs w:val="24"/>
          <w:rtl/>
        </w:rPr>
        <w:t xml:space="preserve"> -</w:t>
      </w:r>
      <w:r w:rsidR="00722C13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נבקש לטעון מבלי שהדבר ייחשב ככפירה כי שלמה </w:t>
      </w:r>
      <w:r w:rsidRPr="00AF0F4D">
        <w:rPr>
          <w:rFonts w:cs="David" w:hint="cs"/>
          <w:sz w:val="24"/>
          <w:szCs w:val="24"/>
          <w:rtl/>
        </w:rPr>
        <w:t>לוי</w:t>
      </w:r>
      <w:r>
        <w:rPr>
          <w:rFonts w:cs="David" w:hint="cs"/>
          <w:sz w:val="24"/>
          <w:szCs w:val="24"/>
          <w:rtl/>
        </w:rPr>
        <w:t xml:space="preserve">, יו"ר הועדה, אמר בישיבה כי </w:t>
      </w:r>
      <w:r w:rsidRPr="00231E23">
        <w:rPr>
          <w:rFonts w:cs="David" w:hint="cs"/>
          <w:szCs w:val="24"/>
          <w:rtl/>
        </w:rPr>
        <w:t>"אנחנו מכרנו 77 וזה עבר גם מליאה"</w:t>
      </w:r>
      <w:r>
        <w:rPr>
          <w:rFonts w:cs="David" w:hint="cs"/>
          <w:sz w:val="24"/>
          <w:szCs w:val="24"/>
          <w:rtl/>
        </w:rPr>
        <w:t xml:space="preserve">, </w:t>
      </w:r>
      <w:r w:rsidR="00115D5E" w:rsidRPr="00115D5E">
        <w:rPr>
          <w:rFonts w:cs="David" w:hint="cs"/>
          <w:sz w:val="24"/>
          <w:szCs w:val="24"/>
          <w:rtl/>
        </w:rPr>
        <w:t>וכן "</w:t>
      </w:r>
      <w:r w:rsidR="00115D5E" w:rsidRPr="00115D5E">
        <w:rPr>
          <w:rFonts w:cs="David" w:hint="cs"/>
          <w:szCs w:val="24"/>
          <w:rtl/>
        </w:rPr>
        <w:t xml:space="preserve">אני לא חושב שחידוש החלטות צריכות עוד פעם לבוא </w:t>
      </w:r>
      <w:proofErr w:type="spellStart"/>
      <w:r w:rsidR="00115D5E" w:rsidRPr="00115D5E">
        <w:rPr>
          <w:rFonts w:cs="David" w:hint="cs"/>
          <w:szCs w:val="24"/>
          <w:rtl/>
        </w:rPr>
        <w:t>לועדת</w:t>
      </w:r>
      <w:proofErr w:type="spellEnd"/>
      <w:r w:rsidR="00115D5E" w:rsidRPr="00115D5E">
        <w:rPr>
          <w:rFonts w:cs="David" w:hint="cs"/>
          <w:szCs w:val="24"/>
          <w:rtl/>
        </w:rPr>
        <w:t xml:space="preserve"> המשנה. אפשר לאשר את זה </w:t>
      </w:r>
      <w:proofErr w:type="spellStart"/>
      <w:r w:rsidR="00115D5E" w:rsidRPr="00115D5E">
        <w:rPr>
          <w:rFonts w:cs="David" w:hint="cs"/>
          <w:szCs w:val="24"/>
          <w:rtl/>
        </w:rPr>
        <w:t>בועדת</w:t>
      </w:r>
      <w:proofErr w:type="spellEnd"/>
      <w:r w:rsidR="00115D5E" w:rsidRPr="00115D5E">
        <w:rPr>
          <w:rFonts w:cs="David" w:hint="cs"/>
          <w:szCs w:val="24"/>
          <w:rtl/>
        </w:rPr>
        <w:t xml:space="preserve"> 2...</w:t>
      </w:r>
      <w:r w:rsidR="00115D5E" w:rsidRPr="00115D5E">
        <w:rPr>
          <w:rFonts w:cs="David" w:hint="cs"/>
          <w:sz w:val="24"/>
          <w:szCs w:val="24"/>
          <w:rtl/>
        </w:rPr>
        <w:t xml:space="preserve">". וכי </w:t>
      </w:r>
      <w:r w:rsidR="00180AD5">
        <w:rPr>
          <w:rFonts w:cs="David" w:hint="cs"/>
          <w:sz w:val="24"/>
          <w:szCs w:val="24"/>
          <w:rtl/>
        </w:rPr>
        <w:t>עו"ד בר</w:t>
      </w:r>
      <w:r w:rsidR="00115D5E" w:rsidRPr="00115D5E">
        <w:rPr>
          <w:rFonts w:cs="David" w:hint="cs"/>
          <w:sz w:val="24"/>
          <w:szCs w:val="24"/>
          <w:rtl/>
        </w:rPr>
        <w:t xml:space="preserve"> אמר בישיבה</w:t>
      </w:r>
      <w:r w:rsidR="006A63F8">
        <w:rPr>
          <w:rFonts w:cs="David" w:hint="cs"/>
          <w:sz w:val="24"/>
          <w:szCs w:val="24"/>
          <w:rtl/>
        </w:rPr>
        <w:t xml:space="preserve"> לשלמה לוי</w:t>
      </w:r>
      <w:r w:rsidR="00115D5E" w:rsidRPr="00115D5E">
        <w:rPr>
          <w:rFonts w:cs="David" w:hint="cs"/>
          <w:sz w:val="24"/>
          <w:szCs w:val="24"/>
          <w:rtl/>
        </w:rPr>
        <w:t>: "</w:t>
      </w:r>
      <w:r w:rsidR="00115D5E" w:rsidRPr="00115D5E">
        <w:rPr>
          <w:rFonts w:cs="David" w:hint="cs"/>
          <w:szCs w:val="24"/>
          <w:rtl/>
        </w:rPr>
        <w:t>תקבל החלטה עקרונית. שלמה תקבל החלטה עקרונית שבקשות להיתר לרבות כולל הקלות שנדונו ברישוי וצריך לחדש החלטה שיבואו לרשות רישוי</w:t>
      </w:r>
      <w:r w:rsidR="00115D5E" w:rsidRPr="00115D5E">
        <w:rPr>
          <w:rFonts w:cs="David" w:hint="cs"/>
          <w:sz w:val="24"/>
          <w:szCs w:val="24"/>
          <w:rtl/>
        </w:rPr>
        <w:t>".</w:t>
      </w:r>
    </w:p>
    <w:p w:rsidR="00E9256F" w:rsidRPr="00115D5E" w:rsidRDefault="00115D5E" w:rsidP="00246397">
      <w:pPr>
        <w:pStyle w:val="a3"/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כמו כן, </w:t>
      </w:r>
      <w:r w:rsidR="00246397">
        <w:rPr>
          <w:rFonts w:cs="David" w:hint="cs"/>
          <w:sz w:val="24"/>
          <w:szCs w:val="24"/>
          <w:rtl/>
        </w:rPr>
        <w:t>ביחס ל</w:t>
      </w:r>
      <w:r w:rsidR="00246397">
        <w:rPr>
          <w:rFonts w:cs="David" w:hint="cs"/>
          <w:sz w:val="24"/>
          <w:szCs w:val="24"/>
          <w:rtl/>
        </w:rPr>
        <w:t>סע</w:t>
      </w:r>
      <w:r w:rsidR="00246397">
        <w:rPr>
          <w:rFonts w:cs="David" w:hint="cs"/>
          <w:sz w:val="24"/>
          <w:szCs w:val="24"/>
          <w:rtl/>
        </w:rPr>
        <w:t>יף</w:t>
      </w:r>
      <w:r w:rsidR="00246397">
        <w:rPr>
          <w:rFonts w:cs="David" w:hint="cs"/>
          <w:sz w:val="24"/>
          <w:szCs w:val="24"/>
          <w:rtl/>
        </w:rPr>
        <w:t xml:space="preserve"> 155 (ח) </w:t>
      </w:r>
      <w:r w:rsidR="00246397">
        <w:rPr>
          <w:rFonts w:cs="David" w:hint="cs"/>
          <w:sz w:val="24"/>
          <w:szCs w:val="24"/>
          <w:rtl/>
        </w:rPr>
        <w:t xml:space="preserve">באופן ספציפי </w:t>
      </w:r>
      <w:r>
        <w:rPr>
          <w:rFonts w:cs="David" w:hint="cs"/>
          <w:sz w:val="24"/>
          <w:szCs w:val="24"/>
          <w:rtl/>
        </w:rPr>
        <w:t>נבקש לטעון</w:t>
      </w:r>
      <w:r w:rsidR="00246397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כי </w:t>
      </w:r>
      <w:r w:rsidR="00246397">
        <w:rPr>
          <w:rFonts w:cs="David" w:hint="cs"/>
          <w:sz w:val="24"/>
          <w:szCs w:val="24"/>
          <w:rtl/>
        </w:rPr>
        <w:t xml:space="preserve">סעיף זה </w:t>
      </w:r>
      <w:r w:rsidR="002E49C2">
        <w:rPr>
          <w:rFonts w:cs="David" w:hint="cs"/>
          <w:sz w:val="24"/>
          <w:szCs w:val="24"/>
          <w:rtl/>
        </w:rPr>
        <w:t xml:space="preserve">מתייחס להסתרה של פרטים שכולם היו בפני הגורמים </w:t>
      </w:r>
      <w:proofErr w:type="spellStart"/>
      <w:r w:rsidR="002E49C2">
        <w:rPr>
          <w:rFonts w:cs="David" w:hint="cs"/>
          <w:sz w:val="24"/>
          <w:szCs w:val="24"/>
          <w:rtl/>
        </w:rPr>
        <w:t>הרלוונטים</w:t>
      </w:r>
      <w:proofErr w:type="spellEnd"/>
      <w:r w:rsidR="002E49C2">
        <w:rPr>
          <w:rFonts w:cs="David" w:hint="cs"/>
          <w:sz w:val="24"/>
          <w:szCs w:val="24"/>
          <w:rtl/>
        </w:rPr>
        <w:t>.</w:t>
      </w:r>
    </w:p>
    <w:p w:rsidR="00B22C2F" w:rsidRDefault="00AF0F4D" w:rsidP="00AF0F4D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ביחס ל</w:t>
      </w:r>
      <w:r w:rsidR="00B22C2F">
        <w:rPr>
          <w:rFonts w:cs="David" w:hint="cs"/>
          <w:b/>
          <w:bCs/>
          <w:sz w:val="24"/>
          <w:szCs w:val="24"/>
          <w:u w:val="single"/>
          <w:rtl/>
        </w:rPr>
        <w:t xml:space="preserve">השגות על היתרי הבנייה של </w:t>
      </w:r>
      <w:proofErr w:type="spellStart"/>
      <w:r w:rsidR="00B22C2F">
        <w:rPr>
          <w:rFonts w:cs="David" w:hint="cs"/>
          <w:b/>
          <w:bCs/>
          <w:sz w:val="24"/>
          <w:szCs w:val="24"/>
          <w:u w:val="single"/>
          <w:rtl/>
        </w:rPr>
        <w:t>אמסלם</w:t>
      </w:r>
      <w:proofErr w:type="spellEnd"/>
      <w:r w:rsidR="00B22C2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B22C2F">
        <w:rPr>
          <w:rFonts w:cs="David" w:hint="cs"/>
          <w:b/>
          <w:bCs/>
          <w:sz w:val="24"/>
          <w:szCs w:val="24"/>
          <w:u w:val="single"/>
          <w:rtl/>
        </w:rPr>
        <w:t>ודימרי</w:t>
      </w:r>
      <w:proofErr w:type="spellEnd"/>
    </w:p>
    <w:p w:rsidR="00B22C2F" w:rsidRDefault="00B22C2F" w:rsidP="00246397">
      <w:pPr>
        <w:pStyle w:val="a3"/>
        <w:numPr>
          <w:ilvl w:val="0"/>
          <w:numId w:val="2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ביחס </w:t>
      </w:r>
      <w:r w:rsidRPr="00A00CAD">
        <w:rPr>
          <w:rFonts w:cs="David" w:hint="cs"/>
          <w:b/>
          <w:bCs/>
          <w:sz w:val="24"/>
          <w:szCs w:val="24"/>
          <w:rtl/>
        </w:rPr>
        <w:t>לסעיפים</w:t>
      </w:r>
      <w:r>
        <w:rPr>
          <w:rFonts w:cs="David" w:hint="cs"/>
          <w:sz w:val="24"/>
          <w:szCs w:val="24"/>
          <w:rtl/>
        </w:rPr>
        <w:t xml:space="preserve"> </w:t>
      </w:r>
      <w:r w:rsidR="007539C6">
        <w:rPr>
          <w:rFonts w:cs="David" w:hint="cs"/>
          <w:b/>
          <w:bCs/>
          <w:sz w:val="24"/>
          <w:szCs w:val="24"/>
          <w:rtl/>
        </w:rPr>
        <w:t>161, 167, 168</w:t>
      </w:r>
      <w:r w:rsidR="00246397">
        <w:rPr>
          <w:rFonts w:cs="David" w:hint="cs"/>
          <w:b/>
          <w:bCs/>
          <w:sz w:val="24"/>
          <w:szCs w:val="24"/>
          <w:rtl/>
        </w:rPr>
        <w:t xml:space="preserve"> -</w:t>
      </w:r>
      <w:r>
        <w:rPr>
          <w:rFonts w:cs="David" w:hint="cs"/>
          <w:sz w:val="24"/>
          <w:szCs w:val="24"/>
          <w:rtl/>
        </w:rPr>
        <w:t xml:space="preserve"> נבקש לטעון מבלי שהדבר ייחשב ככפירה, כי טענותיו של עו"ד שוויצר</w:t>
      </w:r>
      <w:r w:rsidR="008E6CED">
        <w:rPr>
          <w:rFonts w:cs="David" w:hint="cs"/>
          <w:sz w:val="24"/>
          <w:szCs w:val="24"/>
          <w:rtl/>
        </w:rPr>
        <w:t xml:space="preserve"> היו מופנות כנגד התנהלות העיריה.</w:t>
      </w:r>
    </w:p>
    <w:p w:rsidR="00B22C2F" w:rsidRDefault="00B22C2F" w:rsidP="00B22C2F">
      <w:pPr>
        <w:pStyle w:val="a3"/>
        <w:spacing w:line="360" w:lineRule="auto"/>
        <w:jc w:val="both"/>
        <w:rPr>
          <w:rFonts w:cs="David"/>
          <w:sz w:val="24"/>
          <w:szCs w:val="24"/>
        </w:rPr>
      </w:pPr>
    </w:p>
    <w:p w:rsidR="00D47801" w:rsidRPr="008E6CED" w:rsidRDefault="00B22C2F" w:rsidP="00246397">
      <w:pPr>
        <w:pStyle w:val="a3"/>
        <w:numPr>
          <w:ilvl w:val="0"/>
          <w:numId w:val="2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8E6CED">
        <w:rPr>
          <w:rFonts w:cs="David" w:hint="cs"/>
          <w:sz w:val="24"/>
          <w:szCs w:val="24"/>
          <w:rtl/>
        </w:rPr>
        <w:t xml:space="preserve">ביחס </w:t>
      </w:r>
      <w:r w:rsidRPr="008E6CED">
        <w:rPr>
          <w:rFonts w:cs="David" w:hint="cs"/>
          <w:b/>
          <w:bCs/>
          <w:sz w:val="24"/>
          <w:szCs w:val="24"/>
          <w:rtl/>
        </w:rPr>
        <w:t>לסעיפים 170</w:t>
      </w:r>
      <w:r w:rsidR="00CE42A1" w:rsidRPr="008E6CED">
        <w:rPr>
          <w:rFonts w:cs="David" w:hint="cs"/>
          <w:b/>
          <w:bCs/>
          <w:sz w:val="24"/>
          <w:szCs w:val="24"/>
          <w:rtl/>
        </w:rPr>
        <w:t>-172</w:t>
      </w:r>
      <w:r w:rsidR="00246397">
        <w:rPr>
          <w:rFonts w:cs="David" w:hint="cs"/>
          <w:b/>
          <w:bCs/>
          <w:sz w:val="24"/>
          <w:szCs w:val="24"/>
          <w:rtl/>
        </w:rPr>
        <w:t xml:space="preserve"> -</w:t>
      </w:r>
      <w:r w:rsidR="00CE42A1" w:rsidRPr="008E6CED">
        <w:rPr>
          <w:rFonts w:cs="David" w:hint="cs"/>
          <w:b/>
          <w:bCs/>
          <w:sz w:val="24"/>
          <w:szCs w:val="24"/>
          <w:rtl/>
        </w:rPr>
        <w:t xml:space="preserve"> </w:t>
      </w:r>
      <w:r w:rsidRPr="008E6CED">
        <w:rPr>
          <w:rFonts w:cs="David" w:hint="cs"/>
          <w:sz w:val="24"/>
          <w:szCs w:val="24"/>
          <w:rtl/>
        </w:rPr>
        <w:t xml:space="preserve">נבקש לטעון מבלי שהדבר ייחשב ככפירה, כי האמירה של עו"ד בר במכתבו כי מדובר ב"מעשה גמור" </w:t>
      </w:r>
      <w:r w:rsidR="00246397">
        <w:rPr>
          <w:rFonts w:cs="David" w:hint="cs"/>
          <w:sz w:val="24"/>
          <w:szCs w:val="24"/>
          <w:rtl/>
        </w:rPr>
        <w:t>פירושה</w:t>
      </w:r>
      <w:r w:rsidR="008E6CED">
        <w:rPr>
          <w:rFonts w:cs="David" w:hint="cs"/>
          <w:sz w:val="24"/>
          <w:szCs w:val="24"/>
          <w:rtl/>
        </w:rPr>
        <w:t xml:space="preserve"> </w:t>
      </w:r>
      <w:r w:rsidRPr="008E6CED">
        <w:rPr>
          <w:rFonts w:cs="David" w:hint="cs"/>
          <w:sz w:val="24"/>
          <w:szCs w:val="24"/>
          <w:rtl/>
        </w:rPr>
        <w:t xml:space="preserve">שפג תוקף המועד להתנגדויות </w:t>
      </w:r>
      <w:r w:rsidR="008E6CED">
        <w:rPr>
          <w:rFonts w:cs="David" w:hint="cs"/>
          <w:sz w:val="24"/>
          <w:szCs w:val="24"/>
          <w:rtl/>
        </w:rPr>
        <w:t xml:space="preserve">הקבוע </w:t>
      </w:r>
      <w:r w:rsidRPr="008E6CED">
        <w:rPr>
          <w:rFonts w:cs="David" w:hint="cs"/>
          <w:sz w:val="24"/>
          <w:szCs w:val="24"/>
          <w:rtl/>
        </w:rPr>
        <w:t>בחוק.</w:t>
      </w:r>
      <w:r w:rsidR="008E6CED" w:rsidRPr="008E6CED">
        <w:rPr>
          <w:rFonts w:cs="David" w:hint="cs"/>
          <w:sz w:val="24"/>
          <w:szCs w:val="24"/>
          <w:rtl/>
        </w:rPr>
        <w:t xml:space="preserve"> כך גם הבין עו"ד שוויצר </w:t>
      </w:r>
      <w:r w:rsidR="00D47801" w:rsidRPr="008E6CED">
        <w:rPr>
          <w:rFonts w:cs="David" w:hint="cs"/>
          <w:sz w:val="24"/>
          <w:szCs w:val="24"/>
          <w:rtl/>
        </w:rPr>
        <w:t>(שוויצר, הודעה 2, 21.8.14, עמ' 2, ש' 19-40)</w:t>
      </w:r>
    </w:p>
    <w:p w:rsidR="00B22C2F" w:rsidRDefault="00AF0F4D" w:rsidP="00B22C2F">
      <w:pPr>
        <w:spacing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ביחס לביטול החיוב של היטל ההשבחה</w:t>
      </w:r>
    </w:p>
    <w:p w:rsidR="004D5C20" w:rsidRDefault="00F33B59" w:rsidP="00246397">
      <w:pPr>
        <w:pStyle w:val="a3"/>
        <w:numPr>
          <w:ilvl w:val="0"/>
          <w:numId w:val="2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ביחס ל</w:t>
      </w:r>
      <w:r>
        <w:rPr>
          <w:rFonts w:cs="David" w:hint="cs"/>
          <w:b/>
          <w:bCs/>
          <w:sz w:val="24"/>
          <w:szCs w:val="24"/>
          <w:rtl/>
        </w:rPr>
        <w:t>סעיף 177</w:t>
      </w:r>
      <w:r w:rsidR="00246397">
        <w:rPr>
          <w:rFonts w:cs="David" w:hint="cs"/>
          <w:b/>
          <w:bCs/>
          <w:sz w:val="24"/>
          <w:szCs w:val="24"/>
          <w:rtl/>
        </w:rPr>
        <w:t xml:space="preserve"> - </w:t>
      </w:r>
      <w:r>
        <w:rPr>
          <w:rFonts w:cs="David" w:hint="cs"/>
          <w:sz w:val="24"/>
          <w:szCs w:val="24"/>
          <w:rtl/>
        </w:rPr>
        <w:t xml:space="preserve">עו"ד בר מודה כי סייע </w:t>
      </w:r>
      <w:proofErr w:type="spellStart"/>
      <w:r>
        <w:rPr>
          <w:rFonts w:cs="David" w:hint="cs"/>
          <w:sz w:val="24"/>
          <w:szCs w:val="24"/>
          <w:rtl/>
        </w:rPr>
        <w:t>לאמסלם</w:t>
      </w:r>
      <w:proofErr w:type="spellEnd"/>
      <w:r>
        <w:rPr>
          <w:rFonts w:cs="David" w:hint="cs"/>
          <w:sz w:val="24"/>
          <w:szCs w:val="24"/>
          <w:rtl/>
        </w:rPr>
        <w:t xml:space="preserve"> בניסוח המכתב </w:t>
      </w:r>
      <w:proofErr w:type="spellStart"/>
      <w:r>
        <w:rPr>
          <w:rFonts w:cs="David" w:hint="cs"/>
          <w:sz w:val="24"/>
          <w:szCs w:val="24"/>
          <w:rtl/>
        </w:rPr>
        <w:t>לעיריה</w:t>
      </w:r>
      <w:proofErr w:type="spellEnd"/>
      <w:r>
        <w:rPr>
          <w:rFonts w:cs="David" w:hint="cs"/>
          <w:sz w:val="24"/>
          <w:szCs w:val="24"/>
          <w:rtl/>
        </w:rPr>
        <w:t xml:space="preserve"> מיום 14.5.08 וכי בכך פעל מתוך ניגוד עניינים ובניגוד לאינטרס העיריה. </w:t>
      </w:r>
      <w:r w:rsidR="00246397">
        <w:rPr>
          <w:rFonts w:cs="David" w:hint="cs"/>
          <w:sz w:val="24"/>
          <w:szCs w:val="24"/>
          <w:rtl/>
        </w:rPr>
        <w:t xml:space="preserve">אך </w:t>
      </w:r>
      <w:r>
        <w:rPr>
          <w:rFonts w:cs="David" w:hint="cs"/>
          <w:sz w:val="24"/>
          <w:szCs w:val="24"/>
          <w:rtl/>
        </w:rPr>
        <w:t xml:space="preserve">נבקש לטעון מבלי שהדבר ייחשב ככפירה כי </w:t>
      </w:r>
      <w:proofErr w:type="spellStart"/>
      <w:r w:rsidR="004D5C20">
        <w:rPr>
          <w:rFonts w:cs="David" w:hint="cs"/>
          <w:sz w:val="24"/>
          <w:szCs w:val="24"/>
          <w:rtl/>
        </w:rPr>
        <w:t>לעיריה</w:t>
      </w:r>
      <w:proofErr w:type="spellEnd"/>
      <w:r w:rsidR="004D5C20">
        <w:rPr>
          <w:rFonts w:cs="David" w:hint="cs"/>
          <w:sz w:val="24"/>
          <w:szCs w:val="24"/>
          <w:rtl/>
        </w:rPr>
        <w:t xml:space="preserve"> </w:t>
      </w:r>
      <w:r w:rsidR="004D5C20" w:rsidRPr="00246397">
        <w:rPr>
          <w:rFonts w:cs="David" w:hint="cs"/>
          <w:b/>
          <w:bCs/>
          <w:sz w:val="24"/>
          <w:szCs w:val="24"/>
          <w:rtl/>
        </w:rPr>
        <w:t>לא היה מקור חוקי לגביית היטל ההשבחה</w:t>
      </w:r>
      <w:r w:rsidR="00825E45">
        <w:rPr>
          <w:rFonts w:cs="David" w:hint="cs"/>
          <w:sz w:val="24"/>
          <w:szCs w:val="24"/>
          <w:rtl/>
        </w:rPr>
        <w:t xml:space="preserve"> ו</w:t>
      </w:r>
      <w:r w:rsidR="00373F51">
        <w:rPr>
          <w:rFonts w:cs="David" w:hint="cs"/>
          <w:sz w:val="24"/>
          <w:szCs w:val="24"/>
          <w:rtl/>
        </w:rPr>
        <w:t xml:space="preserve">נבקש בהקשר זה להפנות למייל מרחמני למיטל כוכבי (עבור עו"ד בר) ולעו"ד </w:t>
      </w:r>
      <w:proofErr w:type="spellStart"/>
      <w:r w:rsidR="00373F51">
        <w:rPr>
          <w:rFonts w:cs="David" w:hint="cs"/>
          <w:sz w:val="24"/>
          <w:szCs w:val="24"/>
          <w:rtl/>
        </w:rPr>
        <w:t>קוצ'</w:t>
      </w:r>
      <w:r w:rsidR="00733599">
        <w:rPr>
          <w:rFonts w:cs="David" w:hint="cs"/>
          <w:sz w:val="24"/>
          <w:szCs w:val="24"/>
          <w:rtl/>
        </w:rPr>
        <w:t>ינסקי</w:t>
      </w:r>
      <w:proofErr w:type="spellEnd"/>
      <w:r w:rsidR="00733599">
        <w:rPr>
          <w:rFonts w:cs="David" w:hint="cs"/>
          <w:sz w:val="24"/>
          <w:szCs w:val="24"/>
          <w:rtl/>
        </w:rPr>
        <w:t xml:space="preserve"> עם העתק לגזבר הרצל </w:t>
      </w:r>
      <w:proofErr w:type="spellStart"/>
      <w:r w:rsidR="00733599">
        <w:rPr>
          <w:rFonts w:cs="David" w:hint="cs"/>
          <w:sz w:val="24"/>
          <w:szCs w:val="24"/>
          <w:rtl/>
        </w:rPr>
        <w:t>יוספיה</w:t>
      </w:r>
      <w:proofErr w:type="spellEnd"/>
      <w:r w:rsidR="00733599">
        <w:rPr>
          <w:rFonts w:cs="David" w:hint="cs"/>
          <w:sz w:val="24"/>
          <w:szCs w:val="24"/>
          <w:rtl/>
        </w:rPr>
        <w:t xml:space="preserve"> </w:t>
      </w:r>
      <w:r w:rsidR="00C20185">
        <w:rPr>
          <w:rFonts w:cs="David" w:hint="cs"/>
          <w:sz w:val="24"/>
          <w:szCs w:val="24"/>
          <w:rtl/>
        </w:rPr>
        <w:t xml:space="preserve">מיום 19.3.08 </w:t>
      </w:r>
      <w:r w:rsidR="00733599">
        <w:rPr>
          <w:rFonts w:cs="David" w:hint="cs"/>
          <w:sz w:val="24"/>
          <w:szCs w:val="24"/>
          <w:rtl/>
        </w:rPr>
        <w:t>(</w:t>
      </w:r>
      <w:r w:rsidR="00733599" w:rsidRPr="00733599">
        <w:rPr>
          <w:rFonts w:cs="David" w:hint="cs"/>
          <w:sz w:val="24"/>
          <w:szCs w:val="24"/>
          <w:highlight w:val="yellow"/>
          <w:rtl/>
        </w:rPr>
        <w:t>ברקוד</w:t>
      </w:r>
      <w:r w:rsidR="00CD54D9">
        <w:rPr>
          <w:rFonts w:cs="David" w:hint="cs"/>
          <w:sz w:val="24"/>
          <w:szCs w:val="24"/>
          <w:highlight w:val="yellow"/>
          <w:rtl/>
        </w:rPr>
        <w:t xml:space="preserve"> 7658</w:t>
      </w:r>
      <w:r w:rsidR="00733599" w:rsidRPr="00733599">
        <w:rPr>
          <w:rFonts w:cs="David" w:hint="cs"/>
          <w:sz w:val="24"/>
          <w:szCs w:val="24"/>
          <w:highlight w:val="yellow"/>
          <w:rtl/>
        </w:rPr>
        <w:t>)</w:t>
      </w:r>
      <w:r w:rsidR="00373F51" w:rsidRPr="00733599">
        <w:rPr>
          <w:rFonts w:cs="David" w:hint="cs"/>
          <w:sz w:val="24"/>
          <w:szCs w:val="24"/>
          <w:highlight w:val="yellow"/>
          <w:rtl/>
        </w:rPr>
        <w:t>:</w:t>
      </w:r>
    </w:p>
    <w:p w:rsidR="00373F51" w:rsidRDefault="00373F51" w:rsidP="00373F51">
      <w:pPr>
        <w:pStyle w:val="a3"/>
        <w:spacing w:line="360" w:lineRule="auto"/>
        <w:ind w:left="1076" w:right="426"/>
        <w:jc w:val="both"/>
        <w:rPr>
          <w:rFonts w:cs="David"/>
          <w:szCs w:val="24"/>
        </w:rPr>
      </w:pPr>
      <w:r w:rsidRPr="00246397">
        <w:rPr>
          <w:rFonts w:cs="David" w:hint="cs"/>
          <w:szCs w:val="24"/>
          <w:rtl/>
        </w:rPr>
        <w:t>"לאחרונה אגף רישוי בניה מפרש את תוספת שטחי השירות</w:t>
      </w:r>
      <w:r>
        <w:rPr>
          <w:rFonts w:cs="David" w:hint="cs"/>
          <w:szCs w:val="24"/>
          <w:rtl/>
        </w:rPr>
        <w:t xml:space="preserve"> הניתנים בקוטג'ים מזווה חדר ארונות חדר כביסה גם בבניה רוויה. לדעתנו התוספת הנ"ל מהווה תוספת שטחי עיקרי ובוודאי תוספת שווי כעיקרי שהרי </w:t>
      </w:r>
      <w:r w:rsidRPr="00106238">
        <w:rPr>
          <w:rFonts w:cs="David" w:hint="cs"/>
          <w:szCs w:val="24"/>
          <w:rtl/>
        </w:rPr>
        <w:t xml:space="preserve">הדירה נמכרת ללא אבחנה לפי מ"ר ברוטו (לדוגמא פרויקט גינדי-אלמוג כדאי, י.ח. </w:t>
      </w:r>
      <w:proofErr w:type="spellStart"/>
      <w:r w:rsidRPr="00106238">
        <w:rPr>
          <w:rFonts w:cs="David" w:hint="cs"/>
          <w:szCs w:val="24"/>
          <w:rtl/>
        </w:rPr>
        <w:t>דימרי</w:t>
      </w:r>
      <w:proofErr w:type="spellEnd"/>
      <w:r w:rsidRPr="00106238">
        <w:rPr>
          <w:rFonts w:cs="David" w:hint="cs"/>
          <w:szCs w:val="24"/>
          <w:rtl/>
        </w:rPr>
        <w:t xml:space="preserve"> ב. יאיר, </w:t>
      </w:r>
      <w:proofErr w:type="spellStart"/>
      <w:r w:rsidRPr="00106238">
        <w:rPr>
          <w:rFonts w:cs="David" w:hint="cs"/>
          <w:szCs w:val="24"/>
          <w:rtl/>
        </w:rPr>
        <w:t>שחוייבו</w:t>
      </w:r>
      <w:proofErr w:type="spellEnd"/>
      <w:r>
        <w:rPr>
          <w:rFonts w:cs="David" w:hint="cs"/>
          <w:szCs w:val="24"/>
          <w:rtl/>
        </w:rPr>
        <w:t xml:space="preserve"> בכ-4 מיליון ₪ ועוד)</w:t>
      </w:r>
    </w:p>
    <w:p w:rsidR="00373F51" w:rsidRDefault="00373F51" w:rsidP="00373F51">
      <w:pPr>
        <w:pStyle w:val="a3"/>
        <w:spacing w:line="360" w:lineRule="auto"/>
        <w:ind w:left="1076" w:right="426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lastRenderedPageBreak/>
        <w:t xml:space="preserve">יש להכין תיקון </w:t>
      </w:r>
      <w:proofErr w:type="spellStart"/>
      <w:r>
        <w:rPr>
          <w:rFonts w:cs="David" w:hint="cs"/>
          <w:szCs w:val="24"/>
          <w:rtl/>
        </w:rPr>
        <w:t>תב"ע</w:t>
      </w:r>
      <w:proofErr w:type="spellEnd"/>
      <w:r>
        <w:rPr>
          <w:rFonts w:cs="David" w:hint="cs"/>
          <w:szCs w:val="24"/>
          <w:rtl/>
        </w:rPr>
        <w:t xml:space="preserve"> ולהבהיר כבר בשלב אישור הועדה המקומית כי הנושא כפוף לתשלום היטל השבחה </w:t>
      </w:r>
      <w:r w:rsidRPr="00373F51">
        <w:rPr>
          <w:rFonts w:cs="David" w:hint="cs"/>
          <w:b/>
          <w:bCs/>
          <w:szCs w:val="24"/>
          <w:rtl/>
        </w:rPr>
        <w:t>למרות שאין עילה חוקית</w:t>
      </w:r>
      <w:r>
        <w:rPr>
          <w:rFonts w:cs="David" w:hint="cs"/>
          <w:szCs w:val="24"/>
          <w:rtl/>
        </w:rPr>
        <w:t xml:space="preserve"> </w:t>
      </w:r>
      <w:r w:rsidRPr="00373F51">
        <w:rPr>
          <w:rFonts w:cs="David" w:hint="cs"/>
          <w:szCs w:val="24"/>
          <w:rtl/>
        </w:rPr>
        <w:t>בוודאי לאלה שקנו לאחר אישור 1/1/י"ג"</w:t>
      </w:r>
      <w:r w:rsidR="00C0233F">
        <w:rPr>
          <w:rFonts w:cs="David" w:hint="cs"/>
          <w:szCs w:val="24"/>
          <w:rtl/>
        </w:rPr>
        <w:t>.</w:t>
      </w:r>
    </w:p>
    <w:p w:rsidR="00C0233F" w:rsidRDefault="00C0233F" w:rsidP="00373F51">
      <w:pPr>
        <w:pStyle w:val="a3"/>
        <w:spacing w:line="360" w:lineRule="auto"/>
        <w:ind w:left="1076" w:right="426"/>
        <w:jc w:val="both"/>
        <w:rPr>
          <w:rFonts w:cs="David"/>
          <w:szCs w:val="24"/>
          <w:rtl/>
        </w:rPr>
      </w:pPr>
    </w:p>
    <w:p w:rsidR="00B22C2F" w:rsidRDefault="00AF0F4D" w:rsidP="00180AD5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ביחס ל</w:t>
      </w:r>
      <w:r w:rsidR="00B22C2F">
        <w:rPr>
          <w:rFonts w:cs="David" w:hint="cs"/>
          <w:b/>
          <w:bCs/>
          <w:sz w:val="24"/>
          <w:szCs w:val="24"/>
          <w:u w:val="single"/>
          <w:rtl/>
        </w:rPr>
        <w:t xml:space="preserve">פרשת משרד המכירות בפרויקט </w:t>
      </w:r>
      <w:r w:rsidR="00B22C2F">
        <w:rPr>
          <w:rFonts w:cs="David"/>
          <w:b/>
          <w:bCs/>
          <w:sz w:val="24"/>
          <w:szCs w:val="24"/>
          <w:u w:val="single"/>
        </w:rPr>
        <w:t xml:space="preserve">WHITE </w:t>
      </w:r>
      <w:r w:rsidR="00B22C2F">
        <w:rPr>
          <w:rFonts w:cs="David"/>
          <w:b/>
          <w:bCs/>
          <w:sz w:val="24"/>
          <w:szCs w:val="24"/>
          <w:u w:val="single"/>
          <w:rtl/>
        </w:rPr>
        <w:t>–</w:t>
      </w:r>
      <w:r w:rsidR="00B22C2F">
        <w:rPr>
          <w:rFonts w:cs="David" w:hint="cs"/>
          <w:b/>
          <w:bCs/>
          <w:sz w:val="24"/>
          <w:szCs w:val="24"/>
          <w:u w:val="single"/>
          <w:rtl/>
        </w:rPr>
        <w:t xml:space="preserve"> מגרש 9  -</w:t>
      </w:r>
    </w:p>
    <w:p w:rsidR="00B22C2F" w:rsidRDefault="00B22C2F" w:rsidP="00246397">
      <w:pPr>
        <w:pStyle w:val="a3"/>
        <w:numPr>
          <w:ilvl w:val="0"/>
          <w:numId w:val="2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ביחס לסעיף </w:t>
      </w:r>
      <w:r w:rsidR="00120AD6">
        <w:rPr>
          <w:rFonts w:cs="David" w:hint="cs"/>
          <w:b/>
          <w:bCs/>
          <w:szCs w:val="24"/>
          <w:rtl/>
        </w:rPr>
        <w:t>209 (ט)</w:t>
      </w:r>
      <w:r>
        <w:rPr>
          <w:rFonts w:cs="David" w:hint="cs"/>
          <w:szCs w:val="24"/>
          <w:rtl/>
        </w:rPr>
        <w:t xml:space="preserve"> </w:t>
      </w:r>
      <w:r w:rsidR="00246397">
        <w:rPr>
          <w:rFonts w:cs="David" w:hint="cs"/>
          <w:szCs w:val="24"/>
          <w:rtl/>
        </w:rPr>
        <w:t xml:space="preserve">- </w:t>
      </w:r>
      <w:r>
        <w:rPr>
          <w:rFonts w:cs="David" w:hint="cs"/>
          <w:szCs w:val="24"/>
          <w:rtl/>
        </w:rPr>
        <w:t xml:space="preserve">נבקש לטעון, מבלי שהדבר ייחשב ככפירה כי עניין זה הובא בפני משתתפי הישיבה מיום 2.9.08 וכי ראש העיר ניצן החליט לכן לקדם את ההצעה בתנאי "שימוש חורג". נבקש בהקשר זה </w:t>
      </w:r>
      <w:r w:rsidR="00246397">
        <w:rPr>
          <w:rFonts w:cs="David" w:hint="cs"/>
          <w:szCs w:val="24"/>
          <w:rtl/>
        </w:rPr>
        <w:t>להפנות ל</w:t>
      </w:r>
      <w:r>
        <w:rPr>
          <w:rFonts w:cs="David" w:hint="cs"/>
          <w:szCs w:val="24"/>
          <w:rtl/>
        </w:rPr>
        <w:t>סיכום הישיבה מיום 2.9.08 (</w:t>
      </w:r>
      <w:r w:rsidRPr="00093176">
        <w:rPr>
          <w:rFonts w:cs="David" w:hint="cs"/>
          <w:szCs w:val="24"/>
          <w:highlight w:val="yellow"/>
          <w:rtl/>
        </w:rPr>
        <w:t xml:space="preserve">ברקוד </w:t>
      </w:r>
      <w:r w:rsidR="006E18AB">
        <w:rPr>
          <w:rFonts w:cs="David" w:hint="cs"/>
          <w:szCs w:val="24"/>
          <w:highlight w:val="yellow"/>
          <w:rtl/>
        </w:rPr>
        <w:t>978</w:t>
      </w:r>
      <w:r w:rsidRPr="00093176">
        <w:rPr>
          <w:rFonts w:cs="David" w:hint="cs"/>
          <w:szCs w:val="24"/>
          <w:highlight w:val="yellow"/>
          <w:rtl/>
        </w:rPr>
        <w:t>)</w:t>
      </w:r>
      <w:r>
        <w:rPr>
          <w:rFonts w:cs="David" w:hint="cs"/>
          <w:szCs w:val="24"/>
          <w:rtl/>
        </w:rPr>
        <w:t>.</w:t>
      </w:r>
    </w:p>
    <w:sectPr w:rsidR="00B22C2F" w:rsidSect="00C67527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1F" w:rsidRDefault="00255A1F" w:rsidP="00255A1F">
      <w:pPr>
        <w:spacing w:after="0" w:line="240" w:lineRule="auto"/>
      </w:pPr>
      <w:r>
        <w:separator/>
      </w:r>
    </w:p>
  </w:endnote>
  <w:endnote w:type="continuationSeparator" w:id="0">
    <w:p w:rsidR="00255A1F" w:rsidRDefault="00255A1F" w:rsidP="0025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1F" w:rsidRDefault="00255A1F" w:rsidP="00255A1F">
      <w:pPr>
        <w:spacing w:after="0" w:line="240" w:lineRule="auto"/>
      </w:pPr>
      <w:r>
        <w:separator/>
      </w:r>
    </w:p>
  </w:footnote>
  <w:footnote w:type="continuationSeparator" w:id="0">
    <w:p w:rsidR="00255A1F" w:rsidRDefault="00255A1F" w:rsidP="0025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47833449"/>
      <w:docPartObj>
        <w:docPartGallery w:val="Page Numbers (Top of Page)"/>
        <w:docPartUnique/>
      </w:docPartObj>
    </w:sdtPr>
    <w:sdtEndPr/>
    <w:sdtContent>
      <w:p w:rsidR="00255A1F" w:rsidRDefault="00255A1F">
        <w:pPr>
          <w:pStyle w:val="a7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2C3D6A" w:rsidRPr="002C3D6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255A1F" w:rsidRDefault="00255A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F91"/>
    <w:multiLevelType w:val="hybridMultilevel"/>
    <w:tmpl w:val="BA9CAA34"/>
    <w:lvl w:ilvl="0" w:tplc="2C120F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80E3A"/>
    <w:multiLevelType w:val="hybridMultilevel"/>
    <w:tmpl w:val="F1AC02D4"/>
    <w:lvl w:ilvl="0" w:tplc="FAE01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A4AC5"/>
    <w:multiLevelType w:val="hybridMultilevel"/>
    <w:tmpl w:val="7E7860DE"/>
    <w:lvl w:ilvl="0" w:tplc="785CEA20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David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B5CAE"/>
    <w:multiLevelType w:val="hybridMultilevel"/>
    <w:tmpl w:val="5834205C"/>
    <w:lvl w:ilvl="0" w:tplc="F3D6143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37DD5"/>
    <w:multiLevelType w:val="hybridMultilevel"/>
    <w:tmpl w:val="6E0ADEFA"/>
    <w:lvl w:ilvl="0" w:tplc="9A9E314E">
      <w:numFmt w:val="bullet"/>
      <w:lvlText w:val="-"/>
      <w:lvlJc w:val="left"/>
      <w:pPr>
        <w:ind w:left="360" w:hanging="360"/>
      </w:pPr>
      <w:rPr>
        <w:rFonts w:asciiTheme="minorHAnsi" w:eastAsia="Times New Roman" w:hAnsiTheme="minorHAnsi" w:cs="David" w:hint="default"/>
        <w:b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04E1F"/>
    <w:multiLevelType w:val="hybridMultilevel"/>
    <w:tmpl w:val="9CA6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D0ADB"/>
    <w:multiLevelType w:val="hybridMultilevel"/>
    <w:tmpl w:val="BC020F0C"/>
    <w:lvl w:ilvl="0" w:tplc="8306F77A">
      <w:start w:val="6"/>
      <w:numFmt w:val="bullet"/>
      <w:lvlText w:val="-"/>
      <w:lvlJc w:val="left"/>
      <w:pPr>
        <w:ind w:left="360" w:hanging="360"/>
      </w:pPr>
      <w:rPr>
        <w:rFonts w:asciiTheme="majorHAnsi" w:eastAsiaTheme="majorEastAsia" w:hAnsiTheme="maj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85AB3"/>
    <w:multiLevelType w:val="hybridMultilevel"/>
    <w:tmpl w:val="14204CA6"/>
    <w:lvl w:ilvl="0" w:tplc="FCC49AC2">
      <w:start w:val="8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David" w:hint="default"/>
        <w:b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49"/>
    <w:rsid w:val="00011655"/>
    <w:rsid w:val="00071A00"/>
    <w:rsid w:val="00093176"/>
    <w:rsid w:val="000A117C"/>
    <w:rsid w:val="000A762B"/>
    <w:rsid w:val="000E2755"/>
    <w:rsid w:val="000E3CB1"/>
    <w:rsid w:val="00100063"/>
    <w:rsid w:val="00110B94"/>
    <w:rsid w:val="00115D5E"/>
    <w:rsid w:val="00120AD6"/>
    <w:rsid w:val="00136DCF"/>
    <w:rsid w:val="00137703"/>
    <w:rsid w:val="00167CD0"/>
    <w:rsid w:val="00171105"/>
    <w:rsid w:val="00180AD5"/>
    <w:rsid w:val="00191518"/>
    <w:rsid w:val="001932A4"/>
    <w:rsid w:val="001A6438"/>
    <w:rsid w:val="001B2A5F"/>
    <w:rsid w:val="001D76A2"/>
    <w:rsid w:val="001E38D5"/>
    <w:rsid w:val="001F7F28"/>
    <w:rsid w:val="00211FD1"/>
    <w:rsid w:val="00231E23"/>
    <w:rsid w:val="0023349E"/>
    <w:rsid w:val="00246397"/>
    <w:rsid w:val="00255A1F"/>
    <w:rsid w:val="002612C8"/>
    <w:rsid w:val="002C3D6A"/>
    <w:rsid w:val="002C50CB"/>
    <w:rsid w:val="002E49C2"/>
    <w:rsid w:val="00314A7F"/>
    <w:rsid w:val="00333527"/>
    <w:rsid w:val="003649C3"/>
    <w:rsid w:val="00373F51"/>
    <w:rsid w:val="0037792D"/>
    <w:rsid w:val="0038271A"/>
    <w:rsid w:val="003B73D2"/>
    <w:rsid w:val="003C52B9"/>
    <w:rsid w:val="00406084"/>
    <w:rsid w:val="00457BE0"/>
    <w:rsid w:val="004A72E2"/>
    <w:rsid w:val="004D5C20"/>
    <w:rsid w:val="00512B43"/>
    <w:rsid w:val="00550193"/>
    <w:rsid w:val="00577592"/>
    <w:rsid w:val="005D0506"/>
    <w:rsid w:val="005F63F6"/>
    <w:rsid w:val="006059CE"/>
    <w:rsid w:val="006258C3"/>
    <w:rsid w:val="00665F28"/>
    <w:rsid w:val="00674BEB"/>
    <w:rsid w:val="00684890"/>
    <w:rsid w:val="006A63F8"/>
    <w:rsid w:val="006B3DFC"/>
    <w:rsid w:val="006B5BA6"/>
    <w:rsid w:val="006C3614"/>
    <w:rsid w:val="006D27AE"/>
    <w:rsid w:val="006E18AB"/>
    <w:rsid w:val="00722C13"/>
    <w:rsid w:val="00733599"/>
    <w:rsid w:val="007539C6"/>
    <w:rsid w:val="00763349"/>
    <w:rsid w:val="007B1970"/>
    <w:rsid w:val="007C0CD8"/>
    <w:rsid w:val="007E5E9D"/>
    <w:rsid w:val="00825E45"/>
    <w:rsid w:val="00870AB9"/>
    <w:rsid w:val="00877964"/>
    <w:rsid w:val="008B46DC"/>
    <w:rsid w:val="008B7156"/>
    <w:rsid w:val="008E66BA"/>
    <w:rsid w:val="008E6CED"/>
    <w:rsid w:val="00902869"/>
    <w:rsid w:val="009815CC"/>
    <w:rsid w:val="00983A46"/>
    <w:rsid w:val="00992770"/>
    <w:rsid w:val="00996FB5"/>
    <w:rsid w:val="00A00CAD"/>
    <w:rsid w:val="00A23AFD"/>
    <w:rsid w:val="00A45056"/>
    <w:rsid w:val="00A666BE"/>
    <w:rsid w:val="00AA6C9E"/>
    <w:rsid w:val="00AB1DC9"/>
    <w:rsid w:val="00AF0F4D"/>
    <w:rsid w:val="00AF4818"/>
    <w:rsid w:val="00B12EE0"/>
    <w:rsid w:val="00B22C2F"/>
    <w:rsid w:val="00B31B2F"/>
    <w:rsid w:val="00B35CF2"/>
    <w:rsid w:val="00BA2DA9"/>
    <w:rsid w:val="00C0233F"/>
    <w:rsid w:val="00C06206"/>
    <w:rsid w:val="00C20185"/>
    <w:rsid w:val="00C35E67"/>
    <w:rsid w:val="00C67527"/>
    <w:rsid w:val="00C95730"/>
    <w:rsid w:val="00CA70C6"/>
    <w:rsid w:val="00CD54D9"/>
    <w:rsid w:val="00CE42A1"/>
    <w:rsid w:val="00CF2E38"/>
    <w:rsid w:val="00D12E09"/>
    <w:rsid w:val="00D3108B"/>
    <w:rsid w:val="00D31FFC"/>
    <w:rsid w:val="00D34620"/>
    <w:rsid w:val="00D47801"/>
    <w:rsid w:val="00D4785C"/>
    <w:rsid w:val="00D5491B"/>
    <w:rsid w:val="00D6667A"/>
    <w:rsid w:val="00D9572D"/>
    <w:rsid w:val="00E00752"/>
    <w:rsid w:val="00E15AA9"/>
    <w:rsid w:val="00E47406"/>
    <w:rsid w:val="00E67CF3"/>
    <w:rsid w:val="00E832CF"/>
    <w:rsid w:val="00E9256F"/>
    <w:rsid w:val="00F26812"/>
    <w:rsid w:val="00F33B59"/>
    <w:rsid w:val="00F45700"/>
    <w:rsid w:val="00F90C72"/>
    <w:rsid w:val="00FC408D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5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47801"/>
    <w:rPr>
      <w:rFonts w:ascii="Tahoma" w:hAnsi="Tahoma" w:cs="Tahoma"/>
      <w:sz w:val="16"/>
      <w:szCs w:val="16"/>
    </w:rPr>
  </w:style>
  <w:style w:type="character" w:customStyle="1" w:styleId="a4">
    <w:name w:val="פיסקת רשימה תו"/>
    <w:basedOn w:val="a0"/>
    <w:link w:val="a3"/>
    <w:uiPriority w:val="34"/>
    <w:rsid w:val="00255A1F"/>
  </w:style>
  <w:style w:type="paragraph" w:styleId="a7">
    <w:name w:val="header"/>
    <w:basedOn w:val="a"/>
    <w:link w:val="a8"/>
    <w:uiPriority w:val="99"/>
    <w:unhideWhenUsed/>
    <w:rsid w:val="00255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55A1F"/>
  </w:style>
  <w:style w:type="paragraph" w:styleId="a9">
    <w:name w:val="footer"/>
    <w:basedOn w:val="a"/>
    <w:link w:val="aa"/>
    <w:uiPriority w:val="99"/>
    <w:unhideWhenUsed/>
    <w:rsid w:val="00255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55A1F"/>
  </w:style>
  <w:style w:type="paragraph" w:customStyle="1" w:styleId="1">
    <w:name w:val="ציטוט1"/>
    <w:basedOn w:val="a3"/>
    <w:link w:val="10"/>
    <w:qFormat/>
    <w:rsid w:val="00255A1F"/>
    <w:pPr>
      <w:spacing w:line="360" w:lineRule="auto"/>
      <w:ind w:left="1440"/>
      <w:jc w:val="both"/>
    </w:pPr>
    <w:rPr>
      <w:rFonts w:cs="David"/>
      <w:sz w:val="24"/>
      <w:szCs w:val="24"/>
    </w:rPr>
  </w:style>
  <w:style w:type="character" w:customStyle="1" w:styleId="10">
    <w:name w:val="ציטוט1 תו"/>
    <w:basedOn w:val="a4"/>
    <w:link w:val="1"/>
    <w:rsid w:val="00255A1F"/>
    <w:rPr>
      <w:rFonts w:cs="Davi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5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47801"/>
    <w:rPr>
      <w:rFonts w:ascii="Tahoma" w:hAnsi="Tahoma" w:cs="Tahoma"/>
      <w:sz w:val="16"/>
      <w:szCs w:val="16"/>
    </w:rPr>
  </w:style>
  <w:style w:type="character" w:customStyle="1" w:styleId="a4">
    <w:name w:val="פיסקת רשימה תו"/>
    <w:basedOn w:val="a0"/>
    <w:link w:val="a3"/>
    <w:uiPriority w:val="34"/>
    <w:rsid w:val="00255A1F"/>
  </w:style>
  <w:style w:type="paragraph" w:styleId="a7">
    <w:name w:val="header"/>
    <w:basedOn w:val="a"/>
    <w:link w:val="a8"/>
    <w:uiPriority w:val="99"/>
    <w:unhideWhenUsed/>
    <w:rsid w:val="00255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55A1F"/>
  </w:style>
  <w:style w:type="paragraph" w:styleId="a9">
    <w:name w:val="footer"/>
    <w:basedOn w:val="a"/>
    <w:link w:val="aa"/>
    <w:uiPriority w:val="99"/>
    <w:unhideWhenUsed/>
    <w:rsid w:val="00255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55A1F"/>
  </w:style>
  <w:style w:type="paragraph" w:customStyle="1" w:styleId="1">
    <w:name w:val="ציטוט1"/>
    <w:basedOn w:val="a3"/>
    <w:link w:val="10"/>
    <w:qFormat/>
    <w:rsid w:val="00255A1F"/>
    <w:pPr>
      <w:spacing w:line="360" w:lineRule="auto"/>
      <w:ind w:left="1440"/>
      <w:jc w:val="both"/>
    </w:pPr>
    <w:rPr>
      <w:rFonts w:cs="David"/>
      <w:sz w:val="24"/>
      <w:szCs w:val="24"/>
    </w:rPr>
  </w:style>
  <w:style w:type="character" w:customStyle="1" w:styleId="10">
    <w:name w:val="ציטוט1 תו"/>
    <w:basedOn w:val="a4"/>
    <w:link w:val="1"/>
    <w:rsid w:val="00255A1F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235E-8669-4AAD-A983-AC3783E3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 Elharar</dc:creator>
  <cp:lastModifiedBy>Iris Niv Sabag</cp:lastModifiedBy>
  <cp:revision>2</cp:revision>
  <cp:lastPrinted>2016-11-08T12:28:00Z</cp:lastPrinted>
  <dcterms:created xsi:type="dcterms:W3CDTF">2016-11-08T12:36:00Z</dcterms:created>
  <dcterms:modified xsi:type="dcterms:W3CDTF">2016-11-08T12:36:00Z</dcterms:modified>
</cp:coreProperties>
</file>