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EE" w:rsidRPr="005406EE" w:rsidRDefault="005406EE" w:rsidP="005406EE">
      <w:pPr>
        <w:jc w:val="center"/>
        <w:rPr>
          <w:b/>
          <w:bCs/>
          <w:u w:val="single"/>
        </w:rPr>
      </w:pPr>
      <w:r w:rsidRPr="005406EE">
        <w:rPr>
          <w:rFonts w:hint="cs"/>
          <w:b/>
          <w:bCs/>
          <w:u w:val="single"/>
          <w:rtl/>
        </w:rPr>
        <w:t>נקודות הסכמה ומחלוקת לגבי נבת"ם</w:t>
      </w:r>
    </w:p>
    <w:tbl>
      <w:tblPr>
        <w:tblStyle w:val="TableGrid"/>
        <w:tblpPr w:leftFromText="180" w:rightFromText="180" w:vertAnchor="text" w:tblpY="1"/>
        <w:tblOverlap w:val="never"/>
        <w:bidiVisual/>
        <w:tblW w:w="8844" w:type="dxa"/>
        <w:tblLook w:val="04A0" w:firstRow="1" w:lastRow="0" w:firstColumn="1" w:lastColumn="0" w:noHBand="0" w:noVBand="1"/>
      </w:tblPr>
      <w:tblGrid>
        <w:gridCol w:w="1647"/>
        <w:gridCol w:w="2772"/>
        <w:gridCol w:w="1731"/>
        <w:gridCol w:w="2694"/>
      </w:tblGrid>
      <w:tr w:rsidR="009136EF" w:rsidTr="00005929">
        <w:trPr>
          <w:trHeight w:val="1012"/>
        </w:trPr>
        <w:tc>
          <w:tcPr>
            <w:tcW w:w="1647" w:type="dxa"/>
          </w:tcPr>
          <w:p w:rsidR="009136EF" w:rsidRDefault="009136EF" w:rsidP="007003E9">
            <w:pPr>
              <w:rPr>
                <w:rFonts w:hint="cs"/>
                <w:rtl/>
              </w:rPr>
            </w:pPr>
          </w:p>
          <w:p w:rsidR="009136EF" w:rsidRDefault="009136EF" w:rsidP="007003E9">
            <w:pPr>
              <w:rPr>
                <w:rtl/>
              </w:rPr>
            </w:pPr>
          </w:p>
        </w:tc>
        <w:tc>
          <w:tcPr>
            <w:tcW w:w="2772" w:type="dxa"/>
          </w:tcPr>
          <w:p w:rsidR="009136EF" w:rsidRDefault="009136EF" w:rsidP="007003E9">
            <w:pPr>
              <w:rPr>
                <w:rFonts w:hint="cs"/>
                <w:rtl/>
              </w:rPr>
            </w:pPr>
            <w:r>
              <w:rPr>
                <w:rFonts w:hint="cs"/>
                <w:rtl/>
              </w:rPr>
              <w:t xml:space="preserve">נקודות הסכמה </w:t>
            </w:r>
            <w:r>
              <w:rPr>
                <w:rtl/>
              </w:rPr>
              <w:t>–</w:t>
            </w:r>
            <w:r>
              <w:rPr>
                <w:rFonts w:hint="cs"/>
                <w:rtl/>
              </w:rPr>
              <w:t xml:space="preserve"> </w:t>
            </w:r>
          </w:p>
          <w:p w:rsidR="009136EF" w:rsidRDefault="009136EF" w:rsidP="007003E9">
            <w:pPr>
              <w:rPr>
                <w:rtl/>
              </w:rPr>
            </w:pPr>
            <w:r>
              <w:rPr>
                <w:rFonts w:hint="cs"/>
                <w:rtl/>
              </w:rPr>
              <w:t>נותר לנסח</w:t>
            </w:r>
          </w:p>
        </w:tc>
        <w:tc>
          <w:tcPr>
            <w:tcW w:w="1731" w:type="dxa"/>
          </w:tcPr>
          <w:p w:rsidR="009136EF" w:rsidRDefault="009136EF" w:rsidP="00005929">
            <w:pPr>
              <w:rPr>
                <w:rtl/>
              </w:rPr>
            </w:pPr>
            <w:r>
              <w:rPr>
                <w:rFonts w:hint="cs"/>
                <w:rtl/>
              </w:rPr>
              <w:t>טרם הו</w:t>
            </w:r>
            <w:r w:rsidR="00005929">
              <w:rPr>
                <w:rFonts w:hint="cs"/>
                <w:rtl/>
              </w:rPr>
              <w:t>סדר</w:t>
            </w:r>
          </w:p>
        </w:tc>
        <w:tc>
          <w:tcPr>
            <w:tcW w:w="2694" w:type="dxa"/>
          </w:tcPr>
          <w:p w:rsidR="009136EF" w:rsidRDefault="009136EF" w:rsidP="007003E9">
            <w:pPr>
              <w:rPr>
                <w:rtl/>
              </w:rPr>
            </w:pPr>
            <w:r>
              <w:rPr>
                <w:rFonts w:hint="cs"/>
                <w:rtl/>
              </w:rPr>
              <w:t>נקודות מחלוקת</w:t>
            </w:r>
          </w:p>
        </w:tc>
      </w:tr>
      <w:tr w:rsidR="009136EF" w:rsidTr="00005929">
        <w:trPr>
          <w:trHeight w:val="1012"/>
        </w:trPr>
        <w:tc>
          <w:tcPr>
            <w:tcW w:w="1647" w:type="dxa"/>
          </w:tcPr>
          <w:p w:rsidR="009136EF" w:rsidRDefault="009136EF" w:rsidP="007003E9">
            <w:pPr>
              <w:rPr>
                <w:rFonts w:hint="cs"/>
                <w:rtl/>
              </w:rPr>
            </w:pPr>
          </w:p>
          <w:p w:rsidR="009136EF" w:rsidRDefault="009136EF" w:rsidP="007003E9">
            <w:pPr>
              <w:rPr>
                <w:rFonts w:hint="cs"/>
                <w:rtl/>
              </w:rPr>
            </w:pPr>
            <w:r>
              <w:rPr>
                <w:rFonts w:hint="cs"/>
                <w:rtl/>
              </w:rPr>
              <w:t>הסדר עם ועדת האתיקה בלשכה</w:t>
            </w:r>
          </w:p>
          <w:p w:rsidR="009136EF" w:rsidRDefault="009136EF" w:rsidP="007003E9">
            <w:pPr>
              <w:rPr>
                <w:rtl/>
              </w:rPr>
            </w:pPr>
          </w:p>
        </w:tc>
        <w:tc>
          <w:tcPr>
            <w:tcW w:w="2772" w:type="dxa"/>
          </w:tcPr>
          <w:p w:rsidR="007003E9" w:rsidRDefault="007003E9" w:rsidP="007003E9">
            <w:pPr>
              <w:rPr>
                <w:rFonts w:hint="cs"/>
                <w:rtl/>
              </w:rPr>
            </w:pPr>
          </w:p>
          <w:p w:rsidR="009136EF" w:rsidRDefault="007003E9" w:rsidP="007003E9">
            <w:pPr>
              <w:rPr>
                <w:rtl/>
              </w:rPr>
            </w:pPr>
            <w:r>
              <w:rPr>
                <w:rFonts w:hint="cs"/>
                <w:rtl/>
              </w:rPr>
              <w:t xml:space="preserve">ההסדר יבוטל </w:t>
            </w:r>
            <w:r>
              <w:rPr>
                <w:rtl/>
              </w:rPr>
              <w:t>–</w:t>
            </w:r>
            <w:r>
              <w:rPr>
                <w:rFonts w:hint="cs"/>
                <w:rtl/>
              </w:rPr>
              <w:t xml:space="preserve"> ישלח מכתב לועדת האתיקה המודיע על כך</w:t>
            </w:r>
          </w:p>
        </w:tc>
        <w:tc>
          <w:tcPr>
            <w:tcW w:w="1731" w:type="dxa"/>
          </w:tcPr>
          <w:p w:rsidR="009136EF" w:rsidRDefault="009136EF" w:rsidP="007003E9">
            <w:pPr>
              <w:rPr>
                <w:rtl/>
              </w:rPr>
            </w:pPr>
          </w:p>
        </w:tc>
        <w:tc>
          <w:tcPr>
            <w:tcW w:w="2694" w:type="dxa"/>
          </w:tcPr>
          <w:p w:rsidR="009136EF" w:rsidRDefault="009136EF" w:rsidP="007003E9">
            <w:pPr>
              <w:rPr>
                <w:rtl/>
              </w:rPr>
            </w:pPr>
          </w:p>
        </w:tc>
      </w:tr>
      <w:tr w:rsidR="009136EF" w:rsidTr="00005929">
        <w:trPr>
          <w:trHeight w:val="1012"/>
        </w:trPr>
        <w:tc>
          <w:tcPr>
            <w:tcW w:w="1647" w:type="dxa"/>
          </w:tcPr>
          <w:p w:rsidR="007003E9" w:rsidRDefault="007003E9" w:rsidP="007003E9">
            <w:pPr>
              <w:rPr>
                <w:rFonts w:hint="cs"/>
                <w:rtl/>
              </w:rPr>
            </w:pPr>
          </w:p>
          <w:p w:rsidR="009136EF" w:rsidRDefault="00005929" w:rsidP="00005929">
            <w:pPr>
              <w:rPr>
                <w:rtl/>
              </w:rPr>
            </w:pPr>
            <w:r>
              <w:rPr>
                <w:rFonts w:hint="cs"/>
                <w:rtl/>
              </w:rPr>
              <w:t>אופי הביקורת</w:t>
            </w:r>
          </w:p>
        </w:tc>
        <w:tc>
          <w:tcPr>
            <w:tcW w:w="2772" w:type="dxa"/>
          </w:tcPr>
          <w:p w:rsidR="009136EF" w:rsidRDefault="00005929" w:rsidP="00005929">
            <w:pPr>
              <w:rPr>
                <w:rFonts w:hint="cs"/>
                <w:rtl/>
              </w:rPr>
            </w:pPr>
            <w:r>
              <w:rPr>
                <w:rFonts w:hint="cs"/>
                <w:rtl/>
              </w:rPr>
              <w:t>הנבת"מ הוא גוף פנימי וככזה הוא לא מעביר מידע/המלצות לגורמים מחוץ למשרד המשפטים. בכלל זה משרדי ממשלה אחרים ולשכת עורכי הדין.</w:t>
            </w:r>
            <w:r w:rsidR="006B4F08">
              <w:rPr>
                <w:rFonts w:hint="cs"/>
                <w:rtl/>
              </w:rPr>
              <w:t xml:space="preserve"> המלצות, במקרים חריגים שישנם, יועברו ליועץ.</w:t>
            </w:r>
          </w:p>
          <w:p w:rsidR="00E74E8B" w:rsidRDefault="00E74E8B" w:rsidP="00005929">
            <w:pPr>
              <w:rPr>
                <w:rFonts w:hint="cs"/>
                <w:rtl/>
              </w:rPr>
            </w:pPr>
          </w:p>
          <w:p w:rsidR="00E74E8B" w:rsidRDefault="00E74E8B" w:rsidP="00005929">
            <w:pPr>
              <w:rPr>
                <w:rFonts w:hint="cs"/>
                <w:rtl/>
              </w:rPr>
            </w:pPr>
            <w:r>
              <w:rPr>
                <w:rFonts w:hint="cs"/>
                <w:rtl/>
              </w:rPr>
              <w:t>הנבת"מ אינו גוף חוקר ואין לו אמצעי חקירה.</w:t>
            </w:r>
          </w:p>
          <w:p w:rsidR="003A7E7D" w:rsidRDefault="003A7E7D" w:rsidP="00005929">
            <w:pPr>
              <w:rPr>
                <w:rFonts w:hint="cs"/>
                <w:rtl/>
              </w:rPr>
            </w:pPr>
          </w:p>
          <w:p w:rsidR="003A7E7D" w:rsidRDefault="003A7E7D" w:rsidP="00CF4740">
            <w:pPr>
              <w:rPr>
                <w:rFonts w:hint="cs"/>
                <w:rtl/>
              </w:rPr>
            </w:pPr>
            <w:r>
              <w:rPr>
                <w:rFonts w:hint="cs"/>
                <w:rtl/>
              </w:rPr>
              <w:t>ניסוח פסקה כללית לפיה הפרקליט עובד בתנאים שוחקים וקשים בהגנה על הציבור ובנסיבות כאלה ברור כי טעויות בתום לב או ברשלנות אינם עולים כדי תלונה מוצדקת.</w:t>
            </w:r>
            <w:r w:rsidR="00CF4740">
              <w:rPr>
                <w:rFonts w:hint="cs"/>
                <w:rtl/>
              </w:rPr>
              <w:t xml:space="preserve"> נדרשת התנהגות חריגה העולה כדי זדון או רשלנות רבתי.</w:t>
            </w:r>
          </w:p>
          <w:p w:rsidR="00E74E8B" w:rsidRDefault="00E74E8B" w:rsidP="00005929">
            <w:pPr>
              <w:rPr>
                <w:rFonts w:hint="cs"/>
                <w:rtl/>
              </w:rPr>
            </w:pPr>
          </w:p>
          <w:p w:rsidR="00E74E8B" w:rsidRDefault="00E74E8B" w:rsidP="00005929">
            <w:pPr>
              <w:rPr>
                <w:rtl/>
              </w:rPr>
            </w:pPr>
          </w:p>
        </w:tc>
        <w:tc>
          <w:tcPr>
            <w:tcW w:w="1731" w:type="dxa"/>
          </w:tcPr>
          <w:p w:rsidR="009136EF" w:rsidRDefault="00005929" w:rsidP="006B4F08">
            <w:pPr>
              <w:jc w:val="center"/>
              <w:rPr>
                <w:rtl/>
              </w:rPr>
            </w:pPr>
            <w:r>
              <w:rPr>
                <w:rFonts w:hint="cs"/>
                <w:rtl/>
              </w:rPr>
              <w:t xml:space="preserve">אופן </w:t>
            </w:r>
            <w:r w:rsidR="006B4F08">
              <w:rPr>
                <w:rFonts w:hint="cs"/>
                <w:rtl/>
              </w:rPr>
              <w:t>ה</w:t>
            </w:r>
            <w:r>
              <w:rPr>
                <w:rFonts w:hint="cs"/>
                <w:rtl/>
              </w:rPr>
              <w:t>תשובה לפונה</w:t>
            </w:r>
            <w:r w:rsidR="006B4F08">
              <w:rPr>
                <w:rFonts w:hint="cs"/>
                <w:rtl/>
              </w:rPr>
              <w:t xml:space="preserve"> </w:t>
            </w:r>
            <w:r w:rsidR="006B4F08">
              <w:rPr>
                <w:rtl/>
              </w:rPr>
              <w:t>–</w:t>
            </w:r>
            <w:r w:rsidR="006B4F08">
              <w:rPr>
                <w:rFonts w:hint="cs"/>
                <w:rtl/>
              </w:rPr>
              <w:t xml:space="preserve"> לגישת הועד הפונה כגורם חיצוני אינו מקבל מידע הנוגע לפרקליט ולהמלצות בקשר אליו. </w:t>
            </w:r>
          </w:p>
        </w:tc>
        <w:tc>
          <w:tcPr>
            <w:tcW w:w="2694" w:type="dxa"/>
          </w:tcPr>
          <w:p w:rsidR="009136EF" w:rsidRDefault="009136EF" w:rsidP="007003E9">
            <w:pPr>
              <w:rPr>
                <w:rtl/>
              </w:rPr>
            </w:pPr>
          </w:p>
        </w:tc>
      </w:tr>
      <w:tr w:rsidR="009136EF" w:rsidTr="00005929">
        <w:trPr>
          <w:trHeight w:val="1012"/>
        </w:trPr>
        <w:tc>
          <w:tcPr>
            <w:tcW w:w="1647" w:type="dxa"/>
          </w:tcPr>
          <w:p w:rsidR="009136EF" w:rsidRDefault="009136EF" w:rsidP="007003E9">
            <w:pPr>
              <w:rPr>
                <w:rFonts w:hint="cs"/>
                <w:rtl/>
              </w:rPr>
            </w:pPr>
          </w:p>
          <w:p w:rsidR="009136EF" w:rsidRDefault="00005929" w:rsidP="007003E9">
            <w:pPr>
              <w:rPr>
                <w:rFonts w:hint="cs"/>
                <w:rtl/>
              </w:rPr>
            </w:pPr>
            <w:r>
              <w:rPr>
                <w:rFonts w:hint="cs"/>
                <w:rtl/>
              </w:rPr>
              <w:t>מי רשאי לפנות</w:t>
            </w:r>
          </w:p>
          <w:p w:rsidR="00CF4740" w:rsidRDefault="00CF4740" w:rsidP="007003E9">
            <w:pPr>
              <w:rPr>
                <w:rFonts w:hint="cs"/>
                <w:rtl/>
              </w:rPr>
            </w:pPr>
          </w:p>
          <w:p w:rsidR="00CF4740" w:rsidRDefault="00CF4740" w:rsidP="007003E9">
            <w:pPr>
              <w:rPr>
                <w:rFonts w:hint="cs"/>
                <w:rtl/>
              </w:rPr>
            </w:pPr>
          </w:p>
          <w:p w:rsidR="00CF4740" w:rsidRDefault="00CF4740" w:rsidP="007003E9">
            <w:pPr>
              <w:rPr>
                <w:rFonts w:hint="cs"/>
                <w:rtl/>
              </w:rPr>
            </w:pPr>
            <w:r>
              <w:rPr>
                <w:rFonts w:hint="cs"/>
                <w:rtl/>
              </w:rPr>
              <w:t>מתי?</w:t>
            </w:r>
          </w:p>
          <w:p w:rsidR="00CF4740" w:rsidRDefault="00CF4740" w:rsidP="007003E9">
            <w:pPr>
              <w:rPr>
                <w:rFonts w:hint="cs"/>
                <w:rtl/>
              </w:rPr>
            </w:pPr>
          </w:p>
          <w:p w:rsidR="009136EF" w:rsidRDefault="009136EF" w:rsidP="007003E9">
            <w:pPr>
              <w:rPr>
                <w:rtl/>
              </w:rPr>
            </w:pPr>
          </w:p>
        </w:tc>
        <w:tc>
          <w:tcPr>
            <w:tcW w:w="2772" w:type="dxa"/>
          </w:tcPr>
          <w:p w:rsidR="009136EF" w:rsidRDefault="006B4F08" w:rsidP="007003E9">
            <w:pPr>
              <w:rPr>
                <w:rFonts w:hint="cs"/>
                <w:rtl/>
              </w:rPr>
            </w:pPr>
            <w:r>
              <w:rPr>
                <w:rFonts w:hint="cs"/>
                <w:rtl/>
              </w:rPr>
              <w:t>פניות לנבת"מ רק על ידי מי שנפגע במישרין בהליך שהוא היה צד לו.</w:t>
            </w:r>
          </w:p>
          <w:p w:rsidR="00CF4740" w:rsidRDefault="00CF4740" w:rsidP="007003E9">
            <w:pPr>
              <w:rPr>
                <w:rFonts w:hint="cs"/>
                <w:rtl/>
              </w:rPr>
            </w:pPr>
          </w:p>
          <w:p w:rsidR="00CF4740" w:rsidRDefault="00CF4740" w:rsidP="00CF4740">
            <w:pPr>
              <w:rPr>
                <w:rtl/>
              </w:rPr>
            </w:pPr>
          </w:p>
        </w:tc>
        <w:tc>
          <w:tcPr>
            <w:tcW w:w="1731" w:type="dxa"/>
          </w:tcPr>
          <w:p w:rsidR="00A0685A" w:rsidRDefault="00A0685A" w:rsidP="00A0685A">
            <w:pPr>
              <w:rPr>
                <w:rFonts w:hint="cs"/>
                <w:rtl/>
              </w:rPr>
            </w:pPr>
          </w:p>
          <w:p w:rsidR="00A0685A" w:rsidRDefault="00A0685A" w:rsidP="00A0685A">
            <w:pPr>
              <w:rPr>
                <w:rFonts w:hint="cs"/>
                <w:rtl/>
              </w:rPr>
            </w:pPr>
          </w:p>
          <w:p w:rsidR="00A0685A" w:rsidRDefault="00A0685A" w:rsidP="00A0685A">
            <w:pPr>
              <w:rPr>
                <w:rFonts w:hint="cs"/>
                <w:rtl/>
              </w:rPr>
            </w:pPr>
          </w:p>
          <w:p w:rsidR="00A0685A" w:rsidRDefault="00A0685A" w:rsidP="00A0685A">
            <w:pPr>
              <w:rPr>
                <w:rFonts w:hint="cs"/>
                <w:rtl/>
              </w:rPr>
            </w:pPr>
            <w:r>
              <w:rPr>
                <w:rFonts w:hint="cs"/>
                <w:rtl/>
              </w:rPr>
              <w:t>התלונה מתיישנת אם חלפה שנה מיום המקרה. אם טרם הסתיים ההליך התלונה לא תתברר ותושהה אך תיחשב כתלונה שהוגשה במועד</w:t>
            </w:r>
            <w:r>
              <w:rPr>
                <w:rFonts w:hint="cs"/>
                <w:rtl/>
              </w:rPr>
              <w:t>.</w:t>
            </w:r>
          </w:p>
          <w:p w:rsidR="00A0685A" w:rsidRDefault="00A0685A" w:rsidP="00A0685A">
            <w:pPr>
              <w:rPr>
                <w:rFonts w:hint="cs"/>
                <w:rtl/>
              </w:rPr>
            </w:pPr>
          </w:p>
          <w:p w:rsidR="00A0685A" w:rsidRDefault="00A0685A" w:rsidP="00A0685A">
            <w:pPr>
              <w:rPr>
                <w:rtl/>
              </w:rPr>
            </w:pPr>
            <w:r>
              <w:rPr>
                <w:rFonts w:hint="cs"/>
                <w:rtl/>
              </w:rPr>
              <w:t>לא תתברר תלונה אם הפרקליט אינו עובד בפרקליטות</w:t>
            </w:r>
          </w:p>
        </w:tc>
        <w:tc>
          <w:tcPr>
            <w:tcW w:w="2694" w:type="dxa"/>
          </w:tcPr>
          <w:p w:rsidR="009136EF" w:rsidRDefault="009136EF" w:rsidP="007003E9">
            <w:pPr>
              <w:rPr>
                <w:rtl/>
              </w:rPr>
            </w:pPr>
          </w:p>
        </w:tc>
      </w:tr>
      <w:tr w:rsidR="009136EF" w:rsidTr="00005929">
        <w:trPr>
          <w:trHeight w:val="1012"/>
        </w:trPr>
        <w:tc>
          <w:tcPr>
            <w:tcW w:w="1647" w:type="dxa"/>
          </w:tcPr>
          <w:p w:rsidR="009136EF" w:rsidRDefault="009136EF" w:rsidP="007003E9">
            <w:pPr>
              <w:rPr>
                <w:rFonts w:hint="cs"/>
                <w:rtl/>
              </w:rPr>
            </w:pPr>
          </w:p>
          <w:p w:rsidR="009136EF" w:rsidRDefault="006B4F08" w:rsidP="007003E9">
            <w:pPr>
              <w:rPr>
                <w:rFonts w:hint="cs"/>
                <w:rtl/>
              </w:rPr>
            </w:pPr>
            <w:r>
              <w:rPr>
                <w:rFonts w:hint="cs"/>
                <w:rtl/>
              </w:rPr>
              <w:t>נושאי הביקורת</w:t>
            </w:r>
          </w:p>
          <w:p w:rsidR="009136EF" w:rsidRDefault="009136EF" w:rsidP="007003E9">
            <w:pPr>
              <w:rPr>
                <w:rtl/>
              </w:rPr>
            </w:pPr>
          </w:p>
        </w:tc>
        <w:tc>
          <w:tcPr>
            <w:tcW w:w="2772" w:type="dxa"/>
          </w:tcPr>
          <w:p w:rsidR="009136EF" w:rsidRDefault="006B4F08" w:rsidP="007003E9">
            <w:pPr>
              <w:rPr>
                <w:rFonts w:hint="cs"/>
                <w:rtl/>
              </w:rPr>
            </w:pPr>
            <w:r>
              <w:rPr>
                <w:rFonts w:hint="cs"/>
                <w:rtl/>
              </w:rPr>
              <w:t>לא תתקיים ביקורת בעניין שנמצא בסמכות</w:t>
            </w:r>
            <w:r w:rsidR="00E74E8B">
              <w:rPr>
                <w:rFonts w:hint="cs"/>
                <w:rtl/>
              </w:rPr>
              <w:t xml:space="preserve"> של משטרה.</w:t>
            </w:r>
          </w:p>
          <w:p w:rsidR="003A7E7D" w:rsidRDefault="003A7E7D" w:rsidP="007003E9">
            <w:pPr>
              <w:rPr>
                <w:rFonts w:hint="cs"/>
                <w:rtl/>
              </w:rPr>
            </w:pPr>
          </w:p>
          <w:p w:rsidR="007A6C3E" w:rsidRDefault="003A7E7D" w:rsidP="00A0685A">
            <w:pPr>
              <w:rPr>
                <w:rtl/>
              </w:rPr>
            </w:pPr>
            <w:r>
              <w:rPr>
                <w:rFonts w:hint="cs"/>
                <w:rtl/>
              </w:rPr>
              <w:t xml:space="preserve">לא תתקיים ביקורת בנושא שנתון או היה יכול להיות נתון לביקורת שיפוטית ובכלל זה </w:t>
            </w:r>
            <w:r w:rsidR="00A0685A">
              <w:rPr>
                <w:rFonts w:hint="cs"/>
                <w:rtl/>
              </w:rPr>
              <w:lastRenderedPageBreak/>
              <w:t>אם התקבלה לגביו הכרעה.</w:t>
            </w:r>
          </w:p>
        </w:tc>
        <w:tc>
          <w:tcPr>
            <w:tcW w:w="1731" w:type="dxa"/>
          </w:tcPr>
          <w:p w:rsidR="009136EF" w:rsidRDefault="00E74E8B" w:rsidP="007003E9">
            <w:pPr>
              <w:rPr>
                <w:rtl/>
              </w:rPr>
            </w:pPr>
            <w:r>
              <w:rPr>
                <w:rFonts w:hint="cs"/>
                <w:rtl/>
              </w:rPr>
              <w:lastRenderedPageBreak/>
              <w:t>לא תתקיים ביקורת בנושאים הנוגעים לאתיקה ונתונים לסמכות ועדות האתיקה בלשכה.</w:t>
            </w:r>
          </w:p>
        </w:tc>
        <w:tc>
          <w:tcPr>
            <w:tcW w:w="2694" w:type="dxa"/>
          </w:tcPr>
          <w:p w:rsidR="009136EF" w:rsidRDefault="009136EF" w:rsidP="007003E9">
            <w:pPr>
              <w:rPr>
                <w:rtl/>
              </w:rPr>
            </w:pPr>
          </w:p>
        </w:tc>
      </w:tr>
      <w:tr w:rsidR="009136EF" w:rsidTr="00005929">
        <w:trPr>
          <w:trHeight w:val="1012"/>
        </w:trPr>
        <w:tc>
          <w:tcPr>
            <w:tcW w:w="1647" w:type="dxa"/>
          </w:tcPr>
          <w:p w:rsidR="009136EF" w:rsidRDefault="009136EF" w:rsidP="007003E9">
            <w:pPr>
              <w:rPr>
                <w:rFonts w:hint="cs"/>
                <w:rtl/>
              </w:rPr>
            </w:pPr>
          </w:p>
          <w:p w:rsidR="009136EF" w:rsidRDefault="009136EF" w:rsidP="007003E9">
            <w:pPr>
              <w:rPr>
                <w:rFonts w:hint="cs"/>
                <w:rtl/>
              </w:rPr>
            </w:pPr>
            <w:r>
              <w:rPr>
                <w:rFonts w:hint="cs"/>
                <w:rtl/>
              </w:rPr>
              <w:t xml:space="preserve">הסדרת </w:t>
            </w:r>
            <w:r w:rsidR="00A0685A">
              <w:rPr>
                <w:rFonts w:hint="cs"/>
                <w:rtl/>
              </w:rPr>
              <w:t>מימון ל</w:t>
            </w:r>
            <w:r>
              <w:rPr>
                <w:rFonts w:hint="cs"/>
                <w:rtl/>
              </w:rPr>
              <w:t>ייצוג/ייעוץ</w:t>
            </w:r>
            <w:r w:rsidR="00A0685A">
              <w:rPr>
                <w:rFonts w:hint="cs"/>
                <w:rtl/>
              </w:rPr>
              <w:t xml:space="preserve"> </w:t>
            </w:r>
            <w:r w:rsidR="00A0685A">
              <w:rPr>
                <w:rtl/>
              </w:rPr>
              <w:t>–</w:t>
            </w:r>
            <w:r w:rsidR="00A0685A">
              <w:rPr>
                <w:rFonts w:hint="cs"/>
                <w:rtl/>
              </w:rPr>
              <w:t xml:space="preserve"> ביטוח מקצועי </w:t>
            </w:r>
          </w:p>
          <w:p w:rsidR="009136EF" w:rsidRDefault="009136EF" w:rsidP="007003E9">
            <w:pPr>
              <w:rPr>
                <w:rtl/>
              </w:rPr>
            </w:pPr>
          </w:p>
        </w:tc>
        <w:tc>
          <w:tcPr>
            <w:tcW w:w="2772" w:type="dxa"/>
          </w:tcPr>
          <w:p w:rsidR="009136EF" w:rsidRDefault="009136EF" w:rsidP="007003E9">
            <w:pPr>
              <w:rPr>
                <w:rtl/>
              </w:rPr>
            </w:pPr>
          </w:p>
        </w:tc>
        <w:tc>
          <w:tcPr>
            <w:tcW w:w="1731" w:type="dxa"/>
          </w:tcPr>
          <w:p w:rsidR="009136EF" w:rsidRDefault="00E74E8B" w:rsidP="00E74E8B">
            <w:pPr>
              <w:rPr>
                <w:rtl/>
              </w:rPr>
            </w:pPr>
            <w:r>
              <w:rPr>
                <w:rFonts w:hint="cs"/>
                <w:rtl/>
              </w:rPr>
              <w:t>אפשרות אחרת - נדרשת הן בשל הקמת הנבת"מ והן בשל החרפה במעשי רדיפה כנגד פרקליטים היא להקים קרן שתנקוט בהליכים ותסייע לפרקליטים נרדפים או מאויימים ואף תממן הגשת תביעות דיבה ולשון הרע בגין תלונו</w:t>
            </w:r>
            <w:r w:rsidR="00A0685A">
              <w:rPr>
                <w:rFonts w:hint="cs"/>
                <w:rtl/>
              </w:rPr>
              <w:t>ת חסרות בסיס ומימון ייעוץ וייצוג בתלונות לנבת"מ או לועדות האתיקה</w:t>
            </w:r>
          </w:p>
        </w:tc>
        <w:tc>
          <w:tcPr>
            <w:tcW w:w="2694" w:type="dxa"/>
          </w:tcPr>
          <w:p w:rsidR="009136EF" w:rsidRDefault="009136EF" w:rsidP="007003E9">
            <w:pPr>
              <w:rPr>
                <w:rtl/>
              </w:rPr>
            </w:pPr>
          </w:p>
        </w:tc>
      </w:tr>
      <w:tr w:rsidR="009136EF" w:rsidTr="00005929">
        <w:trPr>
          <w:trHeight w:val="1012"/>
        </w:trPr>
        <w:tc>
          <w:tcPr>
            <w:tcW w:w="1647" w:type="dxa"/>
          </w:tcPr>
          <w:p w:rsidR="009136EF" w:rsidRDefault="009136EF" w:rsidP="007003E9">
            <w:pPr>
              <w:rPr>
                <w:rFonts w:hint="cs"/>
                <w:rtl/>
              </w:rPr>
            </w:pPr>
          </w:p>
          <w:p w:rsidR="009136EF" w:rsidRDefault="009136EF" w:rsidP="007003E9">
            <w:pPr>
              <w:rPr>
                <w:rFonts w:hint="cs"/>
                <w:rtl/>
              </w:rPr>
            </w:pPr>
            <w:r>
              <w:rPr>
                <w:rFonts w:hint="cs"/>
                <w:rtl/>
              </w:rPr>
              <w:t>חיסיון הביקורת</w:t>
            </w:r>
          </w:p>
          <w:p w:rsidR="009136EF" w:rsidRDefault="009136EF" w:rsidP="007003E9">
            <w:pPr>
              <w:rPr>
                <w:rtl/>
              </w:rPr>
            </w:pPr>
          </w:p>
        </w:tc>
        <w:tc>
          <w:tcPr>
            <w:tcW w:w="2772" w:type="dxa"/>
          </w:tcPr>
          <w:p w:rsidR="009136EF" w:rsidRDefault="006B4F08" w:rsidP="007A6C3E">
            <w:pPr>
              <w:rPr>
                <w:rtl/>
              </w:rPr>
            </w:pPr>
            <w:r>
              <w:rPr>
                <w:rFonts w:hint="cs"/>
                <w:rtl/>
              </w:rPr>
              <w:t>סעיף הנו</w:t>
            </w:r>
            <w:r w:rsidR="007A6C3E">
              <w:rPr>
                <w:rFonts w:hint="cs"/>
                <w:rtl/>
              </w:rPr>
              <w:t>ג</w:t>
            </w:r>
            <w:r>
              <w:rPr>
                <w:rFonts w:hint="cs"/>
                <w:rtl/>
              </w:rPr>
              <w:t>ע לחסיון המידע שנאסף בהליך הביקורת וממצאי הביקורת עצמם</w:t>
            </w:r>
            <w:r w:rsidR="007A6C3E">
              <w:rPr>
                <w:rFonts w:hint="cs"/>
                <w:rtl/>
              </w:rPr>
              <w:t xml:space="preserve"> יוכנס למסמך העקרונות </w:t>
            </w:r>
            <w:r w:rsidR="007A6C3E">
              <w:rPr>
                <w:rtl/>
              </w:rPr>
              <w:t>–</w:t>
            </w:r>
            <w:r w:rsidR="007A6C3E">
              <w:rPr>
                <w:rFonts w:hint="cs"/>
                <w:rtl/>
              </w:rPr>
              <w:t xml:space="preserve"> הסעיף ינוסח בהסכמת הועד</w:t>
            </w:r>
            <w:r w:rsidR="00CF4740">
              <w:rPr>
                <w:rFonts w:hint="cs"/>
                <w:rtl/>
              </w:rPr>
              <w:t>.</w:t>
            </w:r>
          </w:p>
        </w:tc>
        <w:tc>
          <w:tcPr>
            <w:tcW w:w="1731" w:type="dxa"/>
          </w:tcPr>
          <w:p w:rsidR="009136EF" w:rsidRDefault="00CF4740" w:rsidP="007003E9">
            <w:pPr>
              <w:rPr>
                <w:rtl/>
              </w:rPr>
            </w:pPr>
            <w:r>
              <w:rPr>
                <w:rFonts w:hint="cs"/>
                <w:rtl/>
              </w:rPr>
              <w:t>יש להסדיר חסיון עו"ד לקוח.</w:t>
            </w:r>
          </w:p>
        </w:tc>
        <w:tc>
          <w:tcPr>
            <w:tcW w:w="2694" w:type="dxa"/>
          </w:tcPr>
          <w:p w:rsidR="009136EF" w:rsidRDefault="009136EF" w:rsidP="007003E9">
            <w:pPr>
              <w:rPr>
                <w:rtl/>
              </w:rPr>
            </w:pPr>
          </w:p>
        </w:tc>
      </w:tr>
      <w:tr w:rsidR="009136EF" w:rsidTr="00005929">
        <w:trPr>
          <w:trHeight w:val="1012"/>
        </w:trPr>
        <w:tc>
          <w:tcPr>
            <w:tcW w:w="1647" w:type="dxa"/>
          </w:tcPr>
          <w:p w:rsidR="006B4F08" w:rsidRDefault="006B4F08" w:rsidP="007003E9">
            <w:pPr>
              <w:rPr>
                <w:rFonts w:cs="Arial" w:hint="cs"/>
                <w:rtl/>
              </w:rPr>
            </w:pPr>
          </w:p>
          <w:p w:rsidR="009136EF" w:rsidRDefault="006B4F08" w:rsidP="007003E9">
            <w:pPr>
              <w:rPr>
                <w:rFonts w:hint="cs"/>
                <w:rtl/>
              </w:rPr>
            </w:pPr>
            <w:r w:rsidRPr="006B4F08">
              <w:rPr>
                <w:rFonts w:cs="Arial" w:hint="cs"/>
                <w:rtl/>
              </w:rPr>
              <w:t>כפל</w:t>
            </w:r>
            <w:r w:rsidRPr="006B4F08">
              <w:rPr>
                <w:rFonts w:cs="Arial"/>
                <w:rtl/>
              </w:rPr>
              <w:t xml:space="preserve"> </w:t>
            </w:r>
            <w:r w:rsidRPr="006B4F08">
              <w:rPr>
                <w:rFonts w:cs="Arial" w:hint="cs"/>
                <w:rtl/>
              </w:rPr>
              <w:t>ביקורת</w:t>
            </w:r>
          </w:p>
          <w:p w:rsidR="009136EF" w:rsidRDefault="009136EF" w:rsidP="006B4F08">
            <w:pPr>
              <w:rPr>
                <w:rtl/>
              </w:rPr>
            </w:pPr>
          </w:p>
        </w:tc>
        <w:tc>
          <w:tcPr>
            <w:tcW w:w="2772" w:type="dxa"/>
          </w:tcPr>
          <w:p w:rsidR="009136EF" w:rsidRDefault="007A6C3E" w:rsidP="007003E9">
            <w:pPr>
              <w:rPr>
                <w:rFonts w:hint="cs"/>
                <w:rtl/>
              </w:rPr>
            </w:pPr>
            <w:r>
              <w:rPr>
                <w:rFonts w:hint="cs"/>
                <w:rtl/>
              </w:rPr>
              <w:t>ככל שמתקיימת בדיקה או ביקורת על ידי גורם או גוף אחר הנבת"מ לא יקיים בדיקה.</w:t>
            </w:r>
          </w:p>
          <w:p w:rsidR="007A6C3E" w:rsidRDefault="007A6C3E" w:rsidP="007003E9">
            <w:pPr>
              <w:rPr>
                <w:rFonts w:hint="cs"/>
                <w:rtl/>
              </w:rPr>
            </w:pPr>
            <w:r>
              <w:rPr>
                <w:rFonts w:hint="cs"/>
                <w:rtl/>
              </w:rPr>
              <w:t>בכל פנייה יתחייב הפונה לוותר על פנייה או על בירור על ידי גורם אחר כתנאי לקיום בדיקה על ידי הנבת"מ</w:t>
            </w:r>
          </w:p>
        </w:tc>
        <w:tc>
          <w:tcPr>
            <w:tcW w:w="1731" w:type="dxa"/>
          </w:tcPr>
          <w:p w:rsidR="009136EF" w:rsidRDefault="009136EF" w:rsidP="007003E9">
            <w:pPr>
              <w:rPr>
                <w:rFonts w:hint="cs"/>
                <w:rtl/>
              </w:rPr>
            </w:pPr>
          </w:p>
        </w:tc>
        <w:tc>
          <w:tcPr>
            <w:tcW w:w="2694" w:type="dxa"/>
          </w:tcPr>
          <w:p w:rsidR="009136EF" w:rsidRDefault="009136EF" w:rsidP="007003E9">
            <w:pPr>
              <w:rPr>
                <w:rtl/>
              </w:rPr>
            </w:pPr>
          </w:p>
        </w:tc>
      </w:tr>
      <w:tr w:rsidR="007003E9" w:rsidTr="00005929">
        <w:tc>
          <w:tcPr>
            <w:tcW w:w="1647" w:type="dxa"/>
          </w:tcPr>
          <w:p w:rsidR="007003E9" w:rsidRDefault="007003E9" w:rsidP="007003E9">
            <w:pPr>
              <w:rPr>
                <w:rFonts w:hint="cs"/>
                <w:rtl/>
              </w:rPr>
            </w:pPr>
          </w:p>
          <w:p w:rsidR="00005929" w:rsidRDefault="00005929" w:rsidP="007003E9">
            <w:pPr>
              <w:rPr>
                <w:rFonts w:hint="cs"/>
                <w:rtl/>
              </w:rPr>
            </w:pPr>
            <w:r w:rsidRPr="00005929">
              <w:rPr>
                <w:rFonts w:cs="Arial" w:hint="cs"/>
                <w:rtl/>
              </w:rPr>
              <w:t>פיילוט</w:t>
            </w:r>
          </w:p>
          <w:p w:rsidR="00005929" w:rsidRDefault="00005929" w:rsidP="007003E9">
            <w:pPr>
              <w:rPr>
                <w:rtl/>
              </w:rPr>
            </w:pPr>
          </w:p>
        </w:tc>
        <w:tc>
          <w:tcPr>
            <w:tcW w:w="2772" w:type="dxa"/>
          </w:tcPr>
          <w:p w:rsidR="007003E9" w:rsidRDefault="007003E9" w:rsidP="00DF5256">
            <w:pPr>
              <w:rPr>
                <w:rtl/>
              </w:rPr>
            </w:pPr>
          </w:p>
        </w:tc>
        <w:tc>
          <w:tcPr>
            <w:tcW w:w="1731" w:type="dxa"/>
          </w:tcPr>
          <w:p w:rsidR="007003E9" w:rsidRDefault="007A6C3E" w:rsidP="00DF5256">
            <w:pPr>
              <w:rPr>
                <w:rtl/>
              </w:rPr>
            </w:pPr>
            <w:r>
              <w:rPr>
                <w:rFonts w:hint="cs"/>
                <w:rtl/>
              </w:rPr>
              <w:t xml:space="preserve">ככל שיתגבשו הסכמות </w:t>
            </w:r>
            <w:r>
              <w:rPr>
                <w:rtl/>
              </w:rPr>
              <w:t>–</w:t>
            </w:r>
            <w:r>
              <w:rPr>
                <w:rFonts w:hint="cs"/>
                <w:rtl/>
              </w:rPr>
              <w:t xml:space="preserve"> יתקיים שיתוף פעולה מצד הפרקליטים לתקופת פיילוט של חצי שנה.</w:t>
            </w:r>
            <w:r w:rsidR="00A0685A">
              <w:rPr>
                <w:rFonts w:hint="cs"/>
                <w:rtl/>
              </w:rPr>
              <w:t xml:space="preserve"> בתקופה זו פיקוח של הועד על קיום המוסכם</w:t>
            </w:r>
          </w:p>
        </w:tc>
        <w:tc>
          <w:tcPr>
            <w:tcW w:w="2694" w:type="dxa"/>
          </w:tcPr>
          <w:p w:rsidR="007003E9" w:rsidRDefault="007003E9" w:rsidP="00DF5256">
            <w:pPr>
              <w:rPr>
                <w:rtl/>
              </w:rPr>
            </w:pPr>
          </w:p>
        </w:tc>
      </w:tr>
      <w:tr w:rsidR="007003E9" w:rsidTr="00005929">
        <w:tc>
          <w:tcPr>
            <w:tcW w:w="1647" w:type="dxa"/>
          </w:tcPr>
          <w:p w:rsidR="007003E9" w:rsidRDefault="006B4F08" w:rsidP="007003E9">
            <w:pPr>
              <w:rPr>
                <w:rFonts w:hint="cs"/>
                <w:rtl/>
              </w:rPr>
            </w:pPr>
            <w:r w:rsidRPr="006B4F08">
              <w:rPr>
                <w:rFonts w:cs="Arial" w:hint="cs"/>
                <w:rtl/>
              </w:rPr>
              <w:t>ביקורת</w:t>
            </w:r>
            <w:r w:rsidRPr="006B4F08">
              <w:rPr>
                <w:rFonts w:cs="Arial"/>
                <w:rtl/>
              </w:rPr>
              <w:t xml:space="preserve"> </w:t>
            </w:r>
            <w:r w:rsidRPr="006B4F08">
              <w:rPr>
                <w:rFonts w:cs="Arial" w:hint="cs"/>
                <w:rtl/>
              </w:rPr>
              <w:t>מערכתית</w:t>
            </w:r>
          </w:p>
          <w:p w:rsidR="00005929" w:rsidRDefault="00005929" w:rsidP="007003E9">
            <w:pPr>
              <w:rPr>
                <w:rFonts w:hint="cs"/>
                <w:rtl/>
              </w:rPr>
            </w:pPr>
          </w:p>
          <w:p w:rsidR="00005929" w:rsidRDefault="00005929" w:rsidP="007003E9">
            <w:pPr>
              <w:rPr>
                <w:rtl/>
              </w:rPr>
            </w:pPr>
          </w:p>
        </w:tc>
        <w:tc>
          <w:tcPr>
            <w:tcW w:w="2772" w:type="dxa"/>
          </w:tcPr>
          <w:p w:rsidR="003A7E7D" w:rsidRDefault="003A7E7D" w:rsidP="00DF5256">
            <w:pPr>
              <w:rPr>
                <w:rFonts w:hint="cs"/>
                <w:rtl/>
              </w:rPr>
            </w:pPr>
            <w:r>
              <w:rPr>
                <w:rFonts w:hint="cs"/>
                <w:rtl/>
              </w:rPr>
              <w:t>בדוח לא יפורסמו שמות של פרקליטים או פרטים אחרים מהם ניתן לדעת את זהות הפרקליט המטפל</w:t>
            </w:r>
            <w:r w:rsidR="00CF4740">
              <w:rPr>
                <w:rFonts w:hint="cs"/>
                <w:rtl/>
              </w:rPr>
              <w:t>.</w:t>
            </w:r>
          </w:p>
          <w:p w:rsidR="00CF4740" w:rsidRDefault="00CF4740" w:rsidP="00DF5256">
            <w:pPr>
              <w:rPr>
                <w:rFonts w:hint="cs"/>
                <w:rtl/>
              </w:rPr>
            </w:pPr>
          </w:p>
          <w:p w:rsidR="00CF4740" w:rsidRDefault="00CF4740" w:rsidP="00A0685A">
            <w:pPr>
              <w:rPr>
                <w:rtl/>
              </w:rPr>
            </w:pPr>
          </w:p>
        </w:tc>
        <w:tc>
          <w:tcPr>
            <w:tcW w:w="1731" w:type="dxa"/>
          </w:tcPr>
          <w:p w:rsidR="00A0685A" w:rsidRDefault="00A0685A" w:rsidP="00A0685A">
            <w:pPr>
              <w:rPr>
                <w:rFonts w:hint="cs"/>
                <w:rtl/>
              </w:rPr>
            </w:pPr>
            <w:r>
              <w:rPr>
                <w:rFonts w:hint="cs"/>
                <w:rtl/>
              </w:rPr>
              <w:t>כגוף פנימי יכול לעיין במקורות מידע פנימיים לצורך קבלת מידע סטטיסטי. לא ניתן להסיק מסקנות אישיות פרטניות כתוצאה מעיון זה.</w:t>
            </w:r>
          </w:p>
          <w:p w:rsidR="007003E9" w:rsidRDefault="007003E9" w:rsidP="00DF5256">
            <w:pPr>
              <w:rPr>
                <w:rtl/>
              </w:rPr>
            </w:pPr>
          </w:p>
        </w:tc>
        <w:tc>
          <w:tcPr>
            <w:tcW w:w="2694" w:type="dxa"/>
          </w:tcPr>
          <w:p w:rsidR="007003E9" w:rsidRDefault="007003E9" w:rsidP="00DF5256">
            <w:pPr>
              <w:rPr>
                <w:rtl/>
              </w:rPr>
            </w:pPr>
          </w:p>
        </w:tc>
      </w:tr>
      <w:tr w:rsidR="007003E9" w:rsidTr="00005929">
        <w:tc>
          <w:tcPr>
            <w:tcW w:w="1647" w:type="dxa"/>
          </w:tcPr>
          <w:p w:rsidR="007003E9" w:rsidRDefault="007003E9" w:rsidP="007003E9">
            <w:pPr>
              <w:rPr>
                <w:rFonts w:hint="cs"/>
                <w:rtl/>
              </w:rPr>
            </w:pPr>
          </w:p>
          <w:p w:rsidR="00005929" w:rsidRDefault="006B4F08" w:rsidP="007003E9">
            <w:pPr>
              <w:rPr>
                <w:rFonts w:hint="cs"/>
                <w:rtl/>
              </w:rPr>
            </w:pPr>
            <w:r>
              <w:rPr>
                <w:rFonts w:hint="cs"/>
                <w:rtl/>
              </w:rPr>
              <w:t>הגופים המבוקרים</w:t>
            </w:r>
          </w:p>
          <w:p w:rsidR="00005929" w:rsidRDefault="00005929" w:rsidP="007003E9">
            <w:pPr>
              <w:rPr>
                <w:rtl/>
              </w:rPr>
            </w:pPr>
          </w:p>
        </w:tc>
        <w:tc>
          <w:tcPr>
            <w:tcW w:w="2772" w:type="dxa"/>
          </w:tcPr>
          <w:p w:rsidR="007003E9" w:rsidRDefault="003A7E7D" w:rsidP="00DF5256">
            <w:pPr>
              <w:rPr>
                <w:rFonts w:hint="cs"/>
                <w:rtl/>
              </w:rPr>
            </w:pPr>
            <w:r>
              <w:rPr>
                <w:rFonts w:hint="cs"/>
                <w:rtl/>
              </w:rPr>
              <w:t>תובעים משטרתיים</w:t>
            </w:r>
          </w:p>
          <w:p w:rsidR="003A7E7D" w:rsidRDefault="003A7E7D" w:rsidP="00DF5256">
            <w:pPr>
              <w:rPr>
                <w:rFonts w:hint="cs"/>
                <w:rtl/>
              </w:rPr>
            </w:pPr>
            <w:r>
              <w:rPr>
                <w:rFonts w:hint="cs"/>
                <w:rtl/>
              </w:rPr>
              <w:t>משפטנים בשירות הציבורי המחזיקים ביפויי כח</w:t>
            </w:r>
          </w:p>
          <w:p w:rsidR="003A7E7D" w:rsidRDefault="003A7E7D" w:rsidP="00DF5256">
            <w:pPr>
              <w:rPr>
                <w:rFonts w:hint="cs"/>
                <w:rtl/>
              </w:rPr>
            </w:pPr>
            <w:r>
              <w:rPr>
                <w:rFonts w:hint="cs"/>
                <w:rtl/>
              </w:rPr>
              <w:t>עו"ד פרטיים המחזיקים בייפוי כח.</w:t>
            </w:r>
          </w:p>
          <w:p w:rsidR="003A7E7D" w:rsidRDefault="003A7E7D" w:rsidP="00DF5256">
            <w:pPr>
              <w:rPr>
                <w:rtl/>
              </w:rPr>
            </w:pPr>
          </w:p>
        </w:tc>
        <w:tc>
          <w:tcPr>
            <w:tcW w:w="1731" w:type="dxa"/>
          </w:tcPr>
          <w:p w:rsidR="007003E9" w:rsidRDefault="00CF4740" w:rsidP="00DF5256">
            <w:pPr>
              <w:rPr>
                <w:rtl/>
              </w:rPr>
            </w:pPr>
            <w:r>
              <w:rPr>
                <w:rFonts w:hint="cs"/>
                <w:rtl/>
              </w:rPr>
              <w:t>כל המשפטנים בשירות הציבורי המבצעים תפקיד משפטי ובכלל זה בלשכות המשפטיות במשרדי הממשלה ובמשרד המשפטים; עובדי הסנגוריה הציבורית; הסיוע המשפטי וכיו"ב.</w:t>
            </w:r>
          </w:p>
        </w:tc>
        <w:tc>
          <w:tcPr>
            <w:tcW w:w="2694" w:type="dxa"/>
          </w:tcPr>
          <w:p w:rsidR="007003E9" w:rsidRDefault="007003E9" w:rsidP="00DF5256">
            <w:pPr>
              <w:rPr>
                <w:rtl/>
              </w:rPr>
            </w:pPr>
          </w:p>
        </w:tc>
      </w:tr>
      <w:tr w:rsidR="007003E9" w:rsidTr="00A0685A">
        <w:trPr>
          <w:trHeight w:val="60"/>
        </w:trPr>
        <w:tc>
          <w:tcPr>
            <w:tcW w:w="1647" w:type="dxa"/>
          </w:tcPr>
          <w:p w:rsidR="007003E9" w:rsidRDefault="007003E9" w:rsidP="007003E9">
            <w:pPr>
              <w:rPr>
                <w:rFonts w:hint="cs"/>
                <w:rtl/>
              </w:rPr>
            </w:pPr>
          </w:p>
          <w:p w:rsidR="00005929" w:rsidRDefault="00E74E8B" w:rsidP="007003E9">
            <w:pPr>
              <w:rPr>
                <w:rFonts w:hint="cs"/>
                <w:rtl/>
              </w:rPr>
            </w:pPr>
            <w:r>
              <w:rPr>
                <w:rFonts w:hint="cs"/>
                <w:rtl/>
              </w:rPr>
              <w:t>ביקורת פרטנית</w:t>
            </w:r>
          </w:p>
          <w:p w:rsidR="00005929" w:rsidRDefault="00005929" w:rsidP="007003E9">
            <w:pPr>
              <w:rPr>
                <w:rtl/>
              </w:rPr>
            </w:pPr>
          </w:p>
        </w:tc>
        <w:tc>
          <w:tcPr>
            <w:tcW w:w="2772" w:type="dxa"/>
          </w:tcPr>
          <w:p w:rsidR="007003E9" w:rsidRDefault="007003E9" w:rsidP="00DF5256">
            <w:pPr>
              <w:rPr>
                <w:rtl/>
              </w:rPr>
            </w:pPr>
          </w:p>
        </w:tc>
        <w:tc>
          <w:tcPr>
            <w:tcW w:w="1731" w:type="dxa"/>
          </w:tcPr>
          <w:p w:rsidR="007003E9" w:rsidRDefault="007003E9" w:rsidP="00DF5256">
            <w:pPr>
              <w:rPr>
                <w:rFonts w:hint="cs"/>
                <w:rtl/>
              </w:rPr>
            </w:pPr>
          </w:p>
          <w:p w:rsidR="00E74E8B" w:rsidRDefault="00E74E8B" w:rsidP="00DF5256">
            <w:pPr>
              <w:rPr>
                <w:rtl/>
              </w:rPr>
            </w:pPr>
            <w:r>
              <w:rPr>
                <w:rFonts w:hint="cs"/>
                <w:rtl/>
              </w:rPr>
              <w:t xml:space="preserve">עמדת הנבת"מ היא כי </w:t>
            </w:r>
            <w:r w:rsidR="007A6C3E">
              <w:rPr>
                <w:rFonts w:hint="cs"/>
                <w:rtl/>
              </w:rPr>
              <w:t>העברת הטיפול בפניה לממונה הוא אפשרי אך ייעשה לפי שיקול דעתה.</w:t>
            </w:r>
          </w:p>
        </w:tc>
        <w:tc>
          <w:tcPr>
            <w:tcW w:w="2694" w:type="dxa"/>
          </w:tcPr>
          <w:p w:rsidR="007003E9" w:rsidRDefault="007003E9" w:rsidP="00DF5256">
            <w:pPr>
              <w:rPr>
                <w:rFonts w:hint="cs"/>
                <w:rtl/>
              </w:rPr>
            </w:pPr>
          </w:p>
          <w:p w:rsidR="00E74E8B" w:rsidRDefault="00E74E8B" w:rsidP="00DF5256">
            <w:pPr>
              <w:rPr>
                <w:rFonts w:hint="cs"/>
                <w:rtl/>
              </w:rPr>
            </w:pPr>
            <w:r>
              <w:rPr>
                <w:rFonts w:hint="cs"/>
                <w:rtl/>
              </w:rPr>
              <w:t>אין מקום לביקורת פרטנית. ככל שיוגשו תלונות לגוף הנבת"מ יש להעבירן</w:t>
            </w:r>
            <w:r w:rsidR="007A6C3E">
              <w:rPr>
                <w:rFonts w:hint="cs"/>
                <w:rtl/>
              </w:rPr>
              <w:t xml:space="preserve"> לממונה הישיר על מנת שיברר את התלונה.</w:t>
            </w:r>
          </w:p>
          <w:p w:rsidR="007A6C3E" w:rsidRDefault="007A6C3E" w:rsidP="00DF5256">
            <w:pPr>
              <w:rPr>
                <w:rFonts w:hint="cs"/>
                <w:rtl/>
              </w:rPr>
            </w:pPr>
          </w:p>
          <w:p w:rsidR="007A6C3E" w:rsidRDefault="00F04706" w:rsidP="00DF5256">
            <w:pPr>
              <w:rPr>
                <w:rtl/>
              </w:rPr>
            </w:pPr>
            <w:r>
              <w:rPr>
                <w:rFonts w:hint="cs"/>
                <w:rtl/>
              </w:rPr>
              <w:t xml:space="preserve">אין מקום לעיין בתיק או בתנופה לגבי עניינים שהפרקליט יכול לתת להם מענה במקרים נדירים וככל שיש צורך ברור </w:t>
            </w:r>
            <w:bookmarkStart w:id="0" w:name="_GoBack"/>
            <w:bookmarkEnd w:id="0"/>
            <w:r>
              <w:rPr>
                <w:rFonts w:hint="cs"/>
                <w:rtl/>
              </w:rPr>
              <w:t>הדבר ייעשה לאחר יידוע הפרקליט</w:t>
            </w:r>
          </w:p>
        </w:tc>
      </w:tr>
      <w:tr w:rsidR="007003E9" w:rsidTr="00005929">
        <w:tc>
          <w:tcPr>
            <w:tcW w:w="1647" w:type="dxa"/>
          </w:tcPr>
          <w:p w:rsidR="00005929" w:rsidRDefault="007A6C3E" w:rsidP="007003E9">
            <w:pPr>
              <w:rPr>
                <w:rFonts w:hint="cs"/>
                <w:rtl/>
              </w:rPr>
            </w:pPr>
            <w:r>
              <w:rPr>
                <w:rFonts w:hint="cs"/>
                <w:rtl/>
              </w:rPr>
              <w:t>דחיית תלונות על הסף</w:t>
            </w:r>
          </w:p>
          <w:p w:rsidR="00005929" w:rsidRDefault="00005929" w:rsidP="007003E9">
            <w:pPr>
              <w:rPr>
                <w:rtl/>
              </w:rPr>
            </w:pPr>
          </w:p>
        </w:tc>
        <w:tc>
          <w:tcPr>
            <w:tcW w:w="2772" w:type="dxa"/>
          </w:tcPr>
          <w:p w:rsidR="007003E9" w:rsidRDefault="007A6C3E" w:rsidP="00DF5256">
            <w:pPr>
              <w:rPr>
                <w:rFonts w:hint="cs"/>
                <w:rtl/>
              </w:rPr>
            </w:pPr>
            <w:r>
              <w:rPr>
                <w:rFonts w:hint="cs"/>
                <w:rtl/>
              </w:rPr>
              <w:t>1. הפעלת שיקול דעת מקצועי</w:t>
            </w:r>
          </w:p>
          <w:p w:rsidR="007A6C3E" w:rsidRDefault="007A6C3E" w:rsidP="007A6C3E">
            <w:pPr>
              <w:rPr>
                <w:rFonts w:hint="cs"/>
                <w:rtl/>
              </w:rPr>
            </w:pPr>
            <w:r>
              <w:rPr>
                <w:rFonts w:hint="cs"/>
                <w:rtl/>
              </w:rPr>
              <w:t xml:space="preserve">2. </w:t>
            </w:r>
            <w:r w:rsidR="003A7E7D">
              <w:rPr>
                <w:rFonts w:hint="cs"/>
                <w:rtl/>
              </w:rPr>
              <w:t>הליך משפטי תלוי ועומד</w:t>
            </w:r>
          </w:p>
          <w:p w:rsidR="007A6C3E" w:rsidRDefault="007A6C3E" w:rsidP="007A6C3E">
            <w:pPr>
              <w:rPr>
                <w:rFonts w:hint="cs"/>
                <w:rtl/>
              </w:rPr>
            </w:pPr>
            <w:r>
              <w:rPr>
                <w:rFonts w:hint="cs"/>
                <w:rtl/>
              </w:rPr>
              <w:t>3.</w:t>
            </w:r>
            <w:r w:rsidR="003A7E7D">
              <w:rPr>
                <w:rFonts w:hint="cs"/>
                <w:rtl/>
              </w:rPr>
              <w:t xml:space="preserve"> הממונה הבהיר כי הפרקליט לא חרג מהנחיות או ממדיניות ולא פעל בזדון או ברשלנות רבתי</w:t>
            </w:r>
          </w:p>
          <w:p w:rsidR="003A7E7D" w:rsidRDefault="003A7E7D" w:rsidP="007A6C3E">
            <w:pPr>
              <w:rPr>
                <w:rFonts w:hint="cs"/>
                <w:rtl/>
              </w:rPr>
            </w:pPr>
            <w:r>
              <w:rPr>
                <w:rFonts w:hint="cs"/>
                <w:rtl/>
              </w:rPr>
              <w:t xml:space="preserve">4. </w:t>
            </w:r>
            <w:r w:rsidR="00F04706">
              <w:rPr>
                <w:rFonts w:hint="cs"/>
                <w:rtl/>
              </w:rPr>
              <w:t>התקבלה החלטה על ידי גורם אחר. נתון להחלטה שיפוטית או יכול היה להיות נתון להחלטה שיפוטית</w:t>
            </w:r>
          </w:p>
          <w:p w:rsidR="00F04706" w:rsidRDefault="00F04706" w:rsidP="007A6C3E">
            <w:pPr>
              <w:rPr>
                <w:rFonts w:hint="cs"/>
                <w:rtl/>
              </w:rPr>
            </w:pPr>
            <w:r>
              <w:rPr>
                <w:rFonts w:hint="cs"/>
                <w:rtl/>
              </w:rPr>
              <w:t>5. המתלונן אינו מסכים לותר על הגשת תלונה לגורמים נוספים</w:t>
            </w:r>
          </w:p>
          <w:p w:rsidR="00F04706" w:rsidRDefault="00F04706" w:rsidP="007A6C3E">
            <w:pPr>
              <w:rPr>
                <w:rFonts w:hint="cs"/>
                <w:rtl/>
              </w:rPr>
            </w:pPr>
            <w:r>
              <w:rPr>
                <w:rFonts w:hint="cs"/>
                <w:rtl/>
              </w:rPr>
              <w:t>6.</w:t>
            </w:r>
          </w:p>
          <w:p w:rsidR="007A6C3E" w:rsidRDefault="007A6C3E" w:rsidP="007A6C3E">
            <w:pPr>
              <w:rPr>
                <w:rtl/>
              </w:rPr>
            </w:pPr>
          </w:p>
        </w:tc>
        <w:tc>
          <w:tcPr>
            <w:tcW w:w="1731" w:type="dxa"/>
          </w:tcPr>
          <w:p w:rsidR="007003E9" w:rsidRDefault="007A6C3E" w:rsidP="007A6C3E">
            <w:pPr>
              <w:rPr>
                <w:rFonts w:hint="cs"/>
                <w:rtl/>
              </w:rPr>
            </w:pPr>
            <w:r>
              <w:rPr>
                <w:rFonts w:hint="cs"/>
                <w:rtl/>
              </w:rPr>
              <w:t>1.</w:t>
            </w:r>
          </w:p>
          <w:p w:rsidR="007A6C3E" w:rsidRDefault="007A6C3E" w:rsidP="007A6C3E">
            <w:pPr>
              <w:rPr>
                <w:rFonts w:hint="cs"/>
                <w:rtl/>
              </w:rPr>
            </w:pPr>
            <w:r>
              <w:rPr>
                <w:rFonts w:hint="cs"/>
                <w:rtl/>
              </w:rPr>
              <w:t>2.</w:t>
            </w:r>
          </w:p>
          <w:p w:rsidR="007A6C3E" w:rsidRDefault="007A6C3E" w:rsidP="007A6C3E">
            <w:pPr>
              <w:rPr>
                <w:rtl/>
              </w:rPr>
            </w:pPr>
          </w:p>
        </w:tc>
        <w:tc>
          <w:tcPr>
            <w:tcW w:w="2694" w:type="dxa"/>
          </w:tcPr>
          <w:p w:rsidR="007003E9" w:rsidRDefault="007A6C3E" w:rsidP="00DF5256">
            <w:pPr>
              <w:rPr>
                <w:rFonts w:hint="cs"/>
                <w:rtl/>
              </w:rPr>
            </w:pPr>
            <w:r>
              <w:rPr>
                <w:rFonts w:hint="cs"/>
                <w:rtl/>
              </w:rPr>
              <w:t>1.</w:t>
            </w:r>
          </w:p>
          <w:p w:rsidR="007A6C3E" w:rsidRDefault="007A6C3E" w:rsidP="00DF5256">
            <w:pPr>
              <w:rPr>
                <w:rtl/>
              </w:rPr>
            </w:pPr>
            <w:r>
              <w:rPr>
                <w:rFonts w:hint="cs"/>
                <w:rtl/>
              </w:rPr>
              <w:t>2.</w:t>
            </w:r>
          </w:p>
        </w:tc>
      </w:tr>
      <w:tr w:rsidR="007003E9" w:rsidTr="00005929">
        <w:tc>
          <w:tcPr>
            <w:tcW w:w="1647" w:type="dxa"/>
          </w:tcPr>
          <w:p w:rsidR="007003E9" w:rsidRDefault="007003E9" w:rsidP="007003E9">
            <w:pPr>
              <w:rPr>
                <w:rFonts w:hint="cs"/>
                <w:rtl/>
              </w:rPr>
            </w:pPr>
          </w:p>
          <w:p w:rsidR="007A6C3E" w:rsidRDefault="007A6C3E" w:rsidP="007A6C3E">
            <w:pPr>
              <w:rPr>
                <w:rFonts w:hint="cs"/>
                <w:rtl/>
              </w:rPr>
            </w:pPr>
            <w:r>
              <w:rPr>
                <w:rFonts w:hint="cs"/>
                <w:rtl/>
              </w:rPr>
              <w:t xml:space="preserve">שקיפות ויידוע הועד על </w:t>
            </w:r>
          </w:p>
          <w:p w:rsidR="00005929" w:rsidRDefault="00005929" w:rsidP="007003E9">
            <w:pPr>
              <w:rPr>
                <w:rFonts w:hint="cs"/>
                <w:rtl/>
              </w:rPr>
            </w:pPr>
          </w:p>
          <w:p w:rsidR="00005929" w:rsidRDefault="00005929" w:rsidP="007003E9">
            <w:pPr>
              <w:rPr>
                <w:rtl/>
              </w:rPr>
            </w:pPr>
          </w:p>
        </w:tc>
        <w:tc>
          <w:tcPr>
            <w:tcW w:w="2772" w:type="dxa"/>
          </w:tcPr>
          <w:p w:rsidR="007003E9" w:rsidRDefault="00F04706" w:rsidP="00DF5256">
            <w:pPr>
              <w:rPr>
                <w:rFonts w:hint="cs"/>
                <w:rtl/>
              </w:rPr>
            </w:pPr>
            <w:r>
              <w:rPr>
                <w:rFonts w:hint="cs"/>
                <w:rtl/>
              </w:rPr>
              <w:t>המשרד יידע על ביקורות מערכתיות שנעשות ועל הגעת נציגי הנבת"מ לעיין בתיקים/במערכת תנופה.</w:t>
            </w:r>
          </w:p>
          <w:p w:rsidR="00F04706" w:rsidRDefault="00F04706" w:rsidP="00DF5256">
            <w:pPr>
              <w:rPr>
                <w:rFonts w:hint="cs"/>
                <w:rtl/>
              </w:rPr>
            </w:pPr>
          </w:p>
          <w:p w:rsidR="00F04706" w:rsidRDefault="00F04706" w:rsidP="00DF5256">
            <w:pPr>
              <w:rPr>
                <w:rtl/>
              </w:rPr>
            </w:pPr>
            <w:r>
              <w:rPr>
                <w:rFonts w:hint="cs"/>
                <w:rtl/>
              </w:rPr>
              <w:t>המשרד יידע על בקשות הנב"מ לעיין בתיקים/מערכת תנופה בתלונות פרטניות</w:t>
            </w:r>
          </w:p>
        </w:tc>
        <w:tc>
          <w:tcPr>
            <w:tcW w:w="1731" w:type="dxa"/>
          </w:tcPr>
          <w:p w:rsidR="007003E9" w:rsidRDefault="007003E9" w:rsidP="00DF5256">
            <w:pPr>
              <w:rPr>
                <w:rtl/>
              </w:rPr>
            </w:pPr>
          </w:p>
        </w:tc>
        <w:tc>
          <w:tcPr>
            <w:tcW w:w="2694" w:type="dxa"/>
          </w:tcPr>
          <w:p w:rsidR="007003E9" w:rsidRDefault="007003E9" w:rsidP="00DF5256">
            <w:pPr>
              <w:rPr>
                <w:rtl/>
              </w:rPr>
            </w:pPr>
          </w:p>
        </w:tc>
      </w:tr>
      <w:tr w:rsidR="007003E9" w:rsidTr="00005929">
        <w:tc>
          <w:tcPr>
            <w:tcW w:w="1647" w:type="dxa"/>
          </w:tcPr>
          <w:p w:rsidR="007003E9" w:rsidRDefault="007003E9" w:rsidP="007003E9">
            <w:pPr>
              <w:rPr>
                <w:rFonts w:hint="cs"/>
                <w:rtl/>
              </w:rPr>
            </w:pPr>
          </w:p>
          <w:p w:rsidR="00005929" w:rsidRDefault="00005929" w:rsidP="007003E9">
            <w:pPr>
              <w:rPr>
                <w:rFonts w:hint="cs"/>
                <w:rtl/>
              </w:rPr>
            </w:pPr>
          </w:p>
          <w:p w:rsidR="00005929" w:rsidRDefault="00005929" w:rsidP="007003E9">
            <w:pPr>
              <w:rPr>
                <w:rFonts w:hint="cs"/>
                <w:rtl/>
              </w:rPr>
            </w:pPr>
          </w:p>
          <w:p w:rsidR="00005929" w:rsidRDefault="00005929" w:rsidP="007003E9">
            <w:pPr>
              <w:rPr>
                <w:rFonts w:hint="cs"/>
                <w:rtl/>
              </w:rPr>
            </w:pPr>
          </w:p>
          <w:p w:rsidR="00005929" w:rsidRDefault="00005929" w:rsidP="007003E9">
            <w:pPr>
              <w:rPr>
                <w:rtl/>
              </w:rPr>
            </w:pPr>
          </w:p>
        </w:tc>
        <w:tc>
          <w:tcPr>
            <w:tcW w:w="2772" w:type="dxa"/>
          </w:tcPr>
          <w:p w:rsidR="007003E9" w:rsidRDefault="007003E9" w:rsidP="00DF5256">
            <w:pPr>
              <w:rPr>
                <w:rtl/>
              </w:rPr>
            </w:pPr>
          </w:p>
        </w:tc>
        <w:tc>
          <w:tcPr>
            <w:tcW w:w="1731" w:type="dxa"/>
          </w:tcPr>
          <w:p w:rsidR="007003E9" w:rsidRDefault="007003E9" w:rsidP="00DF5256">
            <w:pPr>
              <w:rPr>
                <w:rtl/>
              </w:rPr>
            </w:pPr>
          </w:p>
        </w:tc>
        <w:tc>
          <w:tcPr>
            <w:tcW w:w="2694" w:type="dxa"/>
          </w:tcPr>
          <w:p w:rsidR="007003E9" w:rsidRDefault="007003E9" w:rsidP="00DF5256">
            <w:pPr>
              <w:rPr>
                <w:rtl/>
              </w:rPr>
            </w:pPr>
          </w:p>
        </w:tc>
      </w:tr>
      <w:tr w:rsidR="007003E9" w:rsidTr="00005929">
        <w:tc>
          <w:tcPr>
            <w:tcW w:w="1647" w:type="dxa"/>
          </w:tcPr>
          <w:p w:rsidR="007003E9" w:rsidRDefault="007003E9" w:rsidP="007003E9">
            <w:pPr>
              <w:rPr>
                <w:rFonts w:hint="cs"/>
                <w:rtl/>
              </w:rPr>
            </w:pPr>
          </w:p>
          <w:p w:rsidR="00005929" w:rsidRDefault="00005929" w:rsidP="007003E9">
            <w:pPr>
              <w:rPr>
                <w:rFonts w:hint="cs"/>
                <w:rtl/>
              </w:rPr>
            </w:pPr>
          </w:p>
          <w:p w:rsidR="00005929" w:rsidRDefault="00005929" w:rsidP="007003E9">
            <w:pPr>
              <w:rPr>
                <w:rtl/>
              </w:rPr>
            </w:pPr>
          </w:p>
        </w:tc>
        <w:tc>
          <w:tcPr>
            <w:tcW w:w="2772" w:type="dxa"/>
          </w:tcPr>
          <w:p w:rsidR="007003E9" w:rsidRDefault="007003E9" w:rsidP="00DF5256">
            <w:pPr>
              <w:rPr>
                <w:rtl/>
              </w:rPr>
            </w:pPr>
          </w:p>
        </w:tc>
        <w:tc>
          <w:tcPr>
            <w:tcW w:w="1731" w:type="dxa"/>
          </w:tcPr>
          <w:p w:rsidR="007003E9" w:rsidRDefault="007003E9" w:rsidP="00DF5256">
            <w:pPr>
              <w:rPr>
                <w:rtl/>
              </w:rPr>
            </w:pPr>
          </w:p>
        </w:tc>
        <w:tc>
          <w:tcPr>
            <w:tcW w:w="2694" w:type="dxa"/>
          </w:tcPr>
          <w:p w:rsidR="007003E9" w:rsidRDefault="007003E9" w:rsidP="00DF5256">
            <w:pPr>
              <w:rPr>
                <w:rtl/>
              </w:rPr>
            </w:pPr>
          </w:p>
        </w:tc>
      </w:tr>
    </w:tbl>
    <w:p w:rsidR="00C31396" w:rsidRPr="005406EE" w:rsidRDefault="007003E9" w:rsidP="005406EE">
      <w:r>
        <w:br w:type="textWrapping" w:clear="all"/>
      </w:r>
    </w:p>
    <w:sectPr w:rsidR="00C31396" w:rsidRPr="005406EE" w:rsidSect="006037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04071"/>
    <w:multiLevelType w:val="hybridMultilevel"/>
    <w:tmpl w:val="DA1E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3F"/>
    <w:rsid w:val="00005929"/>
    <w:rsid w:val="0001013F"/>
    <w:rsid w:val="003A7E7D"/>
    <w:rsid w:val="005406EE"/>
    <w:rsid w:val="006037A9"/>
    <w:rsid w:val="0061238E"/>
    <w:rsid w:val="006B4F08"/>
    <w:rsid w:val="007003E9"/>
    <w:rsid w:val="007A6C3E"/>
    <w:rsid w:val="009136EF"/>
    <w:rsid w:val="00A0685A"/>
    <w:rsid w:val="00C31396"/>
    <w:rsid w:val="00CF4740"/>
    <w:rsid w:val="00E74E8B"/>
    <w:rsid w:val="00F04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3F"/>
    <w:pPr>
      <w:ind w:left="720"/>
      <w:contextualSpacing/>
    </w:pPr>
  </w:style>
  <w:style w:type="table" w:styleId="TableGrid">
    <w:name w:val="Table Grid"/>
    <w:basedOn w:val="TableNormal"/>
    <w:uiPriority w:val="59"/>
    <w:rsid w:val="0054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3F"/>
    <w:pPr>
      <w:ind w:left="720"/>
      <w:contextualSpacing/>
    </w:pPr>
  </w:style>
  <w:style w:type="table" w:styleId="TableGrid">
    <w:name w:val="Table Grid"/>
    <w:basedOn w:val="TableNormal"/>
    <w:uiPriority w:val="59"/>
    <w:rsid w:val="0054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dc:creator>
  <cp:lastModifiedBy>shani</cp:lastModifiedBy>
  <cp:revision>2</cp:revision>
  <dcterms:created xsi:type="dcterms:W3CDTF">2014-12-30T15:15:00Z</dcterms:created>
  <dcterms:modified xsi:type="dcterms:W3CDTF">2014-12-30T15:15:00Z</dcterms:modified>
</cp:coreProperties>
</file>