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3BD6" w:rsidRPr="00567CC4" w:rsidP="00744DE5" w14:paraId="2BD8C95B" w14:textId="77777777">
      <w:pPr>
        <w:spacing w:line="276" w:lineRule="auto"/>
        <w:jc w:val="center"/>
        <w:rPr>
          <w:b/>
          <w:bCs/>
          <w:color w:val="92CDDC" w:themeColor="accent5" w:themeTint="99"/>
          <w:sz w:val="28"/>
          <w:szCs w:val="28"/>
          <w:rtl/>
        </w:rPr>
      </w:pPr>
      <w:r w:rsidRPr="00567CC4">
        <w:rPr>
          <w:b/>
          <w:bCs/>
          <w:color w:val="92CDDC" w:themeColor="accent5" w:themeTint="99"/>
          <w:sz w:val="28"/>
          <w:szCs w:val="28"/>
        </w:rPr>
        <w:t>Ortal</w:t>
      </w:r>
      <w:r w:rsidRPr="00567CC4">
        <w:rPr>
          <w:b/>
          <w:bCs/>
          <w:color w:val="92CDDC" w:themeColor="accent5" w:themeTint="99"/>
          <w:sz w:val="28"/>
          <w:szCs w:val="28"/>
        </w:rPr>
        <w:t xml:space="preserve"> </w:t>
      </w:r>
      <w:r w:rsidRPr="00567CC4" w:rsidR="00CD2DE5">
        <w:rPr>
          <w:b/>
          <w:bCs/>
          <w:color w:val="92CDDC" w:themeColor="accent5" w:themeTint="99"/>
          <w:sz w:val="28"/>
          <w:szCs w:val="28"/>
        </w:rPr>
        <w:t>Perkal</w:t>
      </w:r>
      <w:r w:rsidR="00744DE5">
        <w:rPr>
          <w:b/>
          <w:bCs/>
          <w:color w:val="92CDDC" w:themeColor="accent5" w:themeTint="99"/>
          <w:sz w:val="28"/>
          <w:szCs w:val="28"/>
        </w:rPr>
        <w:t xml:space="preserve"> (</w:t>
      </w:r>
      <w:r w:rsidRPr="00567CC4" w:rsidR="00744DE5">
        <w:rPr>
          <w:b/>
          <w:bCs/>
          <w:color w:val="92CDDC" w:themeColor="accent5" w:themeTint="99"/>
          <w:sz w:val="28"/>
          <w:szCs w:val="28"/>
        </w:rPr>
        <w:t>Marciano</w:t>
      </w:r>
      <w:r w:rsidR="00744DE5">
        <w:rPr>
          <w:b/>
          <w:bCs/>
          <w:color w:val="92CDDC" w:themeColor="accent5" w:themeTint="99"/>
          <w:sz w:val="28"/>
          <w:szCs w:val="28"/>
        </w:rPr>
        <w:t>)</w:t>
      </w:r>
    </w:p>
    <w:p w:rsidR="00F17537" w:rsidRPr="00EF19D8" w:rsidP="00594EED" w14:paraId="36B1856C" w14:textId="77777777">
      <w:pPr>
        <w:spacing w:line="276" w:lineRule="auto"/>
        <w:jc w:val="center"/>
        <w:rPr>
          <w:rtl/>
        </w:rPr>
      </w:pPr>
      <w:r>
        <w:t xml:space="preserve">9 </w:t>
      </w:r>
      <w:r>
        <w:t>Hatze'elon</w:t>
      </w:r>
      <w:r w:rsidR="00594EED">
        <w:t xml:space="preserve"> St.</w:t>
      </w:r>
      <w:r w:rsidRPr="00EF19D8">
        <w:t xml:space="preserve"> </w:t>
      </w:r>
    </w:p>
    <w:p w:rsidR="009663CD" w:rsidP="00071B32" w14:paraId="53584026" w14:textId="77777777">
      <w:pPr>
        <w:spacing w:line="276" w:lineRule="auto"/>
        <w:jc w:val="center"/>
      </w:pPr>
      <w:r>
        <w:t>Netanya</w:t>
      </w:r>
      <w:r w:rsidRPr="00EF19D8">
        <w:t>, I</w:t>
      </w:r>
      <w:r w:rsidRPr="00EF19D8" w:rsidR="00F52D9E">
        <w:t>srael</w:t>
      </w:r>
      <w:r w:rsidR="009A02BC">
        <w:t xml:space="preserve"> </w:t>
      </w:r>
    </w:p>
    <w:p w:rsidR="00F17537" w:rsidRPr="00EF19D8" w:rsidP="00594EED" w14:paraId="7BA1C951" w14:textId="77777777">
      <w:pPr>
        <w:spacing w:line="276" w:lineRule="auto"/>
        <w:jc w:val="center"/>
      </w:pPr>
      <w:r w:rsidRPr="00EF19D8">
        <w:t>Cell</w:t>
      </w:r>
      <w:r w:rsidRPr="00EF19D8">
        <w:t>:</w:t>
      </w:r>
      <w:r w:rsidRPr="00EF19D8">
        <w:t xml:space="preserve"> </w:t>
      </w:r>
      <w:r w:rsidRPr="00EF19D8" w:rsidR="00457E8B">
        <w:t>+ (</w:t>
      </w:r>
      <w:r w:rsidRPr="00EF19D8">
        <w:t xml:space="preserve">972) </w:t>
      </w:r>
      <w:r w:rsidRPr="00EF19D8">
        <w:t>5</w:t>
      </w:r>
      <w:r w:rsidR="00594EED">
        <w:t>2</w:t>
      </w:r>
      <w:r w:rsidRPr="00EF19D8">
        <w:t>-</w:t>
      </w:r>
      <w:r w:rsidR="00594EED">
        <w:t>4382147</w:t>
      </w:r>
    </w:p>
    <w:p w:rsidR="00457E8B" w:rsidRPr="00CD2DE5" w:rsidP="00594EED" w14:paraId="08B52EA0" w14:textId="77777777">
      <w:pPr>
        <w:spacing w:line="276" w:lineRule="auto"/>
        <w:jc w:val="center"/>
        <w:rPr>
          <w:rtl/>
        </w:rPr>
      </w:pPr>
      <w:r>
        <w:fldChar w:fldCharType="begin"/>
      </w:r>
      <w:r>
        <w:instrText xml:space="preserve"> HYPERLINK "mailto:ortal94@gmail.com" </w:instrText>
      </w:r>
      <w:r>
        <w:fldChar w:fldCharType="separate"/>
      </w:r>
      <w:r w:rsidRPr="00CD2DE5" w:rsidR="00594EED">
        <w:rPr>
          <w:rStyle w:val="Hyperlink"/>
          <w:color w:val="auto"/>
          <w:u w:val="none"/>
        </w:rPr>
        <w:t>ortal94@gmail.com</w:t>
      </w:r>
      <w:r>
        <w:fldChar w:fldCharType="end"/>
      </w:r>
    </w:p>
    <w:p w:rsidR="0051184A" w:rsidRPr="00567CC4" w:rsidP="006832D1" w14:paraId="29CA6FE4" w14:textId="77777777">
      <w:pPr>
        <w:pBdr>
          <w:bottom w:val="single" w:sz="4" w:space="1" w:color="auto"/>
        </w:pBdr>
        <w:shd w:val="clear" w:color="auto" w:fill="FFFFFF" w:themeFill="background1"/>
        <w:bidi w:val="0"/>
        <w:spacing w:line="276" w:lineRule="auto"/>
        <w:rPr>
          <w:b/>
          <w:bCs/>
          <w:color w:val="92CDDC" w:themeColor="accent5" w:themeTint="99"/>
          <w:sz w:val="22"/>
          <w:szCs w:val="22"/>
        </w:rPr>
      </w:pPr>
      <w:r w:rsidRPr="00567CC4">
        <w:rPr>
          <w:b/>
          <w:bCs/>
          <w:color w:val="92CDDC" w:themeColor="accent5" w:themeTint="99"/>
          <w:sz w:val="22"/>
          <w:szCs w:val="22"/>
        </w:rPr>
        <w:t>P</w:t>
      </w:r>
      <w:r w:rsidRPr="00567CC4" w:rsidR="005175E6">
        <w:rPr>
          <w:b/>
          <w:bCs/>
          <w:color w:val="92CDDC" w:themeColor="accent5" w:themeTint="99"/>
          <w:sz w:val="22"/>
          <w:szCs w:val="22"/>
        </w:rPr>
        <w:t>ersonal statement</w:t>
      </w:r>
    </w:p>
    <w:p w:rsidR="00B852C0" w:rsidP="006832D1" w14:paraId="38171F00" w14:textId="4EC0F1BC">
      <w:pPr>
        <w:bidi w:val="0"/>
        <w:spacing w:line="276" w:lineRule="auto"/>
        <w:jc w:val="both"/>
        <w:rPr>
          <w:iCs/>
          <w:sz w:val="22"/>
          <w:szCs w:val="22"/>
        </w:rPr>
      </w:pPr>
      <w:r w:rsidRPr="0057728E">
        <w:rPr>
          <w:iCs/>
          <w:sz w:val="22"/>
          <w:szCs w:val="22"/>
        </w:rPr>
        <w:t xml:space="preserve">I </w:t>
      </w:r>
      <w:r w:rsidR="0057728E">
        <w:rPr>
          <w:iCs/>
          <w:sz w:val="22"/>
          <w:szCs w:val="22"/>
        </w:rPr>
        <w:t>graduated</w:t>
      </w:r>
      <w:r w:rsidRPr="0057728E">
        <w:rPr>
          <w:iCs/>
          <w:sz w:val="22"/>
          <w:szCs w:val="22"/>
        </w:rPr>
        <w:t xml:space="preserve"> high-school with </w:t>
      </w:r>
      <w:r w:rsidR="0057728E">
        <w:rPr>
          <w:iCs/>
          <w:sz w:val="22"/>
          <w:szCs w:val="22"/>
        </w:rPr>
        <w:t xml:space="preserve">a major in </w:t>
      </w:r>
      <w:r w:rsidRPr="0057728E">
        <w:rPr>
          <w:iCs/>
          <w:sz w:val="22"/>
          <w:szCs w:val="22"/>
        </w:rPr>
        <w:t xml:space="preserve">chemistry with honors. After </w:t>
      </w:r>
      <w:r w:rsidR="00A25D83">
        <w:rPr>
          <w:iCs/>
          <w:sz w:val="22"/>
          <w:szCs w:val="22"/>
        </w:rPr>
        <w:t>volunteering in</w:t>
      </w:r>
      <w:r w:rsidRPr="0057728E" w:rsidR="00A25D83">
        <w:rPr>
          <w:iCs/>
          <w:sz w:val="22"/>
          <w:szCs w:val="22"/>
        </w:rPr>
        <w:t xml:space="preserve"> </w:t>
      </w:r>
      <w:r w:rsidRPr="0057728E">
        <w:rPr>
          <w:iCs/>
          <w:sz w:val="22"/>
          <w:szCs w:val="22"/>
        </w:rPr>
        <w:t xml:space="preserve">national service, I graduated </w:t>
      </w:r>
      <w:r w:rsidRPr="0057728E">
        <w:rPr>
          <w:iCs/>
          <w:sz w:val="22"/>
          <w:szCs w:val="22"/>
        </w:rPr>
        <w:t>B.</w:t>
      </w:r>
      <w:r w:rsidR="00A25D83">
        <w:rPr>
          <w:iCs/>
          <w:sz w:val="22"/>
          <w:szCs w:val="22"/>
        </w:rPr>
        <w:t>S</w:t>
      </w:r>
      <w:r w:rsidRPr="0057728E" w:rsidR="00A25D83">
        <w:rPr>
          <w:iCs/>
          <w:sz w:val="22"/>
          <w:szCs w:val="22"/>
        </w:rPr>
        <w:t>c</w:t>
      </w:r>
      <w:r w:rsidRPr="0057728E" w:rsidR="00A25D83">
        <w:rPr>
          <w:iCs/>
          <w:sz w:val="22"/>
          <w:szCs w:val="22"/>
        </w:rPr>
        <w:t xml:space="preserve"> </w:t>
      </w:r>
      <w:r w:rsidRPr="0057728E">
        <w:rPr>
          <w:iCs/>
          <w:sz w:val="22"/>
          <w:szCs w:val="22"/>
        </w:rPr>
        <w:t xml:space="preserve">in Medicinal Chemistry, and then continued to </w:t>
      </w:r>
      <w:r w:rsidRPr="0057728E">
        <w:rPr>
          <w:iCs/>
          <w:sz w:val="22"/>
          <w:szCs w:val="22"/>
        </w:rPr>
        <w:t>M.</w:t>
      </w:r>
      <w:r w:rsidR="00A25D83">
        <w:rPr>
          <w:iCs/>
          <w:sz w:val="22"/>
          <w:szCs w:val="22"/>
        </w:rPr>
        <w:t>S</w:t>
      </w:r>
      <w:r w:rsidRPr="0057728E" w:rsidR="00A25D83">
        <w:rPr>
          <w:iCs/>
          <w:sz w:val="22"/>
          <w:szCs w:val="22"/>
        </w:rPr>
        <w:t>c</w:t>
      </w:r>
      <w:r w:rsidRPr="0057728E" w:rsidR="00A25D83">
        <w:rPr>
          <w:iCs/>
          <w:sz w:val="22"/>
          <w:szCs w:val="22"/>
        </w:rPr>
        <w:t xml:space="preserve"> </w:t>
      </w:r>
      <w:r w:rsidR="00A25D83">
        <w:rPr>
          <w:iCs/>
          <w:sz w:val="22"/>
          <w:szCs w:val="22"/>
        </w:rPr>
        <w:t>in</w:t>
      </w:r>
      <w:r w:rsidRPr="0057728E" w:rsidR="00A25D83">
        <w:rPr>
          <w:iCs/>
          <w:sz w:val="22"/>
          <w:szCs w:val="22"/>
        </w:rPr>
        <w:t xml:space="preserve"> </w:t>
      </w:r>
      <w:r w:rsidRPr="0057728E">
        <w:rPr>
          <w:iCs/>
          <w:sz w:val="22"/>
          <w:szCs w:val="22"/>
        </w:rPr>
        <w:t xml:space="preserve">bio-mimetic chemistry, </w:t>
      </w:r>
      <w:r w:rsidR="00A25D83">
        <w:rPr>
          <w:iCs/>
          <w:sz w:val="22"/>
          <w:szCs w:val="22"/>
        </w:rPr>
        <w:t>in</w:t>
      </w:r>
      <w:r w:rsidRPr="0057728E" w:rsidR="00A25D83">
        <w:rPr>
          <w:iCs/>
          <w:sz w:val="22"/>
          <w:szCs w:val="22"/>
        </w:rPr>
        <w:t xml:space="preserve"> </w:t>
      </w:r>
      <w:r w:rsidRPr="0057728E" w:rsidR="00DC50AF">
        <w:rPr>
          <w:iCs/>
          <w:sz w:val="22"/>
          <w:szCs w:val="22"/>
        </w:rPr>
        <w:t xml:space="preserve">Dr. Laurent </w:t>
      </w:r>
      <w:r w:rsidRPr="0057728E" w:rsidR="00DC50AF">
        <w:rPr>
          <w:iCs/>
          <w:sz w:val="22"/>
          <w:szCs w:val="22"/>
        </w:rPr>
        <w:t>Benisvy's</w:t>
      </w:r>
      <w:r w:rsidRPr="0057728E" w:rsidR="00DC50AF">
        <w:rPr>
          <w:iCs/>
          <w:sz w:val="22"/>
          <w:szCs w:val="22"/>
        </w:rPr>
        <w:t xml:space="preserve"> lab (Dep. of Chemistry, Bar-</w:t>
      </w:r>
      <w:r w:rsidRPr="0057728E" w:rsidR="00DC50AF">
        <w:rPr>
          <w:iCs/>
          <w:sz w:val="22"/>
          <w:szCs w:val="22"/>
        </w:rPr>
        <w:t>Ilan</w:t>
      </w:r>
      <w:r w:rsidRPr="0057728E" w:rsidR="00DC50AF">
        <w:rPr>
          <w:iCs/>
          <w:sz w:val="22"/>
          <w:szCs w:val="22"/>
        </w:rPr>
        <w:t xml:space="preserve"> University</w:t>
      </w:r>
      <w:r w:rsidRPr="0057728E" w:rsidR="00A25D83">
        <w:rPr>
          <w:iCs/>
          <w:sz w:val="22"/>
          <w:szCs w:val="22"/>
        </w:rPr>
        <w:t>)</w:t>
      </w:r>
      <w:r w:rsidR="00A25D83">
        <w:rPr>
          <w:iCs/>
          <w:sz w:val="22"/>
          <w:szCs w:val="22"/>
        </w:rPr>
        <w:t>.</w:t>
      </w:r>
      <w:r w:rsidRPr="0057728E" w:rsidR="00A25D83">
        <w:rPr>
          <w:iCs/>
          <w:sz w:val="22"/>
          <w:szCs w:val="22"/>
        </w:rPr>
        <w:t xml:space="preserve"> </w:t>
      </w:r>
      <w:r w:rsidR="00A25D83">
        <w:rPr>
          <w:iCs/>
          <w:sz w:val="22"/>
          <w:szCs w:val="22"/>
        </w:rPr>
        <w:t xml:space="preserve">In Dr. </w:t>
      </w:r>
      <w:r w:rsidR="00A25D83">
        <w:rPr>
          <w:iCs/>
          <w:sz w:val="22"/>
          <w:szCs w:val="22"/>
        </w:rPr>
        <w:t>Benisvy’s</w:t>
      </w:r>
      <w:r w:rsidR="00A25D83">
        <w:rPr>
          <w:iCs/>
          <w:sz w:val="22"/>
          <w:szCs w:val="22"/>
        </w:rPr>
        <w:t xml:space="preserve"> lab I gained experience working</w:t>
      </w:r>
      <w:r w:rsidRPr="0057728E">
        <w:rPr>
          <w:iCs/>
          <w:sz w:val="22"/>
          <w:szCs w:val="22"/>
        </w:rPr>
        <w:t xml:space="preserve"> with organometallic complex synthesis and characterization, </w:t>
      </w:r>
      <w:r w:rsidR="00A25D83">
        <w:rPr>
          <w:iCs/>
          <w:sz w:val="22"/>
          <w:szCs w:val="22"/>
        </w:rPr>
        <w:t xml:space="preserve">as well as characterization </w:t>
      </w:r>
      <w:r w:rsidRPr="0057728E">
        <w:rPr>
          <w:iCs/>
          <w:sz w:val="22"/>
          <w:szCs w:val="22"/>
        </w:rPr>
        <w:t>using Electron Paramagnetic Resonance (EPR), UV-vis, cyclic-voltammetry (CV)</w:t>
      </w:r>
      <w:r w:rsidRPr="0057728E" w:rsidR="00DC50AF">
        <w:rPr>
          <w:iCs/>
          <w:sz w:val="22"/>
          <w:szCs w:val="22"/>
        </w:rPr>
        <w:t xml:space="preserve">, and NMR. </w:t>
      </w:r>
    </w:p>
    <w:p w:rsidR="006832D1" w:rsidP="008E7287" w14:paraId="084748DC" w14:textId="4AC7D19B">
      <w:pPr>
        <w:bidi w:val="0"/>
        <w:spacing w:line="276" w:lineRule="auto"/>
        <w:ind w:firstLine="720"/>
        <w:jc w:val="both"/>
        <w:rPr>
          <w:iCs/>
          <w:sz w:val="22"/>
          <w:szCs w:val="22"/>
        </w:rPr>
      </w:pPr>
      <w:r w:rsidRPr="0057728E">
        <w:rPr>
          <w:iCs/>
          <w:sz w:val="22"/>
          <w:szCs w:val="22"/>
        </w:rPr>
        <w:t>Learning the great abilities and importance of EPR, and being curious about biologi</w:t>
      </w:r>
      <w:r w:rsidR="00650CFC">
        <w:rPr>
          <w:iCs/>
          <w:sz w:val="22"/>
          <w:szCs w:val="22"/>
        </w:rPr>
        <w:t>cal systems, I started my PhD at</w:t>
      </w:r>
      <w:r w:rsidRPr="0057728E">
        <w:rPr>
          <w:iCs/>
          <w:sz w:val="22"/>
          <w:szCs w:val="22"/>
        </w:rPr>
        <w:t xml:space="preserve"> Dr. Sharon </w:t>
      </w:r>
      <w:r w:rsidRPr="0057728E">
        <w:rPr>
          <w:iCs/>
          <w:sz w:val="22"/>
          <w:szCs w:val="22"/>
        </w:rPr>
        <w:t>Ruthstein's</w:t>
      </w:r>
      <w:r w:rsidRPr="0057728E">
        <w:rPr>
          <w:iCs/>
          <w:sz w:val="22"/>
          <w:szCs w:val="22"/>
        </w:rPr>
        <w:t xml:space="preserve"> lab (Dep. of Chemistry, Bar-</w:t>
      </w:r>
      <w:r w:rsidRPr="0057728E">
        <w:rPr>
          <w:iCs/>
          <w:sz w:val="22"/>
          <w:szCs w:val="22"/>
        </w:rPr>
        <w:t>Ilan</w:t>
      </w:r>
      <w:r w:rsidRPr="0057728E">
        <w:rPr>
          <w:iCs/>
          <w:sz w:val="22"/>
          <w:szCs w:val="22"/>
        </w:rPr>
        <w:t xml:space="preserve"> University). </w:t>
      </w:r>
      <w:r w:rsidR="00744DE5">
        <w:rPr>
          <w:iCs/>
          <w:sz w:val="22"/>
          <w:szCs w:val="22"/>
        </w:rPr>
        <w:t xml:space="preserve">My PhD was multidisciplinary, and I gained experience </w:t>
      </w:r>
      <w:r w:rsidR="00A25D83">
        <w:rPr>
          <w:iCs/>
          <w:sz w:val="22"/>
          <w:szCs w:val="22"/>
        </w:rPr>
        <w:t xml:space="preserve">using </w:t>
      </w:r>
      <w:r w:rsidR="00744DE5">
        <w:rPr>
          <w:iCs/>
          <w:sz w:val="22"/>
          <w:szCs w:val="22"/>
        </w:rPr>
        <w:t xml:space="preserve">biochemical and biophysical tools. </w:t>
      </w:r>
      <w:r w:rsidR="00B852C0">
        <w:rPr>
          <w:iCs/>
          <w:sz w:val="22"/>
          <w:szCs w:val="22"/>
        </w:rPr>
        <w:t>Initially</w:t>
      </w:r>
      <w:r w:rsidRPr="0057728E" w:rsidR="00FB36F5">
        <w:rPr>
          <w:iCs/>
          <w:sz w:val="22"/>
          <w:szCs w:val="22"/>
        </w:rPr>
        <w:t>, I worked on HRG-3 (</w:t>
      </w:r>
      <w:r w:rsidRPr="0057728E" w:rsidR="00FB36F5">
        <w:rPr>
          <w:iCs/>
          <w:sz w:val="22"/>
          <w:szCs w:val="22"/>
        </w:rPr>
        <w:t>heme</w:t>
      </w:r>
      <w:r w:rsidRPr="0057728E" w:rsidR="00FB36F5">
        <w:rPr>
          <w:iCs/>
          <w:sz w:val="22"/>
          <w:szCs w:val="22"/>
        </w:rPr>
        <w:t xml:space="preserve"> chaperon in </w:t>
      </w:r>
      <w:r w:rsidRPr="00744DE5" w:rsidR="00744DE5">
        <w:rPr>
          <w:i/>
          <w:sz w:val="22"/>
          <w:szCs w:val="22"/>
        </w:rPr>
        <w:t>E</w:t>
      </w:r>
      <w:r w:rsidRPr="00744DE5" w:rsidR="00FB36F5">
        <w:rPr>
          <w:i/>
          <w:sz w:val="22"/>
          <w:szCs w:val="22"/>
        </w:rPr>
        <w:t>.</w:t>
      </w:r>
      <w:r w:rsidRPr="00744DE5" w:rsidR="00744DE5">
        <w:rPr>
          <w:i/>
          <w:sz w:val="22"/>
          <w:szCs w:val="22"/>
        </w:rPr>
        <w:t>C</w:t>
      </w:r>
      <w:r w:rsidRPr="00744DE5" w:rsidR="00FB36F5">
        <w:rPr>
          <w:i/>
          <w:sz w:val="22"/>
          <w:szCs w:val="22"/>
        </w:rPr>
        <w:t>oli</w:t>
      </w:r>
      <w:r w:rsidRPr="0057728E" w:rsidR="00FB36F5">
        <w:rPr>
          <w:iCs/>
          <w:sz w:val="22"/>
          <w:szCs w:val="22"/>
        </w:rPr>
        <w:t xml:space="preserve">) expression and purification, </w:t>
      </w:r>
      <w:r w:rsidRPr="0057728E" w:rsidR="00697170">
        <w:rPr>
          <w:iCs/>
          <w:sz w:val="22"/>
          <w:szCs w:val="22"/>
        </w:rPr>
        <w:t xml:space="preserve">gaining experience </w:t>
      </w:r>
      <w:r w:rsidR="00B852C0">
        <w:rPr>
          <w:iCs/>
          <w:sz w:val="22"/>
          <w:szCs w:val="22"/>
        </w:rPr>
        <w:t>using</w:t>
      </w:r>
      <w:r w:rsidRPr="0057728E" w:rsidR="00B852C0">
        <w:rPr>
          <w:iCs/>
          <w:sz w:val="22"/>
          <w:szCs w:val="22"/>
        </w:rPr>
        <w:t xml:space="preserve"> </w:t>
      </w:r>
      <w:r w:rsidRPr="0057728E" w:rsidR="00697170">
        <w:rPr>
          <w:iCs/>
          <w:sz w:val="22"/>
          <w:szCs w:val="22"/>
        </w:rPr>
        <w:t xml:space="preserve">various biological methods. </w:t>
      </w:r>
      <w:r w:rsidR="00B852C0">
        <w:rPr>
          <w:iCs/>
          <w:sz w:val="22"/>
          <w:szCs w:val="22"/>
        </w:rPr>
        <w:t xml:space="preserve">Subsequently, </w:t>
      </w:r>
      <w:r w:rsidRPr="0057728E" w:rsidR="00697170">
        <w:rPr>
          <w:iCs/>
          <w:sz w:val="22"/>
          <w:szCs w:val="22"/>
        </w:rPr>
        <w:t>I performed various EPR measurements (for native and spin-labelled protein</w:t>
      </w:r>
      <w:r w:rsidR="00B852C0">
        <w:rPr>
          <w:iCs/>
          <w:sz w:val="22"/>
          <w:szCs w:val="22"/>
        </w:rPr>
        <w:t>s</w:t>
      </w:r>
      <w:r w:rsidRPr="0057728E" w:rsidR="00697170">
        <w:rPr>
          <w:iCs/>
          <w:sz w:val="22"/>
          <w:szCs w:val="22"/>
        </w:rPr>
        <w:t xml:space="preserve">), as well as CD measurements. </w:t>
      </w:r>
      <w:r w:rsidR="00CD2DE5">
        <w:rPr>
          <w:iCs/>
          <w:sz w:val="22"/>
          <w:szCs w:val="22"/>
        </w:rPr>
        <w:t>Another project</w:t>
      </w:r>
      <w:r w:rsidRPr="0057728E" w:rsidR="0045463C">
        <w:rPr>
          <w:iCs/>
          <w:sz w:val="22"/>
          <w:szCs w:val="22"/>
        </w:rPr>
        <w:t xml:space="preserve"> </w:t>
      </w:r>
      <w:r w:rsidR="00CD2DE5">
        <w:rPr>
          <w:iCs/>
          <w:sz w:val="22"/>
          <w:szCs w:val="22"/>
        </w:rPr>
        <w:t>that</w:t>
      </w:r>
      <w:r w:rsidRPr="0057728E" w:rsidR="0045463C">
        <w:rPr>
          <w:iCs/>
          <w:sz w:val="22"/>
          <w:szCs w:val="22"/>
        </w:rPr>
        <w:t xml:space="preserve"> I took part in involved peptides synthesis and purification, based on the extracellular domain of human copper transporter Ctr1. In parallel to </w:t>
      </w:r>
      <w:r w:rsidR="00B852C0">
        <w:rPr>
          <w:iCs/>
          <w:sz w:val="22"/>
          <w:szCs w:val="22"/>
        </w:rPr>
        <w:t xml:space="preserve">the </w:t>
      </w:r>
      <w:r w:rsidRPr="0057728E" w:rsidR="0045463C">
        <w:rPr>
          <w:iCs/>
          <w:sz w:val="22"/>
          <w:szCs w:val="22"/>
        </w:rPr>
        <w:t xml:space="preserve">biological projects, I also participated in two projects relevant to coal. In the first one, </w:t>
      </w:r>
      <w:r w:rsidR="00CD2DE5">
        <w:rPr>
          <w:iCs/>
          <w:sz w:val="22"/>
          <w:szCs w:val="22"/>
        </w:rPr>
        <w:t xml:space="preserve">I </w:t>
      </w:r>
      <w:r w:rsidRPr="0057728E" w:rsidR="0045463C">
        <w:rPr>
          <w:iCs/>
          <w:sz w:val="22"/>
          <w:szCs w:val="22"/>
        </w:rPr>
        <w:t>used EPR to track the surface properties of graphene oxide (GO) and reduced graphene oxide (</w:t>
      </w:r>
      <w:r w:rsidRPr="0057728E" w:rsidR="0045463C">
        <w:rPr>
          <w:iCs/>
          <w:sz w:val="22"/>
          <w:szCs w:val="22"/>
        </w:rPr>
        <w:t>rGO</w:t>
      </w:r>
      <w:r w:rsidRPr="0057728E" w:rsidR="0045463C">
        <w:rPr>
          <w:iCs/>
          <w:sz w:val="22"/>
          <w:szCs w:val="22"/>
        </w:rPr>
        <w:t xml:space="preserve">), while the second required EPR and BET measurements to characterize and better understand the </w:t>
      </w:r>
      <w:r w:rsidRPr="0057728E" w:rsidR="0057728E">
        <w:rPr>
          <w:iCs/>
          <w:sz w:val="22"/>
          <w:szCs w:val="22"/>
        </w:rPr>
        <w:t>structure of organometallic complexes inserted into carbon pores.</w:t>
      </w:r>
    </w:p>
    <w:p w:rsidR="006832D1" w:rsidP="008E7287" w14:paraId="31C2DEDD" w14:textId="37938E35">
      <w:pPr>
        <w:bidi w:val="0"/>
        <w:spacing w:line="276" w:lineRule="auto"/>
        <w:ind w:firstLine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Following completion of my PhD, </w:t>
      </w:r>
      <w:r>
        <w:rPr>
          <w:iCs/>
          <w:sz w:val="22"/>
          <w:szCs w:val="22"/>
        </w:rPr>
        <w:t xml:space="preserve">I </w:t>
      </w:r>
      <w:r>
        <w:rPr>
          <w:iCs/>
          <w:sz w:val="22"/>
          <w:szCs w:val="22"/>
        </w:rPr>
        <w:t xml:space="preserve">gained </w:t>
      </w:r>
      <w:r>
        <w:rPr>
          <w:iCs/>
          <w:sz w:val="22"/>
          <w:szCs w:val="22"/>
        </w:rPr>
        <w:t xml:space="preserve">experience </w:t>
      </w:r>
      <w:r>
        <w:rPr>
          <w:iCs/>
          <w:sz w:val="22"/>
          <w:szCs w:val="22"/>
        </w:rPr>
        <w:t xml:space="preserve">in </w:t>
      </w:r>
      <w:r>
        <w:rPr>
          <w:iCs/>
          <w:sz w:val="22"/>
          <w:szCs w:val="22"/>
        </w:rPr>
        <w:t xml:space="preserve">computational chemistry </w:t>
      </w:r>
      <w:r>
        <w:rPr>
          <w:iCs/>
          <w:sz w:val="22"/>
          <w:szCs w:val="22"/>
        </w:rPr>
        <w:t xml:space="preserve">in </w:t>
      </w:r>
      <w:r>
        <w:rPr>
          <w:iCs/>
          <w:sz w:val="22"/>
          <w:szCs w:val="22"/>
        </w:rPr>
        <w:t xml:space="preserve">Prof. Dan </w:t>
      </w:r>
      <w:r>
        <w:rPr>
          <w:iCs/>
          <w:sz w:val="22"/>
          <w:szCs w:val="22"/>
        </w:rPr>
        <w:t xml:space="preserve">Major's </w:t>
      </w:r>
      <w:r>
        <w:rPr>
          <w:iCs/>
          <w:sz w:val="22"/>
          <w:szCs w:val="22"/>
        </w:rPr>
        <w:t xml:space="preserve">group </w:t>
      </w:r>
      <w:r w:rsidRPr="0057728E">
        <w:rPr>
          <w:iCs/>
          <w:sz w:val="22"/>
          <w:szCs w:val="22"/>
        </w:rPr>
        <w:t>(Dep. of Chemistry, Bar-</w:t>
      </w:r>
      <w:r w:rsidRPr="0057728E">
        <w:rPr>
          <w:iCs/>
          <w:sz w:val="22"/>
          <w:szCs w:val="22"/>
        </w:rPr>
        <w:t>Ilan</w:t>
      </w:r>
      <w:r w:rsidRPr="0057728E">
        <w:rPr>
          <w:iCs/>
          <w:sz w:val="22"/>
          <w:szCs w:val="22"/>
        </w:rPr>
        <w:t xml:space="preserve"> University)</w:t>
      </w:r>
      <w:r>
        <w:rPr>
          <w:iCs/>
          <w:sz w:val="22"/>
          <w:szCs w:val="22"/>
        </w:rPr>
        <w:t xml:space="preserve">. Using the CHARMM </w:t>
      </w:r>
      <w:r w:rsidR="004129B4">
        <w:rPr>
          <w:iCs/>
          <w:sz w:val="22"/>
          <w:szCs w:val="22"/>
        </w:rPr>
        <w:t xml:space="preserve">and Q-Chem </w:t>
      </w:r>
      <w:r>
        <w:rPr>
          <w:iCs/>
          <w:sz w:val="22"/>
          <w:szCs w:val="22"/>
        </w:rPr>
        <w:t>program</w:t>
      </w:r>
      <w:r w:rsidR="004129B4">
        <w:rPr>
          <w:iCs/>
          <w:sz w:val="22"/>
          <w:szCs w:val="22"/>
        </w:rPr>
        <w:t>s</w:t>
      </w:r>
      <w:r>
        <w:rPr>
          <w:iCs/>
          <w:sz w:val="22"/>
          <w:szCs w:val="22"/>
        </w:rPr>
        <w:t xml:space="preserve"> I perform</w:t>
      </w:r>
      <w:r w:rsidR="004129B4">
        <w:rPr>
          <w:iCs/>
          <w:sz w:val="22"/>
          <w:szCs w:val="22"/>
        </w:rPr>
        <w:t>ed</w:t>
      </w:r>
      <w:r>
        <w:rPr>
          <w:iCs/>
          <w:sz w:val="22"/>
          <w:szCs w:val="22"/>
        </w:rPr>
        <w:t xml:space="preserve"> </w:t>
      </w:r>
      <w:r w:rsidR="004129B4">
        <w:rPr>
          <w:iCs/>
          <w:sz w:val="22"/>
          <w:szCs w:val="22"/>
        </w:rPr>
        <w:t xml:space="preserve">multiscale modeling </w:t>
      </w:r>
      <w:r>
        <w:rPr>
          <w:iCs/>
          <w:sz w:val="22"/>
          <w:szCs w:val="22"/>
        </w:rPr>
        <w:t>to explore the copper binding mode(s) and copper transfer mechanism in Atox1 (human copper chaperone)</w:t>
      </w:r>
      <w:r w:rsidR="004129B4">
        <w:rPr>
          <w:iCs/>
          <w:sz w:val="22"/>
          <w:szCs w:val="22"/>
        </w:rPr>
        <w:t>. To this end, I</w:t>
      </w:r>
      <w:r>
        <w:rPr>
          <w:iCs/>
          <w:sz w:val="22"/>
          <w:szCs w:val="22"/>
        </w:rPr>
        <w:t xml:space="preserve"> </w:t>
      </w:r>
      <w:r w:rsidR="004129B4">
        <w:rPr>
          <w:iCs/>
          <w:sz w:val="22"/>
          <w:szCs w:val="22"/>
        </w:rPr>
        <w:t xml:space="preserve">used </w:t>
      </w:r>
      <w:r>
        <w:rPr>
          <w:iCs/>
          <w:sz w:val="22"/>
          <w:szCs w:val="22"/>
        </w:rPr>
        <w:t>various computational methods (M</w:t>
      </w:r>
      <w:r w:rsidR="004129B4">
        <w:rPr>
          <w:iCs/>
          <w:sz w:val="22"/>
          <w:szCs w:val="22"/>
        </w:rPr>
        <w:t>olecular dynamics simulations with enhanced sampling techniques</w:t>
      </w:r>
      <w:r>
        <w:rPr>
          <w:iCs/>
          <w:sz w:val="22"/>
          <w:szCs w:val="22"/>
        </w:rPr>
        <w:t>)</w:t>
      </w:r>
      <w:r w:rsidR="004129B4">
        <w:rPr>
          <w:iCs/>
          <w:sz w:val="22"/>
          <w:szCs w:val="22"/>
        </w:rPr>
        <w:t>.</w:t>
      </w:r>
    </w:p>
    <w:p w:rsidR="006832D1" w:rsidRPr="00C40EB0" w:rsidP="00C40EB0" w14:paraId="1BEC8DF1" w14:textId="77777777">
      <w:pPr>
        <w:bidi w:val="0"/>
        <w:spacing w:line="276" w:lineRule="auto"/>
        <w:jc w:val="both"/>
        <w:rPr>
          <w:iCs/>
          <w:sz w:val="22"/>
          <w:szCs w:val="22"/>
        </w:rPr>
      </w:pPr>
      <w:r w:rsidRPr="0057728E">
        <w:rPr>
          <w:iCs/>
          <w:sz w:val="22"/>
          <w:szCs w:val="22"/>
        </w:rPr>
        <w:t xml:space="preserve">I am a highly motivated, organized and </w:t>
      </w:r>
      <w:r>
        <w:rPr>
          <w:iCs/>
          <w:sz w:val="22"/>
          <w:szCs w:val="22"/>
        </w:rPr>
        <w:t>fast-learning</w:t>
      </w:r>
      <w:r w:rsidRPr="0057728E">
        <w:rPr>
          <w:iCs/>
          <w:sz w:val="22"/>
          <w:szCs w:val="22"/>
        </w:rPr>
        <w:t xml:space="preserve"> professional</w:t>
      </w:r>
      <w:r w:rsidRPr="0057728E">
        <w:rPr>
          <w:sz w:val="22"/>
          <w:szCs w:val="22"/>
        </w:rPr>
        <w:t>.</w:t>
      </w:r>
      <w:r w:rsidRPr="0057728E">
        <w:rPr>
          <w:iCs/>
          <w:sz w:val="22"/>
          <w:szCs w:val="22"/>
        </w:rPr>
        <w:t xml:space="preserve"> I am currently looking for an entry-level opportunity to use my skills and education</w:t>
      </w:r>
      <w:r w:rsidRPr="0057728E">
        <w:rPr>
          <w:i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Y="387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5"/>
        <w:gridCol w:w="6873"/>
      </w:tblGrid>
      <w:tr w14:paraId="01D0FB9F" w14:textId="77777777" w:rsidTr="00C40A62">
        <w:tblPrEx>
          <w:tblW w:w="95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58" w:type="dxa"/>
            <w:gridSpan w:val="2"/>
          </w:tcPr>
          <w:p w:rsidR="005658C0" w:rsidRPr="006832D1" w:rsidP="005658C0" w14:paraId="5D0E1F3B" w14:textId="77777777">
            <w:pPr>
              <w:pBdr>
                <w:bottom w:val="single" w:sz="4" w:space="1" w:color="auto"/>
              </w:pBdr>
              <w:tabs>
                <w:tab w:val="right" w:pos="1094"/>
              </w:tabs>
              <w:bidi w:val="0"/>
              <w:spacing w:line="276" w:lineRule="auto"/>
              <w:rPr>
                <w:b/>
                <w:bCs/>
                <w:color w:val="92CDDC" w:themeColor="accent5" w:themeTint="99"/>
                <w:sz w:val="22"/>
                <w:szCs w:val="22"/>
              </w:rPr>
            </w:pPr>
            <w:r w:rsidRPr="00567CC4">
              <w:rPr>
                <w:b/>
                <w:bCs/>
                <w:color w:val="92CDDC" w:themeColor="accent5" w:themeTint="99"/>
                <w:sz w:val="22"/>
                <w:szCs w:val="22"/>
              </w:rPr>
              <w:t>Education</w:t>
            </w:r>
            <w:r>
              <w:rPr>
                <w:iCs/>
                <w:sz w:val="22"/>
                <w:szCs w:val="22"/>
              </w:rPr>
              <w:tab/>
            </w:r>
          </w:p>
        </w:tc>
      </w:tr>
      <w:tr w14:paraId="7F017BD7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4951A66D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</w:t>
            </w:r>
            <w:r w:rsidRPr="0057728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 now                       </w:t>
            </w:r>
          </w:p>
        </w:tc>
        <w:tc>
          <w:tcPr>
            <w:tcW w:w="6873" w:type="dxa"/>
          </w:tcPr>
          <w:p w:rsidR="005658C0" w:rsidP="005658C0" w14:paraId="5C6A8F1F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Postdoctoral fellow, Computational Chemistry, Bar </w:t>
            </w:r>
            <w:r>
              <w:rPr>
                <w:sz w:val="22"/>
                <w:szCs w:val="22"/>
              </w:rPr>
              <w:t>Ilan</w:t>
            </w:r>
            <w:r>
              <w:rPr>
                <w:sz w:val="22"/>
                <w:szCs w:val="22"/>
              </w:rPr>
              <w:t xml:space="preserve"> University</w:t>
            </w:r>
          </w:p>
        </w:tc>
      </w:tr>
      <w:tr w14:paraId="6287808A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76F8D04D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7728E">
              <w:rPr>
                <w:sz w:val="22"/>
                <w:szCs w:val="22"/>
              </w:rPr>
              <w:t>2013</w:t>
            </w:r>
            <w:r w:rsidRPr="0057728E">
              <w:rPr>
                <w:sz w:val="22"/>
                <w:szCs w:val="22"/>
              </w:rPr>
              <w:softHyphen/>
              <w:t xml:space="preserve"> –</w:t>
            </w:r>
            <w:r>
              <w:rPr>
                <w:sz w:val="22"/>
                <w:szCs w:val="22"/>
              </w:rPr>
              <w:t xml:space="preserve"> 2017</w:t>
            </w:r>
            <w:r w:rsidRPr="0057728E">
              <w:rPr>
                <w:sz w:val="22"/>
                <w:szCs w:val="22"/>
              </w:rPr>
              <w:t xml:space="preserve">             </w:t>
            </w:r>
            <w:r w:rsidRPr="0057728E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3" w:type="dxa"/>
          </w:tcPr>
          <w:p w:rsidR="005658C0" w:rsidRPr="002B7AA1" w:rsidP="005658C0" w14:paraId="425C1B13" w14:textId="77777777">
            <w:pPr>
              <w:tabs>
                <w:tab w:val="right" w:pos="2410"/>
              </w:tabs>
              <w:bidi w:val="0"/>
              <w:spacing w:line="276" w:lineRule="auto"/>
              <w:ind w:left="1987" w:hanging="1987"/>
              <w:jc w:val="both"/>
              <w:rPr>
                <w:sz w:val="22"/>
                <w:szCs w:val="22"/>
              </w:rPr>
            </w:pPr>
            <w:r w:rsidRPr="0057728E">
              <w:rPr>
                <w:sz w:val="22"/>
                <w:szCs w:val="22"/>
              </w:rPr>
              <w:t>Ph.D. candidate in Biophysical Chemistry, Bar-</w:t>
            </w:r>
            <w:r w:rsidRPr="0057728E">
              <w:rPr>
                <w:sz w:val="22"/>
                <w:szCs w:val="22"/>
              </w:rPr>
              <w:t>Ilan</w:t>
            </w:r>
            <w:r w:rsidRPr="0057728E">
              <w:rPr>
                <w:sz w:val="22"/>
                <w:szCs w:val="22"/>
              </w:rPr>
              <w:t xml:space="preserve"> University </w:t>
            </w:r>
          </w:p>
        </w:tc>
      </w:tr>
      <w:tr w14:paraId="43043111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035B29C5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7728E">
              <w:rPr>
                <w:sz w:val="22"/>
                <w:szCs w:val="22"/>
              </w:rPr>
              <w:t>2010 – 2013</w:t>
            </w:r>
            <w:r w:rsidRPr="0057728E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6873" w:type="dxa"/>
          </w:tcPr>
          <w:p w:rsidR="005658C0" w:rsidRPr="002B7AA1" w:rsidP="005658C0" w14:paraId="5B5E12CD" w14:textId="77777777">
            <w:pPr>
              <w:tabs>
                <w:tab w:val="right" w:pos="2410"/>
              </w:tabs>
              <w:bidi w:val="0"/>
              <w:spacing w:line="276" w:lineRule="auto"/>
              <w:ind w:left="1987" w:hanging="1987"/>
              <w:jc w:val="both"/>
              <w:rPr>
                <w:sz w:val="22"/>
                <w:szCs w:val="22"/>
              </w:rPr>
            </w:pPr>
            <w:r w:rsidRPr="0057728E">
              <w:rPr>
                <w:sz w:val="22"/>
                <w:szCs w:val="22"/>
              </w:rPr>
              <w:t>M.Sc.</w:t>
            </w:r>
            <w:r w:rsidRPr="0057728E">
              <w:rPr>
                <w:b/>
                <w:bCs/>
                <w:sz w:val="22"/>
                <w:szCs w:val="22"/>
              </w:rPr>
              <w:t xml:space="preserve"> </w:t>
            </w:r>
            <w:r w:rsidRPr="0057728E">
              <w:rPr>
                <w:sz w:val="22"/>
                <w:szCs w:val="22"/>
              </w:rPr>
              <w:t>in Biomimetic Chemistry, Bar-</w:t>
            </w:r>
            <w:r w:rsidRPr="0057728E">
              <w:rPr>
                <w:sz w:val="22"/>
                <w:szCs w:val="22"/>
              </w:rPr>
              <w:t>Ilan</w:t>
            </w:r>
            <w:r w:rsidRPr="0057728E">
              <w:rPr>
                <w:sz w:val="22"/>
                <w:szCs w:val="22"/>
              </w:rPr>
              <w:t xml:space="preserve"> University</w:t>
            </w:r>
          </w:p>
        </w:tc>
      </w:tr>
      <w:tr w14:paraId="5C1CA54C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12DB36EA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7728E">
              <w:rPr>
                <w:sz w:val="22"/>
                <w:szCs w:val="22"/>
              </w:rPr>
              <w:t>200</w:t>
            </w:r>
            <w:r w:rsidRPr="0057728E">
              <w:rPr>
                <w:rFonts w:hint="cs"/>
                <w:sz w:val="22"/>
                <w:szCs w:val="22"/>
                <w:rtl/>
              </w:rPr>
              <w:t>7</w:t>
            </w:r>
            <w:r w:rsidRPr="0057728E">
              <w:rPr>
                <w:sz w:val="22"/>
                <w:szCs w:val="22"/>
              </w:rPr>
              <w:t xml:space="preserve"> – 2010            </w:t>
            </w:r>
          </w:p>
        </w:tc>
        <w:tc>
          <w:tcPr>
            <w:tcW w:w="6873" w:type="dxa"/>
          </w:tcPr>
          <w:p w:rsidR="005658C0" w:rsidP="00C40EB0" w14:paraId="7ED66B66" w14:textId="77777777">
            <w:pPr>
              <w:tabs>
                <w:tab w:val="right" w:pos="2127"/>
              </w:tabs>
              <w:bidi w:val="0"/>
              <w:spacing w:line="276" w:lineRule="auto"/>
              <w:jc w:val="both"/>
              <w:rPr>
                <w:sz w:val="22"/>
                <w:szCs w:val="22"/>
              </w:rPr>
            </w:pPr>
            <w:r w:rsidRPr="0057728E">
              <w:rPr>
                <w:b/>
                <w:bCs/>
                <w:sz w:val="22"/>
                <w:szCs w:val="22"/>
              </w:rPr>
              <w:tab/>
            </w:r>
            <w:r w:rsidRPr="0057728E">
              <w:rPr>
                <w:sz w:val="22"/>
                <w:szCs w:val="22"/>
              </w:rPr>
              <w:t>B.Sc. in Medicinal Chemistry, Bar-</w:t>
            </w:r>
            <w:r w:rsidRPr="0057728E">
              <w:rPr>
                <w:sz w:val="22"/>
                <w:szCs w:val="22"/>
              </w:rPr>
              <w:t>Ilan</w:t>
            </w:r>
            <w:r w:rsidRPr="0057728E">
              <w:rPr>
                <w:sz w:val="22"/>
                <w:szCs w:val="22"/>
              </w:rPr>
              <w:t xml:space="preserve"> University</w:t>
            </w:r>
          </w:p>
          <w:p w:rsidR="00C40EB0" w:rsidRPr="002B7AA1" w:rsidP="00C40EB0" w14:paraId="02E31155" w14:textId="77777777">
            <w:pPr>
              <w:tabs>
                <w:tab w:val="right" w:pos="2127"/>
              </w:tabs>
              <w:bidi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14:paraId="1F8537BD" w14:textId="77777777" w:rsidTr="00C40A62">
        <w:tblPrEx>
          <w:tblW w:w="9558" w:type="dxa"/>
          <w:tblLook w:val="04A0"/>
        </w:tblPrEx>
        <w:tc>
          <w:tcPr>
            <w:tcW w:w="9558" w:type="dxa"/>
            <w:gridSpan w:val="2"/>
          </w:tcPr>
          <w:p w:rsidR="005658C0" w:rsidRPr="006832D1" w:rsidP="005658C0" w14:paraId="51FE3006" w14:textId="77777777">
            <w:pPr>
              <w:pBdr>
                <w:bottom w:val="single" w:sz="4" w:space="1" w:color="auto"/>
              </w:pBdr>
              <w:tabs>
                <w:tab w:val="right" w:pos="1094"/>
              </w:tabs>
              <w:bidi w:val="0"/>
              <w:spacing w:line="276" w:lineRule="auto"/>
              <w:rPr>
                <w:b/>
                <w:bCs/>
                <w:color w:val="92CDDC" w:themeColor="accent5" w:themeTint="99"/>
                <w:sz w:val="22"/>
                <w:szCs w:val="22"/>
              </w:rPr>
            </w:pPr>
            <w:r>
              <w:rPr>
                <w:b/>
                <w:bCs/>
                <w:color w:val="92CDDC" w:themeColor="accent5" w:themeTint="99"/>
                <w:sz w:val="22"/>
                <w:szCs w:val="22"/>
              </w:rPr>
              <w:t>Volunteering and social involvement</w:t>
            </w:r>
            <w:r>
              <w:rPr>
                <w:iCs/>
                <w:sz w:val="22"/>
                <w:szCs w:val="22"/>
              </w:rPr>
              <w:tab/>
            </w:r>
          </w:p>
        </w:tc>
      </w:tr>
      <w:tr w14:paraId="251E5896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54B8142B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2016 </w:t>
            </w:r>
            <w:r w:rsidRPr="0057728E">
              <w:rPr>
                <w:rFonts w:asciiTheme="majorBidi" w:hAnsiTheme="majorBidi" w:cstheme="majorBidi"/>
                <w:sz w:val="22"/>
                <w:szCs w:val="22"/>
              </w:rPr>
              <w:t xml:space="preserve">–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2017             </w:t>
            </w:r>
          </w:p>
        </w:tc>
        <w:tc>
          <w:tcPr>
            <w:tcW w:w="6873" w:type="dxa"/>
          </w:tcPr>
          <w:p w:rsidR="005658C0" w:rsidRPr="006832D1" w:rsidP="005658C0" w14:paraId="34EA8C8A" w14:textId="77777777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Volunteering as a t</w:t>
            </w:r>
            <w:r w:rsidRPr="0057728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eaching assistant</w:t>
            </w: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in chemistry class, Bar-</w:t>
            </w: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Ilan</w:t>
            </w: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high school, Netanya</w:t>
            </w:r>
          </w:p>
        </w:tc>
      </w:tr>
      <w:tr w14:paraId="6ACB18A4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18392CCA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7728E">
              <w:rPr>
                <w:rFonts w:asciiTheme="majorBidi" w:hAnsiTheme="majorBidi" w:cstheme="majorBidi"/>
                <w:sz w:val="22"/>
                <w:szCs w:val="22"/>
              </w:rPr>
              <w:t xml:space="preserve">2008 – 2009             </w:t>
            </w:r>
          </w:p>
        </w:tc>
        <w:tc>
          <w:tcPr>
            <w:tcW w:w="6873" w:type="dxa"/>
          </w:tcPr>
          <w:p w:rsidR="005658C0" w:rsidRPr="005658C0" w:rsidP="005658C0" w14:paraId="647800FF" w14:textId="77777777">
            <w:pPr>
              <w:pStyle w:val="Heading1"/>
              <w:shd w:val="clear" w:color="auto" w:fill="FFFFFF"/>
              <w:spacing w:before="0" w:beforeAutospacing="0" w:after="225" w:afterAutospacing="0"/>
              <w:textAlignment w:val="baseline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57728E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 xml:space="preserve">Tutor in </w:t>
            </w:r>
            <w:r w:rsidRPr="0057728E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Perach</w:t>
            </w:r>
            <w:r w:rsidRPr="0057728E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 xml:space="preserve"> Tutorial Project</w:t>
            </w:r>
          </w:p>
        </w:tc>
      </w:tr>
      <w:tr w14:paraId="3B6FA4D2" w14:textId="77777777" w:rsidTr="00C40A62">
        <w:tblPrEx>
          <w:tblW w:w="9558" w:type="dxa"/>
          <w:tblLook w:val="04A0"/>
        </w:tblPrEx>
        <w:tc>
          <w:tcPr>
            <w:tcW w:w="9558" w:type="dxa"/>
            <w:gridSpan w:val="2"/>
          </w:tcPr>
          <w:p w:rsidR="005658C0" w:rsidRPr="006832D1" w:rsidP="005658C0" w14:paraId="0C7D3BE6" w14:textId="77777777">
            <w:pPr>
              <w:pBdr>
                <w:bottom w:val="single" w:sz="4" w:space="1" w:color="auto"/>
              </w:pBdr>
              <w:spacing w:line="276" w:lineRule="auto"/>
              <w:ind w:left="1987" w:hanging="1987"/>
              <w:jc w:val="right"/>
              <w:rPr>
                <w:b/>
                <w:bCs/>
                <w:color w:val="92CDDC" w:themeColor="accent5" w:themeTint="99"/>
                <w:sz w:val="22"/>
                <w:szCs w:val="22"/>
              </w:rPr>
            </w:pPr>
            <w:r w:rsidRPr="00567CC4">
              <w:rPr>
                <w:b/>
                <w:bCs/>
                <w:color w:val="92CDDC" w:themeColor="accent5" w:themeTint="99"/>
                <w:sz w:val="22"/>
                <w:szCs w:val="22"/>
              </w:rPr>
              <w:t>National service</w:t>
            </w:r>
          </w:p>
        </w:tc>
      </w:tr>
      <w:tr w14:paraId="4CE36C5D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4512E3F5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7728E">
              <w:rPr>
                <w:sz w:val="22"/>
                <w:szCs w:val="22"/>
              </w:rPr>
              <w:t>2006 – 2007</w:t>
            </w:r>
          </w:p>
        </w:tc>
        <w:tc>
          <w:tcPr>
            <w:tcW w:w="6873" w:type="dxa"/>
          </w:tcPr>
          <w:p w:rsidR="005658C0" w:rsidP="005658C0" w14:paraId="00BFF56A" w14:textId="77777777">
            <w:pPr>
              <w:bidi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Representative, accounting department, </w:t>
            </w:r>
            <w:r w:rsidRPr="0057728E">
              <w:rPr>
                <w:sz w:val="22"/>
                <w:szCs w:val="22"/>
              </w:rPr>
              <w:t>Clalit</w:t>
            </w:r>
            <w:r w:rsidRPr="0057728E">
              <w:rPr>
                <w:sz w:val="22"/>
                <w:szCs w:val="22"/>
              </w:rPr>
              <w:t xml:space="preserve"> Health-Care</w:t>
            </w:r>
          </w:p>
          <w:p w:rsidR="005658C0" w:rsidRPr="002B7AA1" w:rsidP="005658C0" w14:paraId="5F369AF4" w14:textId="77777777">
            <w:pPr>
              <w:bidi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14:paraId="4A6B757B" w14:textId="77777777" w:rsidTr="00C40A62">
        <w:tblPrEx>
          <w:tblW w:w="9558" w:type="dxa"/>
          <w:tblLook w:val="04A0"/>
        </w:tblPrEx>
        <w:tc>
          <w:tcPr>
            <w:tcW w:w="9558" w:type="dxa"/>
            <w:gridSpan w:val="2"/>
          </w:tcPr>
          <w:p w:rsidR="005658C0" w:rsidRPr="006832D1" w:rsidP="005658C0" w14:paraId="4BC11C67" w14:textId="77777777">
            <w:pPr>
              <w:pBdr>
                <w:bottom w:val="single" w:sz="4" w:space="1" w:color="auto"/>
              </w:pBdr>
              <w:spacing w:line="276" w:lineRule="auto"/>
              <w:ind w:left="1987" w:hanging="1987"/>
              <w:jc w:val="right"/>
              <w:rPr>
                <w:b/>
                <w:bCs/>
                <w:color w:val="92CDDC" w:themeColor="accent5" w:themeTint="99"/>
                <w:sz w:val="22"/>
                <w:szCs w:val="22"/>
              </w:rPr>
            </w:pPr>
            <w:r w:rsidRPr="00567CC4">
              <w:rPr>
                <w:b/>
                <w:bCs/>
                <w:color w:val="92CDDC" w:themeColor="accent5" w:themeTint="99"/>
                <w:sz w:val="22"/>
                <w:szCs w:val="22"/>
              </w:rPr>
              <w:t>Scholarship</w:t>
            </w:r>
          </w:p>
        </w:tc>
      </w:tr>
      <w:tr w14:paraId="052D0680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1786D643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2012 –</w:t>
            </w:r>
            <w:r w:rsidRPr="005772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6873" w:type="dxa"/>
          </w:tcPr>
          <w:p w:rsidR="005658C0" w:rsidRPr="002B7AA1" w:rsidP="005658C0" w14:paraId="2AD6955E" w14:textId="77777777">
            <w:pPr>
              <w:bidi w:val="0"/>
              <w:spacing w:line="276" w:lineRule="auto"/>
              <w:rPr>
                <w:sz w:val="22"/>
                <w:szCs w:val="22"/>
              </w:rPr>
            </w:pPr>
            <w:r w:rsidRPr="0057728E">
              <w:rPr>
                <w:sz w:val="22"/>
                <w:szCs w:val="22"/>
              </w:rPr>
              <w:t>"</w:t>
            </w:r>
            <w:r w:rsidRPr="0057728E">
              <w:rPr>
                <w:sz w:val="22"/>
                <w:szCs w:val="22"/>
              </w:rPr>
              <w:t>Hanasi</w:t>
            </w:r>
            <w:r w:rsidRPr="0057728E">
              <w:rPr>
                <w:sz w:val="22"/>
                <w:szCs w:val="22"/>
              </w:rPr>
              <w:t xml:space="preserve"> Scholarship"</w:t>
            </w:r>
          </w:p>
        </w:tc>
      </w:tr>
      <w:tr w14:paraId="6B1F2B54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2B5F1DB0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7728E">
              <w:rPr>
                <w:sz w:val="22"/>
                <w:szCs w:val="22"/>
              </w:rPr>
              <w:t xml:space="preserve">2007 </w:t>
            </w:r>
            <w:r>
              <w:rPr>
                <w:sz w:val="22"/>
                <w:szCs w:val="22"/>
              </w:rPr>
              <w:t>–</w:t>
            </w:r>
            <w:r w:rsidRPr="0057728E">
              <w:rPr>
                <w:sz w:val="22"/>
                <w:szCs w:val="22"/>
              </w:rPr>
              <w:t xml:space="preserve"> 2008</w:t>
            </w: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6873" w:type="dxa"/>
          </w:tcPr>
          <w:p w:rsidR="005658C0" w:rsidP="005658C0" w14:paraId="7B02C3D2" w14:textId="77777777">
            <w:pPr>
              <w:bidi w:val="0"/>
              <w:spacing w:line="276" w:lineRule="auto"/>
              <w:ind w:left="1987" w:hanging="1987"/>
              <w:rPr>
                <w:sz w:val="22"/>
                <w:szCs w:val="22"/>
              </w:rPr>
            </w:pPr>
            <w:r w:rsidRPr="0057728E">
              <w:rPr>
                <w:sz w:val="22"/>
                <w:szCs w:val="22"/>
              </w:rPr>
              <w:t>Rector Scholarship for excellence,</w:t>
            </w:r>
            <w:r w:rsidRPr="0057728E">
              <w:rPr>
                <w:b/>
                <w:bCs/>
                <w:sz w:val="22"/>
                <w:szCs w:val="22"/>
              </w:rPr>
              <w:t xml:space="preserve"> </w:t>
            </w:r>
            <w:r w:rsidRPr="0057728E">
              <w:rPr>
                <w:sz w:val="22"/>
                <w:szCs w:val="22"/>
              </w:rPr>
              <w:t>Bar-</w:t>
            </w:r>
            <w:r w:rsidRPr="0057728E">
              <w:rPr>
                <w:sz w:val="22"/>
                <w:szCs w:val="22"/>
              </w:rPr>
              <w:t>Ilan</w:t>
            </w:r>
            <w:r w:rsidRPr="0057728E">
              <w:rPr>
                <w:sz w:val="22"/>
                <w:szCs w:val="22"/>
              </w:rPr>
              <w:t xml:space="preserve"> University</w:t>
            </w:r>
          </w:p>
          <w:p w:rsidR="00C40EB0" w:rsidP="00C40EB0" w14:paraId="341F5C28" w14:textId="77777777">
            <w:pPr>
              <w:bidi w:val="0"/>
              <w:spacing w:line="276" w:lineRule="auto"/>
              <w:ind w:left="1987" w:hanging="1987"/>
              <w:rPr>
                <w:b/>
                <w:bCs/>
                <w:sz w:val="22"/>
                <w:szCs w:val="22"/>
              </w:rPr>
            </w:pPr>
          </w:p>
          <w:p w:rsidR="005658C0" w:rsidP="005658C0" w14:paraId="321F3097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:rsidR="00C40A62" w:rsidP="00C40A62" w14:paraId="7197E453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</w:tc>
      </w:tr>
      <w:tr w14:paraId="16EA4F6B" w14:textId="77777777" w:rsidTr="00C40A62">
        <w:tblPrEx>
          <w:tblW w:w="9558" w:type="dxa"/>
          <w:tblLook w:val="04A0"/>
        </w:tblPrEx>
        <w:tc>
          <w:tcPr>
            <w:tcW w:w="9558" w:type="dxa"/>
            <w:gridSpan w:val="2"/>
          </w:tcPr>
          <w:p w:rsidR="005658C0" w:rsidRPr="00567CC4" w:rsidP="005658C0" w14:paraId="25CE1401" w14:textId="77777777">
            <w:pPr>
              <w:pBdr>
                <w:bottom w:val="single" w:sz="4" w:space="1" w:color="auto"/>
              </w:pBdr>
              <w:bidi w:val="0"/>
              <w:spacing w:line="276" w:lineRule="auto"/>
              <w:rPr>
                <w:b/>
                <w:bCs/>
                <w:color w:val="92CDDC" w:themeColor="accent5" w:themeTint="99"/>
                <w:sz w:val="22"/>
                <w:szCs w:val="22"/>
              </w:rPr>
            </w:pPr>
            <w:r w:rsidRPr="00567CC4">
              <w:rPr>
                <w:b/>
                <w:bCs/>
                <w:color w:val="92CDDC" w:themeColor="accent5" w:themeTint="99"/>
                <w:sz w:val="22"/>
                <w:szCs w:val="22"/>
              </w:rPr>
              <w:t>Languages</w:t>
            </w:r>
          </w:p>
          <w:p w:rsidR="005658C0" w:rsidP="005658C0" w14:paraId="6DE21FC9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</w:tc>
      </w:tr>
      <w:tr w14:paraId="4AA60BD2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35F576D7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7728E">
              <w:rPr>
                <w:b/>
                <w:bCs/>
                <w:sz w:val="22"/>
                <w:szCs w:val="22"/>
              </w:rPr>
              <w:t>Hebrew</w:t>
            </w:r>
          </w:p>
        </w:tc>
        <w:tc>
          <w:tcPr>
            <w:tcW w:w="6873" w:type="dxa"/>
          </w:tcPr>
          <w:p w:rsidR="005658C0" w:rsidP="005658C0" w14:paraId="24DCEE13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57728E">
              <w:rPr>
                <w:sz w:val="22"/>
                <w:szCs w:val="22"/>
              </w:rPr>
              <w:t>other Tongue</w:t>
            </w:r>
          </w:p>
        </w:tc>
      </w:tr>
      <w:tr w14:paraId="1EC9890C" w14:textId="77777777" w:rsidTr="00C40A62">
        <w:tblPrEx>
          <w:tblW w:w="9558" w:type="dxa"/>
          <w:tblLook w:val="04A0"/>
        </w:tblPrEx>
        <w:tc>
          <w:tcPr>
            <w:tcW w:w="2685" w:type="dxa"/>
          </w:tcPr>
          <w:p w:rsidR="005658C0" w:rsidP="005658C0" w14:paraId="5F20449D" w14:textId="77777777">
            <w:pPr>
              <w:bidi w:val="0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7728E">
              <w:rPr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6873" w:type="dxa"/>
          </w:tcPr>
          <w:p w:rsidR="005658C0" w:rsidRPr="00C40EB0" w:rsidP="00C40EB0" w14:paraId="73F52641" w14:textId="77777777">
            <w:pPr>
              <w:bidi w:val="0"/>
              <w:spacing w:line="276" w:lineRule="auto"/>
              <w:ind w:left="1987" w:hanging="19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57728E">
              <w:rPr>
                <w:sz w:val="22"/>
                <w:szCs w:val="22"/>
              </w:rPr>
              <w:t>igh level of reading, writing, and speaking</w:t>
            </w:r>
          </w:p>
        </w:tc>
      </w:tr>
    </w:tbl>
    <w:p w:rsidR="00C40A62" w:rsidP="00C40A62" w14:paraId="349B4789" w14:textId="77777777">
      <w:pPr>
        <w:pBdr>
          <w:bottom w:val="single" w:sz="4" w:space="1" w:color="auto"/>
        </w:pBdr>
        <w:bidi w:val="0"/>
        <w:spacing w:line="276" w:lineRule="auto"/>
        <w:rPr>
          <w:b/>
          <w:bCs/>
          <w:color w:val="92CDDC" w:themeColor="accent5" w:themeTint="99"/>
          <w:sz w:val="22"/>
          <w:szCs w:val="22"/>
        </w:rPr>
      </w:pPr>
    </w:p>
    <w:p w:rsidR="00C40EB0" w:rsidP="00C40A62" w14:paraId="441412C2" w14:textId="77777777">
      <w:pPr>
        <w:pBdr>
          <w:bottom w:val="single" w:sz="4" w:space="1" w:color="auto"/>
        </w:pBdr>
        <w:bidi w:val="0"/>
        <w:spacing w:line="276" w:lineRule="auto"/>
        <w:rPr>
          <w:sz w:val="22"/>
          <w:szCs w:val="22"/>
        </w:rPr>
      </w:pPr>
      <w:r w:rsidRPr="00C40EB0">
        <w:rPr>
          <w:b/>
          <w:bCs/>
          <w:color w:val="92CDDC" w:themeColor="accent5" w:themeTint="99"/>
          <w:sz w:val="22"/>
          <w:szCs w:val="22"/>
        </w:rPr>
        <w:t>Skills</w:t>
      </w:r>
    </w:p>
    <w:p w:rsidR="00EA70D5" w:rsidRPr="0057728E" w:rsidP="00C40EB0" w14:paraId="1027E4B2" w14:textId="77777777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sz w:val="22"/>
          <w:szCs w:val="22"/>
        </w:rPr>
      </w:pPr>
      <w:r w:rsidRPr="0057728E">
        <w:rPr>
          <w:sz w:val="22"/>
          <w:szCs w:val="22"/>
        </w:rPr>
        <w:t>Experience in peptide synthesis</w:t>
      </w:r>
    </w:p>
    <w:p w:rsidR="00EA70D5" w:rsidRPr="0057728E" w:rsidP="00C40EB0" w14:paraId="657D3FC0" w14:textId="77777777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sz w:val="22"/>
          <w:szCs w:val="22"/>
        </w:rPr>
      </w:pPr>
      <w:r w:rsidRPr="0057728E">
        <w:rPr>
          <w:sz w:val="22"/>
          <w:szCs w:val="22"/>
        </w:rPr>
        <w:t xml:space="preserve">Experience in proteins extraction and purification from </w:t>
      </w:r>
      <w:r w:rsidRPr="0057728E">
        <w:rPr>
          <w:i/>
          <w:iCs/>
          <w:sz w:val="22"/>
          <w:szCs w:val="22"/>
        </w:rPr>
        <w:t>E.Coli</w:t>
      </w:r>
      <w:r w:rsidRPr="0057728E">
        <w:rPr>
          <w:i/>
          <w:iCs/>
          <w:sz w:val="22"/>
          <w:szCs w:val="22"/>
        </w:rPr>
        <w:t xml:space="preserve"> </w:t>
      </w:r>
      <w:r w:rsidRPr="0057728E">
        <w:rPr>
          <w:sz w:val="22"/>
          <w:szCs w:val="22"/>
        </w:rPr>
        <w:t>bacteria</w:t>
      </w:r>
    </w:p>
    <w:p w:rsidR="0064408C" w:rsidP="00C40EB0" w14:paraId="1103A6B5" w14:textId="513EBBC6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sz w:val="22"/>
          <w:szCs w:val="22"/>
        </w:rPr>
      </w:pPr>
      <w:r w:rsidRPr="0057728E">
        <w:rPr>
          <w:sz w:val="22"/>
          <w:szCs w:val="22"/>
        </w:rPr>
        <w:t xml:space="preserve">Operation of HPLC, UV-vis and </w:t>
      </w:r>
      <w:r w:rsidRPr="0057728E" w:rsidR="005175E6">
        <w:rPr>
          <w:sz w:val="22"/>
          <w:szCs w:val="22"/>
        </w:rPr>
        <w:t>Continuous Wave Electron Paramagnetic Resonance (</w:t>
      </w:r>
      <w:r w:rsidRPr="0057728E">
        <w:rPr>
          <w:sz w:val="22"/>
          <w:szCs w:val="22"/>
        </w:rPr>
        <w:t>CW-EPR</w:t>
      </w:r>
      <w:r w:rsidRPr="0057728E" w:rsidR="005175E6">
        <w:rPr>
          <w:sz w:val="22"/>
          <w:szCs w:val="22"/>
        </w:rPr>
        <w:t>)</w:t>
      </w:r>
      <w:r w:rsidR="00E330C1">
        <w:rPr>
          <w:sz w:val="22"/>
          <w:szCs w:val="22"/>
        </w:rPr>
        <w:t>, Circular Dichroism (CD), BET, PCR</w:t>
      </w:r>
      <w:r w:rsidRPr="0057728E">
        <w:rPr>
          <w:sz w:val="22"/>
          <w:szCs w:val="22"/>
        </w:rPr>
        <w:t xml:space="preserve"> devices</w:t>
      </w:r>
    </w:p>
    <w:p w:rsidR="00B5510C" w:rsidP="00B5510C" w14:paraId="6A2BA9E8" w14:textId="77777777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Experience in computational methods using CHARMM program (molecular dynamics)</w:t>
      </w:r>
    </w:p>
    <w:p w:rsidR="00B5510C" w:rsidRPr="008E7287" w:rsidP="00B5510C" w14:paraId="6EB67ECE" w14:textId="4BC4DC34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Knowledge in Discovery studio (DS), </w:t>
      </w:r>
      <w:r>
        <w:rPr>
          <w:sz w:val="22"/>
          <w:szCs w:val="22"/>
        </w:rPr>
        <w:t>Pymol</w:t>
      </w:r>
      <w:r>
        <w:rPr>
          <w:sz w:val="22"/>
          <w:szCs w:val="22"/>
        </w:rPr>
        <w:t xml:space="preserve">, VMD, </w:t>
      </w:r>
      <w:r>
        <w:rPr>
          <w:sz w:val="22"/>
          <w:szCs w:val="22"/>
        </w:rPr>
        <w:t>Chemdraw</w:t>
      </w:r>
    </w:p>
    <w:p w:rsidR="00C42370" w:rsidRPr="00C42370" w:rsidP="00C40EB0" w14:paraId="541F2E31" w14:textId="77777777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Experience in orders and purchasing of lab supply</w:t>
      </w:r>
    </w:p>
    <w:p w:rsidR="00071B32" w:rsidRPr="0057728E" w:rsidP="00C40EB0" w14:paraId="4B3BEFBB" w14:textId="77777777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71B32">
        <w:rPr>
          <w:sz w:val="22"/>
          <w:szCs w:val="22"/>
        </w:rPr>
        <w:t>roficient in Microsoft Office</w:t>
      </w:r>
      <w:r>
        <w:rPr>
          <w:sz w:val="22"/>
          <w:szCs w:val="22"/>
        </w:rPr>
        <w:t xml:space="preserve"> programs</w:t>
      </w:r>
    </w:p>
    <w:p w:rsidR="00C40EB0" w:rsidP="00C40EB0" w14:paraId="5568C248" w14:textId="77777777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sz w:val="22"/>
          <w:szCs w:val="22"/>
        </w:rPr>
      </w:pPr>
      <w:r w:rsidRPr="0057728E">
        <w:rPr>
          <w:sz w:val="22"/>
          <w:szCs w:val="22"/>
        </w:rPr>
        <w:t xml:space="preserve">Basic knowledge in </w:t>
      </w:r>
      <w:r w:rsidRPr="0057728E">
        <w:rPr>
          <w:sz w:val="22"/>
          <w:szCs w:val="22"/>
        </w:rPr>
        <w:t>Matlab</w:t>
      </w:r>
      <w:r w:rsidR="00071B32">
        <w:rPr>
          <w:sz w:val="22"/>
          <w:szCs w:val="22"/>
        </w:rPr>
        <w:t xml:space="preserve"> and R</w:t>
      </w:r>
    </w:p>
    <w:p w:rsidR="00EA70D5" w:rsidRPr="0057728E" w:rsidP="00C40EB0" w14:paraId="2EF22CD5" w14:textId="77777777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Basic knowledge in </w:t>
      </w:r>
      <w:r>
        <w:rPr>
          <w:sz w:val="22"/>
          <w:szCs w:val="22"/>
        </w:rPr>
        <w:t>linux</w:t>
      </w:r>
      <w:r w:rsidR="00071B32">
        <w:rPr>
          <w:sz w:val="22"/>
          <w:szCs w:val="22"/>
        </w:rPr>
        <w:t xml:space="preserve"> </w:t>
      </w:r>
    </w:p>
    <w:p w:rsidR="0064408C" w:rsidRPr="0057728E" w:rsidP="0064408C" w14:paraId="1BAEB7B4" w14:textId="77777777">
      <w:pPr>
        <w:bidi w:val="0"/>
        <w:spacing w:line="276" w:lineRule="auto"/>
        <w:ind w:left="1987" w:hanging="1987"/>
        <w:rPr>
          <w:sz w:val="22"/>
          <w:szCs w:val="22"/>
        </w:rPr>
      </w:pPr>
    </w:p>
    <w:p w:rsidR="00C90169" w:rsidRPr="00567CC4" w:rsidP="00C90169" w14:paraId="18CA4371" w14:textId="77777777">
      <w:pPr>
        <w:pBdr>
          <w:bottom w:val="single" w:sz="4" w:space="2" w:color="auto"/>
        </w:pBdr>
        <w:spacing w:line="276" w:lineRule="auto"/>
        <w:jc w:val="right"/>
        <w:rPr>
          <w:b/>
          <w:bCs/>
          <w:color w:val="92CDDC" w:themeColor="accent5" w:themeTint="99"/>
          <w:sz w:val="22"/>
          <w:szCs w:val="22"/>
          <w:rtl/>
        </w:rPr>
      </w:pPr>
      <w:r w:rsidRPr="00567CC4">
        <w:rPr>
          <w:b/>
          <w:bCs/>
          <w:color w:val="92CDDC" w:themeColor="accent5" w:themeTint="99"/>
          <w:sz w:val="22"/>
          <w:szCs w:val="22"/>
        </w:rPr>
        <w:t>Published papers</w:t>
      </w:r>
    </w:p>
    <w:p w:rsidR="00BB50E2" w:rsidRPr="00BB50E2" w:rsidP="00BB50E2" w14:paraId="06F4E61F" w14:textId="72796260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rStyle w:val="color15"/>
          <w:spacing w:val="12"/>
          <w:sz w:val="22"/>
          <w:szCs w:val="22"/>
          <w:bdr w:val="none" w:sz="0" w:space="0" w:color="auto" w:frame="1"/>
        </w:rPr>
      </w:pPr>
      <w:r w:rsidRPr="00BB50E2">
        <w:rPr>
          <w:rStyle w:val="fontstyle01"/>
          <w:rFonts w:asciiTheme="majorBidi" w:hAnsiTheme="majorBidi" w:cstheme="majorBidi"/>
          <w:color w:val="auto"/>
          <w:u w:val="single"/>
        </w:rPr>
        <w:t>Perkal. O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; </w:t>
      </w:r>
      <w:r w:rsidRPr="00BB50E2">
        <w:rPr>
          <w:rStyle w:val="fontstyle01"/>
          <w:rFonts w:asciiTheme="majorBidi" w:hAnsiTheme="majorBidi" w:cstheme="majorBidi"/>
          <w:color w:val="auto"/>
        </w:rPr>
        <w:t>Qasem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, Z.; </w:t>
      </w:r>
      <w:r w:rsidRPr="00BB50E2">
        <w:rPr>
          <w:rStyle w:val="fontstyle01"/>
          <w:rFonts w:asciiTheme="majorBidi" w:hAnsiTheme="majorBidi" w:cstheme="majorBidi"/>
          <w:color w:val="auto"/>
        </w:rPr>
        <w:t>Turgeman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, M.; Schwartz, R.; </w:t>
      </w:r>
      <w:r w:rsidRPr="00BB50E2">
        <w:rPr>
          <w:rStyle w:val="fontstyle01"/>
          <w:rFonts w:asciiTheme="majorBidi" w:hAnsiTheme="majorBidi" w:cstheme="majorBidi"/>
          <w:color w:val="auto"/>
        </w:rPr>
        <w:t>Gevorkyan-Airapetov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, L.; </w:t>
      </w:r>
      <w:r w:rsidRPr="00BB50E2">
        <w:rPr>
          <w:rStyle w:val="fontstyle01"/>
          <w:rFonts w:asciiTheme="majorBidi" w:hAnsiTheme="majorBidi" w:cstheme="majorBidi"/>
          <w:color w:val="auto"/>
        </w:rPr>
        <w:t>Pavlin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, M.; </w:t>
      </w:r>
      <w:r w:rsidRPr="00BB50E2">
        <w:rPr>
          <w:rStyle w:val="fontstyle01"/>
          <w:rFonts w:asciiTheme="majorBidi" w:hAnsiTheme="majorBidi" w:cstheme="majorBidi"/>
          <w:color w:val="auto"/>
        </w:rPr>
        <w:t>Magistrato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, A.; Major, D.; </w:t>
      </w:r>
      <w:r w:rsidRPr="00BB50E2">
        <w:rPr>
          <w:rStyle w:val="fontstyle01"/>
          <w:rFonts w:asciiTheme="majorBidi" w:hAnsiTheme="majorBidi" w:cstheme="majorBidi"/>
          <w:color w:val="auto"/>
        </w:rPr>
        <w:t>Ruthstein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, S.; </w:t>
      </w:r>
      <w:r w:rsidRPr="00BB50E2">
        <w:rPr>
          <w:rStyle w:val="fontstyle01"/>
          <w:rFonts w:asciiTheme="majorBidi" w:hAnsiTheme="majorBidi" w:cstheme="majorBidi"/>
          <w:b/>
          <w:bCs/>
          <w:i/>
          <w:iCs/>
          <w:color w:val="auto"/>
        </w:rPr>
        <w:t xml:space="preserve">Cu(I) controls conformational states in the human </w:t>
      </w:r>
      <w:r w:rsidRPr="00BB50E2">
        <w:rPr>
          <w:rStyle w:val="fontstyle01"/>
          <w:rFonts w:asciiTheme="majorBidi" w:hAnsiTheme="majorBidi" w:cstheme="majorBidi"/>
          <w:b/>
          <w:bCs/>
          <w:i/>
          <w:iCs/>
          <w:color w:val="auto"/>
        </w:rPr>
        <w:t>metallochaperone</w:t>
      </w:r>
      <w:r w:rsidRPr="00BB50E2">
        <w:rPr>
          <w:rStyle w:val="fontstyle01"/>
          <w:rFonts w:asciiTheme="majorBidi" w:hAnsiTheme="majorBidi" w:cstheme="majorBidi"/>
          <w:b/>
          <w:bCs/>
          <w:i/>
          <w:iCs/>
          <w:color w:val="auto"/>
        </w:rPr>
        <w:t xml:space="preserve"> Atox1:an EPR and </w:t>
      </w:r>
      <w:r w:rsidRPr="00BB50E2">
        <w:rPr>
          <w:rStyle w:val="fontstyle01"/>
          <w:rFonts w:asciiTheme="majorBidi" w:hAnsiTheme="majorBidi" w:cstheme="majorBidi"/>
          <w:b/>
          <w:bCs/>
          <w:i/>
          <w:iCs/>
          <w:color w:val="auto"/>
        </w:rPr>
        <w:t>mutiscale</w:t>
      </w:r>
      <w:r w:rsidRPr="00BB50E2">
        <w:rPr>
          <w:rStyle w:val="fontstyle01"/>
          <w:rFonts w:asciiTheme="majorBidi" w:hAnsiTheme="majorBidi" w:cstheme="majorBidi"/>
          <w:b/>
          <w:bCs/>
          <w:i/>
          <w:iCs/>
          <w:color w:val="auto"/>
        </w:rPr>
        <w:t xml:space="preserve"> simulation study.</w:t>
      </w:r>
      <w:r w:rsidRPr="00BB50E2">
        <w:rPr>
          <w:rStyle w:val="fontstyle01"/>
          <w:rFonts w:asciiTheme="majorBidi" w:hAnsiTheme="majorBidi" w:cstheme="majorBidi"/>
          <w:color w:val="auto"/>
        </w:rPr>
        <w:t> </w:t>
      </w:r>
      <w:r w:rsidRPr="00BB50E2">
        <w:rPr>
          <w:rStyle w:val="fontstyle31"/>
          <w:rFonts w:asciiTheme="majorBidi" w:hAnsiTheme="majorBidi" w:cstheme="majorBidi"/>
          <w:i w:val="0"/>
          <w:iCs w:val="0"/>
          <w:color w:val="auto"/>
        </w:rPr>
        <w:t>J.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 </w:t>
      </w:r>
      <w:r w:rsidRPr="00BB50E2">
        <w:rPr>
          <w:rStyle w:val="color15"/>
          <w:spacing w:val="12"/>
          <w:sz w:val="22"/>
          <w:szCs w:val="22"/>
          <w:bdr w:val="none" w:sz="0" w:space="0" w:color="auto" w:frame="1"/>
        </w:rPr>
        <w:t>Phys. Chem. B. 2020, 124, 4399-4411.</w:t>
      </w:r>
    </w:p>
    <w:p w:rsidR="007B63A5" w:rsidRPr="00BB50E2" w:rsidP="00BB50E2" w14:paraId="228A11BB" w14:textId="46B6EA15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</w:pPr>
      <w:r w:rsidRPr="00BB50E2">
        <w:rPr>
          <w:rStyle w:val="fontstyle01"/>
          <w:rFonts w:asciiTheme="majorBidi" w:hAnsiTheme="majorBidi" w:cstheme="majorBidi"/>
          <w:color w:val="auto"/>
        </w:rPr>
        <w:t>Shenberger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, Y.; </w:t>
      </w:r>
      <w:r w:rsidRPr="00BB50E2">
        <w:rPr>
          <w:rStyle w:val="fontstyle01"/>
          <w:rFonts w:asciiTheme="majorBidi" w:hAnsiTheme="majorBidi" w:cstheme="majorBidi"/>
          <w:color w:val="auto"/>
          <w:u w:val="single"/>
        </w:rPr>
        <w:t>Marciano, O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.; H. E. Gottlieb.; </w:t>
      </w:r>
      <w:r w:rsidRPr="00BB50E2">
        <w:rPr>
          <w:rStyle w:val="fontstyle01"/>
          <w:rFonts w:asciiTheme="majorBidi" w:hAnsiTheme="majorBidi" w:cstheme="majorBidi"/>
          <w:color w:val="auto"/>
        </w:rPr>
        <w:t>Ruthstein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, S. </w:t>
      </w:r>
      <w:r w:rsidRPr="00BB50E2">
        <w:rPr>
          <w:rStyle w:val="fontstyle21"/>
          <w:rFonts w:asciiTheme="majorBidi" w:hAnsiTheme="majorBidi" w:cstheme="majorBidi"/>
          <w:color w:val="auto"/>
        </w:rPr>
        <w:t>Insights into the first Cu(II) and</w:t>
      </w:r>
      <w:r w:rsidRPr="00BB50E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Pr="00BB50E2">
        <w:rPr>
          <w:rStyle w:val="fontstyle21"/>
          <w:rFonts w:asciiTheme="majorBidi" w:hAnsiTheme="majorBidi" w:cstheme="majorBidi"/>
          <w:color w:val="auto"/>
        </w:rPr>
        <w:t>Cu(I) binding sites of the human copper transporter Ctr1</w:t>
      </w:r>
      <w:r w:rsidRPr="00BB50E2">
        <w:rPr>
          <w:rStyle w:val="fontstyle31"/>
          <w:rFonts w:asciiTheme="majorBidi" w:hAnsiTheme="majorBidi" w:cstheme="majorBidi"/>
          <w:color w:val="auto"/>
        </w:rPr>
        <w:t xml:space="preserve">. </w:t>
      </w:r>
      <w:r w:rsidRPr="00BB50E2" w:rsidR="008E7287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 xml:space="preserve">J. </w:t>
      </w:r>
      <w:r w:rsidRPr="00BB50E2" w:rsidR="008E7287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Coord</w:t>
      </w:r>
      <w:r w:rsidRPr="00BB50E2" w:rsidR="008E7287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. Chem. 2018, 71, 1985-2002.</w:t>
      </w:r>
    </w:p>
    <w:p w:rsidR="007B63A5" w:rsidRPr="00BB50E2" w:rsidP="00C40EB0" w14:paraId="25D6F7F2" w14:textId="77777777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rStyle w:val="color15"/>
          <w:rFonts w:asciiTheme="majorBidi" w:hAnsiTheme="majorBidi" w:cstheme="majorBidi"/>
          <w:sz w:val="22"/>
          <w:szCs w:val="22"/>
        </w:rPr>
      </w:pPr>
      <w:r w:rsidRPr="00BB50E2">
        <w:rPr>
          <w:rStyle w:val="fontstyle01"/>
          <w:rFonts w:asciiTheme="majorBidi" w:hAnsiTheme="majorBidi" w:cstheme="majorBidi"/>
          <w:color w:val="auto"/>
          <w:u w:val="single"/>
        </w:rPr>
        <w:t>Marciano, O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.; </w:t>
      </w:r>
      <w:r w:rsidRPr="00BB50E2">
        <w:rPr>
          <w:rStyle w:val="fontstyle01"/>
          <w:rFonts w:asciiTheme="majorBidi" w:hAnsiTheme="majorBidi" w:cstheme="majorBidi"/>
          <w:color w:val="auto"/>
        </w:rPr>
        <w:t>Ruthstein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, S. </w:t>
      </w:r>
      <w:r w:rsidRPr="00BB50E2">
        <w:rPr>
          <w:rStyle w:val="fontstyle21"/>
          <w:rFonts w:asciiTheme="majorBidi" w:hAnsiTheme="majorBidi" w:cstheme="majorBidi"/>
          <w:color w:val="auto"/>
        </w:rPr>
        <w:t>Characterizing the Nature of Surface Radicals in Carbon-Based</w:t>
      </w:r>
      <w:r w:rsidRPr="00BB50E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Pr="00BB50E2">
        <w:rPr>
          <w:rStyle w:val="fontstyle21"/>
          <w:rFonts w:asciiTheme="majorBidi" w:hAnsiTheme="majorBidi" w:cstheme="majorBidi"/>
          <w:color w:val="auto"/>
        </w:rPr>
        <w:t>Materials, Using Gas-Flow EPR Spectroscopy</w:t>
      </w:r>
      <w:r w:rsidRPr="00BB50E2">
        <w:rPr>
          <w:rStyle w:val="fontstyle31"/>
          <w:rFonts w:asciiTheme="majorBidi" w:hAnsiTheme="majorBidi" w:cstheme="majorBidi"/>
          <w:color w:val="auto"/>
        </w:rPr>
        <w:t xml:space="preserve">. </w:t>
      </w:r>
      <w:r w:rsidRPr="00BB50E2">
        <w:rPr>
          <w:rStyle w:val="fontstyle01"/>
          <w:rFonts w:asciiTheme="majorBidi" w:hAnsiTheme="majorBidi" w:cstheme="majorBidi"/>
          <w:color w:val="auto"/>
        </w:rPr>
        <w:t>Frontiers in Magnetic Resonance: EPR in</w:t>
      </w:r>
      <w:r w:rsidRPr="00BB50E2">
        <w:rPr>
          <w:rFonts w:asciiTheme="majorBidi" w:hAnsiTheme="majorBidi" w:cstheme="majorBidi"/>
          <w:sz w:val="22"/>
          <w:szCs w:val="22"/>
        </w:rPr>
        <w:t xml:space="preserve"> </w:t>
      </w:r>
      <w:r w:rsidRPr="00BB50E2">
        <w:rPr>
          <w:rStyle w:val="fontstyle01"/>
          <w:rFonts w:asciiTheme="majorBidi" w:hAnsiTheme="majorBidi" w:cstheme="majorBidi"/>
          <w:color w:val="auto"/>
        </w:rPr>
        <w:t xml:space="preserve">modern carbon-based nanomaterials, 2017, 1-19, </w:t>
      </w:r>
      <w:r w:rsidRPr="00BB50E2">
        <w:rPr>
          <w:rStyle w:val="fontstyle31"/>
          <w:rFonts w:asciiTheme="majorBidi" w:hAnsiTheme="majorBidi" w:cstheme="majorBidi"/>
          <w:color w:val="auto"/>
        </w:rPr>
        <w:t>Bentham Science Publishers</w:t>
      </w:r>
      <w:r w:rsidRPr="00BB50E2">
        <w:rPr>
          <w:rStyle w:val="fontstyle01"/>
          <w:rFonts w:asciiTheme="majorBidi" w:hAnsiTheme="majorBidi" w:cstheme="majorBidi"/>
          <w:color w:val="auto"/>
        </w:rPr>
        <w:t>.</w:t>
      </w:r>
    </w:p>
    <w:p w:rsidR="007B63A5" w:rsidRPr="00BB50E2" w:rsidP="00C40EB0" w14:paraId="42F2BD8E" w14:textId="77777777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rStyle w:val="color15"/>
          <w:rFonts w:asciiTheme="majorBidi" w:hAnsiTheme="majorBidi" w:cstheme="majorBidi"/>
          <w:sz w:val="22"/>
          <w:szCs w:val="22"/>
        </w:rPr>
      </w:pP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u w:val="single"/>
          <w:bdr w:val="none" w:sz="0" w:space="0" w:color="auto" w:frame="1"/>
        </w:rPr>
        <w:t>Marciano, O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 xml:space="preserve">.; 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Gonen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 xml:space="preserve">, S.; Levy, N.; 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Teblum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 xml:space="preserve">, E.; Yemini, R.; 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Nessim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, G.; 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Ruthstein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, S.; Elbaz, L. </w:t>
      </w:r>
      <w:r w:rsidRPr="00BB50E2">
        <w:rPr>
          <w:rStyle w:val="fontstyle21"/>
          <w:rFonts w:asciiTheme="majorBidi" w:hAnsiTheme="majorBidi" w:cstheme="majorBidi"/>
          <w:color w:val="auto"/>
        </w:rPr>
        <w:t>Modulation of oxygen content in graphene surfaces using temperature programmed reductive annealing: Electron Paramagnetic Resonance (EPR) and electrochemical study.</w:t>
      </w:r>
      <w:r w:rsidRPr="00BB50E2">
        <w:rPr>
          <w:rStyle w:val="color15"/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 Langmuir. 2016, 32, 11672-11680.</w:t>
      </w:r>
    </w:p>
    <w:p w:rsidR="00E61757" w:rsidRPr="00BB50E2" w:rsidP="00C40EB0" w14:paraId="755EC4BA" w14:textId="77777777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BB50E2">
        <w:rPr>
          <w:rFonts w:asciiTheme="majorBidi" w:hAnsiTheme="majorBidi" w:cstheme="majorBidi"/>
          <w:spacing w:val="12"/>
          <w:sz w:val="22"/>
          <w:szCs w:val="22"/>
          <w:u w:val="single"/>
        </w:rPr>
        <w:t>Marciano, O</w:t>
      </w:r>
      <w:r w:rsidRPr="00BB50E2">
        <w:rPr>
          <w:rFonts w:asciiTheme="majorBidi" w:hAnsiTheme="majorBidi" w:cstheme="majorBidi"/>
          <w:spacing w:val="12"/>
          <w:sz w:val="22"/>
          <w:szCs w:val="22"/>
        </w:rPr>
        <w:t xml:space="preserve">.; Moskovitz, Y.; Hamza, I.; </w:t>
      </w:r>
      <w:r w:rsidRPr="00BB50E2">
        <w:rPr>
          <w:rFonts w:asciiTheme="majorBidi" w:hAnsiTheme="majorBidi" w:cstheme="majorBidi"/>
          <w:spacing w:val="12"/>
          <w:sz w:val="22"/>
          <w:szCs w:val="22"/>
        </w:rPr>
        <w:t>Ruthstein</w:t>
      </w:r>
      <w:r w:rsidRPr="00BB50E2">
        <w:rPr>
          <w:rFonts w:asciiTheme="majorBidi" w:hAnsiTheme="majorBidi" w:cstheme="majorBidi"/>
          <w:spacing w:val="12"/>
          <w:sz w:val="22"/>
          <w:szCs w:val="22"/>
        </w:rPr>
        <w:t xml:space="preserve">, S.; </w:t>
      </w:r>
      <w:r w:rsidRPr="00BB50E2" w:rsidR="00CD2DE5">
        <w:rPr>
          <w:rFonts w:asciiTheme="majorBidi" w:hAnsiTheme="majorBidi" w:cstheme="majorBidi"/>
          <w:b/>
          <w:bCs/>
          <w:i/>
          <w:iCs/>
          <w:spacing w:val="12"/>
          <w:sz w:val="22"/>
          <w:szCs w:val="22"/>
        </w:rPr>
        <w:t>Histidine</w:t>
      </w:r>
      <w:r w:rsidRPr="00BB50E2">
        <w:rPr>
          <w:rFonts w:asciiTheme="majorBidi" w:hAnsiTheme="majorBidi" w:cstheme="majorBidi"/>
          <w:b/>
          <w:bCs/>
          <w:i/>
          <w:iCs/>
          <w:spacing w:val="12"/>
          <w:sz w:val="22"/>
          <w:szCs w:val="22"/>
        </w:rPr>
        <w:t xml:space="preserve"> residues are important for preserving the structure and heme binding to the </w:t>
      </w:r>
      <w:r w:rsidRPr="00BB50E2">
        <w:rPr>
          <w:rFonts w:asciiTheme="majorBidi" w:hAnsiTheme="majorBidi" w:cstheme="majorBidi"/>
          <w:b/>
          <w:bCs/>
          <w:i/>
          <w:iCs/>
          <w:spacing w:val="12"/>
          <w:sz w:val="22"/>
          <w:szCs w:val="22"/>
        </w:rPr>
        <w:t>c.elegans</w:t>
      </w:r>
      <w:r w:rsidRPr="00BB50E2">
        <w:rPr>
          <w:rFonts w:asciiTheme="majorBidi" w:hAnsiTheme="majorBidi" w:cstheme="majorBidi"/>
          <w:b/>
          <w:bCs/>
          <w:i/>
          <w:iCs/>
          <w:spacing w:val="12"/>
          <w:sz w:val="22"/>
          <w:szCs w:val="22"/>
        </w:rPr>
        <w:t xml:space="preserve"> HRG-3 </w:t>
      </w:r>
      <w:r w:rsidRPr="00BB50E2">
        <w:rPr>
          <w:rFonts w:asciiTheme="majorBidi" w:hAnsiTheme="majorBidi" w:cstheme="majorBidi"/>
          <w:b/>
          <w:bCs/>
          <w:i/>
          <w:iCs/>
          <w:spacing w:val="12"/>
          <w:sz w:val="22"/>
          <w:szCs w:val="22"/>
        </w:rPr>
        <w:t>heme</w:t>
      </w:r>
      <w:r w:rsidRPr="00BB50E2">
        <w:rPr>
          <w:rFonts w:asciiTheme="majorBidi" w:hAnsiTheme="majorBidi" w:cstheme="majorBidi"/>
          <w:b/>
          <w:bCs/>
          <w:i/>
          <w:iCs/>
          <w:spacing w:val="12"/>
          <w:sz w:val="22"/>
          <w:szCs w:val="22"/>
        </w:rPr>
        <w:t xml:space="preserve"> trafficking protein.</w:t>
      </w:r>
      <w:r w:rsidRPr="00BB50E2">
        <w:rPr>
          <w:rFonts w:asciiTheme="majorBidi" w:hAnsiTheme="majorBidi" w:cstheme="majorBidi"/>
          <w:spacing w:val="12"/>
          <w:sz w:val="22"/>
          <w:szCs w:val="22"/>
        </w:rPr>
        <w:t> </w:t>
      </w:r>
      <w:r w:rsidRPr="00BB50E2">
        <w:rPr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 xml:space="preserve">J. Biol. </w:t>
      </w:r>
      <w:r w:rsidRPr="00BB50E2">
        <w:rPr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Inorg</w:t>
      </w:r>
      <w:r w:rsidRPr="00BB50E2">
        <w:rPr>
          <w:rFonts w:asciiTheme="majorBidi" w:hAnsiTheme="majorBidi" w:cstheme="majorBidi"/>
          <w:spacing w:val="12"/>
          <w:sz w:val="22"/>
          <w:szCs w:val="22"/>
          <w:bdr w:val="none" w:sz="0" w:space="0" w:color="auto" w:frame="1"/>
        </w:rPr>
        <w:t>. Chem</w:t>
      </w:r>
      <w:r w:rsidRPr="00BB50E2">
        <w:rPr>
          <w:rFonts w:asciiTheme="majorBidi" w:hAnsiTheme="majorBidi" w:cstheme="majorBidi"/>
          <w:spacing w:val="12"/>
          <w:sz w:val="22"/>
          <w:szCs w:val="22"/>
        </w:rPr>
        <w:t>. 2015, 20, 1253-1261.</w:t>
      </w:r>
    </w:p>
    <w:p w:rsidR="006366CD" w:rsidRPr="00567CC4" w:rsidP="006366CD" w14:paraId="28614810" w14:textId="77777777">
      <w:pPr>
        <w:pBdr>
          <w:bottom w:val="single" w:sz="4" w:space="1" w:color="auto"/>
        </w:pBdr>
        <w:spacing w:line="276" w:lineRule="auto"/>
        <w:ind w:left="1987" w:hanging="1987"/>
        <w:jc w:val="right"/>
        <w:rPr>
          <w:b/>
          <w:bCs/>
          <w:color w:val="92CDDC" w:themeColor="accent5" w:themeTint="99"/>
          <w:sz w:val="22"/>
          <w:szCs w:val="22"/>
        </w:rPr>
      </w:pPr>
      <w:r w:rsidRPr="00567CC4">
        <w:rPr>
          <w:b/>
          <w:bCs/>
          <w:color w:val="92CDDC" w:themeColor="accent5" w:themeTint="99"/>
          <w:sz w:val="22"/>
          <w:szCs w:val="22"/>
        </w:rPr>
        <w:t>Employment and project</w:t>
      </w:r>
    </w:p>
    <w:p w:rsidR="006366CD" w:rsidP="006366CD" w14:paraId="3716506D" w14:textId="77777777">
      <w:pPr>
        <w:tabs>
          <w:tab w:val="right" w:pos="2127"/>
        </w:tabs>
        <w:bidi w:val="0"/>
        <w:spacing w:line="276" w:lineRule="auto"/>
        <w:ind w:left="1987" w:hanging="1987"/>
        <w:jc w:val="both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57728E">
        <w:rPr>
          <w:rFonts w:asciiTheme="majorBidi" w:hAnsiTheme="majorBidi" w:cstheme="majorBidi"/>
          <w:sz w:val="22"/>
          <w:szCs w:val="22"/>
        </w:rPr>
        <w:t xml:space="preserve">– </w:t>
      </w:r>
      <w:r>
        <w:rPr>
          <w:rFonts w:asciiTheme="majorBidi" w:hAnsiTheme="majorBidi" w:cstheme="majorBidi"/>
          <w:sz w:val="22"/>
          <w:szCs w:val="22"/>
        </w:rPr>
        <w:t xml:space="preserve">2019               In charge of departmental EPR device (temporary role)  </w:t>
      </w:r>
      <w:r>
        <w:rPr>
          <w:sz w:val="22"/>
          <w:szCs w:val="22"/>
        </w:rPr>
        <w:t xml:space="preserve"> </w:t>
      </w:r>
    </w:p>
    <w:p w:rsidR="006366CD" w:rsidP="006366CD" w14:paraId="6E182B6E" w14:textId="77777777">
      <w:pPr>
        <w:tabs>
          <w:tab w:val="right" w:pos="2127"/>
        </w:tabs>
        <w:bidi w:val="0"/>
        <w:spacing w:line="276" w:lineRule="auto"/>
        <w:ind w:left="1987" w:hanging="1987"/>
        <w:jc w:val="both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57728E">
        <w:rPr>
          <w:rFonts w:asciiTheme="majorBidi" w:hAnsiTheme="majorBidi" w:cstheme="majorBidi"/>
          <w:sz w:val="22"/>
          <w:szCs w:val="22"/>
        </w:rPr>
        <w:t xml:space="preserve">– </w:t>
      </w:r>
      <w:r>
        <w:rPr>
          <w:sz w:val="22"/>
          <w:szCs w:val="22"/>
        </w:rPr>
        <w:t>2017               Teaching chemistry for preparatory program students</w:t>
      </w:r>
    </w:p>
    <w:p w:rsidR="006366CD" w:rsidRPr="0057728E" w:rsidP="006366CD" w14:paraId="3046FFE4" w14:textId="77777777">
      <w:pPr>
        <w:tabs>
          <w:tab w:val="right" w:pos="2127"/>
        </w:tabs>
        <w:bidi w:val="0"/>
        <w:spacing w:line="276" w:lineRule="auto"/>
        <w:ind w:left="1987" w:hanging="19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2015 – </w:t>
      </w:r>
      <w:r>
        <w:rPr>
          <w:rFonts w:hint="cs"/>
          <w:sz w:val="22"/>
          <w:szCs w:val="22"/>
          <w:rtl/>
        </w:rPr>
        <w:t>2017</w:t>
      </w:r>
      <w:r>
        <w:rPr>
          <w:sz w:val="22"/>
          <w:szCs w:val="22"/>
        </w:rPr>
        <w:t xml:space="preserve">               </w:t>
      </w:r>
      <w:r w:rsidRPr="0057728E">
        <w:rPr>
          <w:sz w:val="22"/>
          <w:szCs w:val="22"/>
        </w:rPr>
        <w:t>Teaching high school students, Chemistry Department, Bar-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Ilan</w:t>
      </w:r>
      <w:r>
        <w:rPr>
          <w:sz w:val="22"/>
          <w:szCs w:val="22"/>
        </w:rPr>
        <w:t xml:space="preserve"> University</w:t>
      </w:r>
    </w:p>
    <w:p w:rsidR="006366CD" w:rsidRPr="0057728E" w:rsidP="006366CD" w14:paraId="2ED39B15" w14:textId="77777777">
      <w:pPr>
        <w:tabs>
          <w:tab w:val="right" w:pos="2127"/>
        </w:tabs>
        <w:bidi w:val="0"/>
        <w:spacing w:line="276" w:lineRule="auto"/>
        <w:ind w:left="1987" w:hanging="1987"/>
        <w:jc w:val="both"/>
        <w:rPr>
          <w:sz w:val="22"/>
          <w:szCs w:val="22"/>
        </w:rPr>
      </w:pPr>
      <w:r w:rsidRPr="0057728E">
        <w:rPr>
          <w:sz w:val="22"/>
          <w:szCs w:val="22"/>
        </w:rPr>
        <w:t xml:space="preserve">2012 – </w:t>
      </w:r>
      <w:r>
        <w:rPr>
          <w:sz w:val="22"/>
          <w:szCs w:val="22"/>
        </w:rPr>
        <w:t>2017</w:t>
      </w:r>
      <w:r w:rsidRPr="0057728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</w:t>
      </w:r>
      <w:r w:rsidRPr="0057728E">
        <w:rPr>
          <w:sz w:val="22"/>
          <w:szCs w:val="22"/>
        </w:rPr>
        <w:t xml:space="preserve">Teaching </w:t>
      </w:r>
      <w:r>
        <w:rPr>
          <w:sz w:val="22"/>
          <w:szCs w:val="22"/>
        </w:rPr>
        <w:t>A</w:t>
      </w:r>
      <w:r w:rsidRPr="0057728E">
        <w:rPr>
          <w:sz w:val="22"/>
          <w:szCs w:val="22"/>
        </w:rPr>
        <w:t>ssistant in chemistry lab, Bar-</w:t>
      </w:r>
      <w:r w:rsidRPr="0057728E">
        <w:rPr>
          <w:sz w:val="22"/>
          <w:szCs w:val="22"/>
        </w:rPr>
        <w:t>Ilan</w:t>
      </w:r>
      <w:r w:rsidRPr="0057728E">
        <w:rPr>
          <w:sz w:val="22"/>
          <w:szCs w:val="22"/>
        </w:rPr>
        <w:t xml:space="preserve"> University</w:t>
      </w:r>
    </w:p>
    <w:p w:rsidR="006366CD" w:rsidP="006366CD" w14:paraId="06F13286" w14:textId="77777777">
      <w:pPr>
        <w:tabs>
          <w:tab w:val="right" w:pos="2127"/>
        </w:tabs>
        <w:bidi w:val="0"/>
        <w:spacing w:line="276" w:lineRule="auto"/>
        <w:ind w:left="1987" w:hanging="1987"/>
        <w:jc w:val="both"/>
        <w:rPr>
          <w:sz w:val="22"/>
          <w:szCs w:val="22"/>
        </w:rPr>
      </w:pPr>
      <w:r w:rsidRPr="0057728E">
        <w:rPr>
          <w:sz w:val="22"/>
          <w:szCs w:val="22"/>
        </w:rPr>
        <w:t>2010 – 2014</w:t>
      </w:r>
      <w:r>
        <w:rPr>
          <w:sz w:val="22"/>
          <w:szCs w:val="22"/>
        </w:rPr>
        <w:t xml:space="preserve">               </w:t>
      </w:r>
      <w:r w:rsidRPr="0057728E">
        <w:rPr>
          <w:sz w:val="22"/>
          <w:szCs w:val="22"/>
        </w:rPr>
        <w:t>Tutor in chemistry for high-school students ("Nahshon Project")</w:t>
      </w:r>
    </w:p>
    <w:p w:rsidR="00C40A62" w:rsidP="00C40A62" w14:paraId="6E2BF380" w14:textId="77777777">
      <w:pPr>
        <w:pBdr>
          <w:between w:val="single" w:sz="4" w:space="1" w:color="auto"/>
        </w:pBdr>
        <w:bidi w:val="0"/>
        <w:spacing w:line="276" w:lineRule="auto"/>
        <w:ind w:left="1987" w:hanging="1987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77"/>
        <w:gridCol w:w="8327"/>
      </w:tblGrid>
      <w:tr w14:paraId="7CE8A84F" w14:textId="77777777" w:rsidTr="00C40A62">
        <w:tblPrEx>
          <w:tblW w:w="0" w:type="auto"/>
          <w:tblInd w:w="108" w:type="dxa"/>
          <w:tblLook w:val="04A0"/>
        </w:tblPrEx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0A62" w:rsidRPr="00C40A62" w:rsidP="00C40A62" w14:paraId="272977E1" w14:textId="77777777">
            <w:pPr>
              <w:pBdr>
                <w:bottom w:val="single" w:sz="4" w:space="1" w:color="auto"/>
              </w:pBdr>
              <w:spacing w:line="276" w:lineRule="auto"/>
              <w:jc w:val="right"/>
              <w:rPr>
                <w:b/>
                <w:bCs/>
                <w:color w:val="92CDDC" w:themeColor="accent5" w:themeTint="99"/>
                <w:sz w:val="22"/>
                <w:szCs w:val="22"/>
              </w:rPr>
            </w:pPr>
            <w:r w:rsidRPr="00567CC4">
              <w:rPr>
                <w:b/>
                <w:bCs/>
                <w:color w:val="92CDDC" w:themeColor="accent5" w:themeTint="99"/>
                <w:sz w:val="22"/>
                <w:szCs w:val="22"/>
              </w:rPr>
              <w:t>Others</w:t>
            </w:r>
            <w:r>
              <w:rPr>
                <w:sz w:val="22"/>
                <w:szCs w:val="22"/>
              </w:rPr>
              <w:t xml:space="preserve">            </w:t>
            </w:r>
          </w:p>
        </w:tc>
      </w:tr>
      <w:tr w14:paraId="7846F817" w14:textId="77777777" w:rsidTr="00C40A62">
        <w:tblPrEx>
          <w:tblW w:w="0" w:type="auto"/>
          <w:tblInd w:w="108" w:type="dxa"/>
          <w:tblLook w:val="04A0"/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40A62" w:rsidP="00C40A62" w14:paraId="048DDA09" w14:textId="77777777">
            <w:pPr>
              <w:bidi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                      </w:t>
            </w:r>
            <w:r w:rsidRPr="000552E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530" w:type="dxa"/>
            <w:tcBorders>
              <w:top w:val="nil"/>
              <w:left w:val="nil"/>
              <w:bottom w:val="nil"/>
              <w:right w:val="nil"/>
            </w:tcBorders>
          </w:tcPr>
          <w:p w:rsidR="00C40A62" w:rsidP="00C40A62" w14:paraId="50F23E25" w14:textId="77777777">
            <w:pPr>
              <w:bidi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 student for participation in a committee in the British ambassador house, Ramat-Gan</w:t>
            </w:r>
          </w:p>
        </w:tc>
      </w:tr>
      <w:tr w14:paraId="17B4868E" w14:textId="77777777" w:rsidTr="00C40A62">
        <w:tblPrEx>
          <w:tblW w:w="0" w:type="auto"/>
          <w:tblInd w:w="108" w:type="dxa"/>
          <w:tblLook w:val="04A0"/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40A62" w:rsidP="00C40A62" w14:paraId="55A884B6" w14:textId="77777777">
            <w:pPr>
              <w:bidi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530" w:type="dxa"/>
            <w:tcBorders>
              <w:top w:val="nil"/>
              <w:left w:val="nil"/>
              <w:bottom w:val="nil"/>
              <w:right w:val="nil"/>
            </w:tcBorders>
          </w:tcPr>
          <w:p w:rsidR="00C40A62" w:rsidP="00C40A62" w14:paraId="3CF82BC9" w14:textId="77777777">
            <w:pPr>
              <w:pBdr>
                <w:between w:val="single" w:sz="4" w:space="1" w:color="auto"/>
              </w:pBdr>
              <w:bidi w:val="0"/>
              <w:spacing w:line="276" w:lineRule="auto"/>
              <w:ind w:left="1987" w:hanging="1987"/>
              <w:rPr>
                <w:sz w:val="22"/>
                <w:szCs w:val="22"/>
              </w:rPr>
            </w:pPr>
            <w:r w:rsidRPr="000552E7">
              <w:rPr>
                <w:sz w:val="22"/>
                <w:szCs w:val="22"/>
              </w:rPr>
              <w:t xml:space="preserve">Oral presentation flash-talk at the Israeli Chemical Society (ICS), Tel-Aviv   </w:t>
            </w:r>
          </w:p>
        </w:tc>
      </w:tr>
    </w:tbl>
    <w:p w:rsidR="00C40A62" w:rsidRPr="0057728E" w:rsidP="00C40A62" w14:paraId="039AA279" w14:textId="77777777">
      <w:pPr>
        <w:pBdr>
          <w:between w:val="single" w:sz="4" w:space="1" w:color="auto"/>
        </w:pBdr>
        <w:bidi w:val="0"/>
        <w:spacing w:line="276" w:lineRule="auto"/>
        <w:ind w:left="1987" w:hanging="1987"/>
        <w:rPr>
          <w:sz w:val="22"/>
          <w:szCs w:val="22"/>
        </w:rPr>
      </w:pPr>
    </w:p>
    <w:p w:rsidR="00471FDB" w:rsidRPr="007B63A5" w:rsidP="00C40A62" w14:paraId="63CFB40E" w14:textId="77777777">
      <w:pPr>
        <w:bidi w:val="0"/>
        <w:spacing w:line="276" w:lineRule="auto"/>
        <w:ind w:left="1987" w:hanging="1987"/>
        <w:jc w:val="center"/>
        <w:rPr>
          <w:b/>
          <w:bCs/>
          <w:rtl/>
        </w:rPr>
      </w:pPr>
      <w:r>
        <w:rPr>
          <w:b/>
          <w:bCs/>
        </w:rPr>
        <w:t>R</w:t>
      </w:r>
      <w:r w:rsidRPr="007B63A5">
        <w:rPr>
          <w:b/>
          <w:bCs/>
        </w:rPr>
        <w:t>ecommendations will be provided upon r</w:t>
      </w:r>
      <w:bookmarkStart w:id="0" w:name="_GoBack"/>
      <w:bookmarkEnd w:id="0"/>
      <w:r w:rsidRPr="007B63A5">
        <w:rPr>
          <w:b/>
          <w:bCs/>
        </w:rPr>
        <w:t>equest</w:t>
      </w:r>
    </w:p>
    <w:sectPr w:rsidSect="00A46391">
      <w:headerReference w:type="default" r:id="rId4"/>
      <w:pgSz w:w="11906" w:h="16838"/>
      <w:pgMar w:top="1170" w:right="1247" w:bottom="1247" w:left="124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3488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0D0E47"/>
    <w:multiLevelType w:val="hybridMultilevel"/>
    <w:tmpl w:val="D9C61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3CB2"/>
    <w:multiLevelType w:val="multilevel"/>
    <w:tmpl w:val="31AAC3A6"/>
    <w:lvl w:ilvl="0">
      <w:start w:val="2007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530"/>
        </w:tabs>
        <w:ind w:left="1530" w:hanging="147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4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10"/>
        </w:tabs>
        <w:ind w:left="1710" w:hanging="14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70"/>
        </w:tabs>
        <w:ind w:left="1770" w:hanging="14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">
    <w:nsid w:val="1E195C05"/>
    <w:multiLevelType w:val="hybridMultilevel"/>
    <w:tmpl w:val="75023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90523"/>
    <w:multiLevelType w:val="multilevel"/>
    <w:tmpl w:val="4C887636"/>
    <w:lvl w:ilvl="0">
      <w:start w:val="2007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530"/>
        </w:tabs>
        <w:ind w:left="1530" w:hanging="14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4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10"/>
        </w:tabs>
        <w:ind w:left="1710" w:hanging="14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70"/>
        </w:tabs>
        <w:ind w:left="1770" w:hanging="14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>
    <w:nsid w:val="2F440C3D"/>
    <w:multiLevelType w:val="multilevel"/>
    <w:tmpl w:val="C7CEA7A6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74642B1"/>
    <w:multiLevelType w:val="hybridMultilevel"/>
    <w:tmpl w:val="E82EB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777EA"/>
    <w:multiLevelType w:val="hybridMultilevel"/>
    <w:tmpl w:val="32B82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839AD"/>
    <w:multiLevelType w:val="multilevel"/>
    <w:tmpl w:val="1BB8BC04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2572C1"/>
    <w:multiLevelType w:val="multilevel"/>
    <w:tmpl w:val="1BB8BC04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E8D3371"/>
    <w:multiLevelType w:val="multilevel"/>
    <w:tmpl w:val="C7CEA7A6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B8C463F"/>
    <w:multiLevelType w:val="multilevel"/>
    <w:tmpl w:val="1BB8BC04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18E2F7D"/>
    <w:multiLevelType w:val="hybridMultilevel"/>
    <w:tmpl w:val="083E759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5C4918"/>
    <w:multiLevelType w:val="multilevel"/>
    <w:tmpl w:val="1BB8BC04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193D59"/>
    <w:multiLevelType w:val="multilevel"/>
    <w:tmpl w:val="4C887636"/>
    <w:lvl w:ilvl="0">
      <w:start w:val="2007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530"/>
        </w:tabs>
        <w:ind w:left="1530" w:hanging="14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4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10"/>
        </w:tabs>
        <w:ind w:left="1710" w:hanging="14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70"/>
        </w:tabs>
        <w:ind w:left="1770" w:hanging="14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37"/>
    <w:rsid w:val="00003BD6"/>
    <w:rsid w:val="00046D5A"/>
    <w:rsid w:val="000552E7"/>
    <w:rsid w:val="00071B32"/>
    <w:rsid w:val="000733B9"/>
    <w:rsid w:val="000A1374"/>
    <w:rsid w:val="000B3A28"/>
    <w:rsid w:val="00146FCB"/>
    <w:rsid w:val="00163084"/>
    <w:rsid w:val="00187F6F"/>
    <w:rsid w:val="002228FB"/>
    <w:rsid w:val="002366F9"/>
    <w:rsid w:val="00256A23"/>
    <w:rsid w:val="00294D77"/>
    <w:rsid w:val="002A00AC"/>
    <w:rsid w:val="002A38EE"/>
    <w:rsid w:val="002B7AA1"/>
    <w:rsid w:val="002C3FA8"/>
    <w:rsid w:val="002D3BB0"/>
    <w:rsid w:val="002E67A5"/>
    <w:rsid w:val="00376EF6"/>
    <w:rsid w:val="00395BAD"/>
    <w:rsid w:val="003B435E"/>
    <w:rsid w:val="003C4727"/>
    <w:rsid w:val="004129B4"/>
    <w:rsid w:val="00414BC4"/>
    <w:rsid w:val="0045463C"/>
    <w:rsid w:val="00456CCD"/>
    <w:rsid w:val="00457E8B"/>
    <w:rsid w:val="00471FDB"/>
    <w:rsid w:val="00483699"/>
    <w:rsid w:val="00492A67"/>
    <w:rsid w:val="00507FEE"/>
    <w:rsid w:val="0051184A"/>
    <w:rsid w:val="00512DCC"/>
    <w:rsid w:val="005175E6"/>
    <w:rsid w:val="0053269C"/>
    <w:rsid w:val="0053721F"/>
    <w:rsid w:val="00546E63"/>
    <w:rsid w:val="005658C0"/>
    <w:rsid w:val="00567CC4"/>
    <w:rsid w:val="00570B54"/>
    <w:rsid w:val="0057112E"/>
    <w:rsid w:val="0057728E"/>
    <w:rsid w:val="00594EED"/>
    <w:rsid w:val="005A12ED"/>
    <w:rsid w:val="005A6387"/>
    <w:rsid w:val="005C1DC2"/>
    <w:rsid w:val="00616475"/>
    <w:rsid w:val="006366CD"/>
    <w:rsid w:val="0064408C"/>
    <w:rsid w:val="00650CFC"/>
    <w:rsid w:val="006832D1"/>
    <w:rsid w:val="00697170"/>
    <w:rsid w:val="006C1FEB"/>
    <w:rsid w:val="00705B64"/>
    <w:rsid w:val="00737274"/>
    <w:rsid w:val="00744DE5"/>
    <w:rsid w:val="007661EB"/>
    <w:rsid w:val="00782AEA"/>
    <w:rsid w:val="007B5C4A"/>
    <w:rsid w:val="007B63A5"/>
    <w:rsid w:val="007E5D86"/>
    <w:rsid w:val="007F02B4"/>
    <w:rsid w:val="00813E64"/>
    <w:rsid w:val="0084779E"/>
    <w:rsid w:val="00887CC1"/>
    <w:rsid w:val="008C5D5B"/>
    <w:rsid w:val="008E7287"/>
    <w:rsid w:val="009031E5"/>
    <w:rsid w:val="009166AA"/>
    <w:rsid w:val="0096235F"/>
    <w:rsid w:val="009663CD"/>
    <w:rsid w:val="009936D1"/>
    <w:rsid w:val="009A02BC"/>
    <w:rsid w:val="009D345D"/>
    <w:rsid w:val="00A06FFD"/>
    <w:rsid w:val="00A25D83"/>
    <w:rsid w:val="00A36953"/>
    <w:rsid w:val="00A46391"/>
    <w:rsid w:val="00A46D25"/>
    <w:rsid w:val="00A87ADE"/>
    <w:rsid w:val="00B1749C"/>
    <w:rsid w:val="00B5510C"/>
    <w:rsid w:val="00B852C0"/>
    <w:rsid w:val="00BA0E5C"/>
    <w:rsid w:val="00BB50E2"/>
    <w:rsid w:val="00BD05C1"/>
    <w:rsid w:val="00C022DF"/>
    <w:rsid w:val="00C14F94"/>
    <w:rsid w:val="00C355C9"/>
    <w:rsid w:val="00C40A62"/>
    <w:rsid w:val="00C40EB0"/>
    <w:rsid w:val="00C42370"/>
    <w:rsid w:val="00C5459A"/>
    <w:rsid w:val="00C70837"/>
    <w:rsid w:val="00C74116"/>
    <w:rsid w:val="00C90169"/>
    <w:rsid w:val="00CD2DE5"/>
    <w:rsid w:val="00D039B3"/>
    <w:rsid w:val="00D048A9"/>
    <w:rsid w:val="00D23418"/>
    <w:rsid w:val="00D454CC"/>
    <w:rsid w:val="00D82484"/>
    <w:rsid w:val="00D86715"/>
    <w:rsid w:val="00D91CC1"/>
    <w:rsid w:val="00DC50AF"/>
    <w:rsid w:val="00DF1EE8"/>
    <w:rsid w:val="00E06DB6"/>
    <w:rsid w:val="00E07E1B"/>
    <w:rsid w:val="00E330C1"/>
    <w:rsid w:val="00E61757"/>
    <w:rsid w:val="00EA70D5"/>
    <w:rsid w:val="00EF00E9"/>
    <w:rsid w:val="00EF19D8"/>
    <w:rsid w:val="00F17537"/>
    <w:rsid w:val="00F24ADA"/>
    <w:rsid w:val="00F40D7B"/>
    <w:rsid w:val="00F52D9E"/>
    <w:rsid w:val="00F74F38"/>
    <w:rsid w:val="00F83A43"/>
    <w:rsid w:val="00FA27BF"/>
    <w:rsid w:val="00FA591D"/>
    <w:rsid w:val="00FB36F5"/>
    <w:rsid w:val="00FC2669"/>
    <w:rsid w:val="00FF4820"/>
    <w:rsid w:val="00FF71B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606F770-25C5-944B-89D5-1B0FCBE3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2366F9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6D5A"/>
    <w:rPr>
      <w:color w:val="0000FF"/>
      <w:u w:val="single"/>
    </w:rPr>
  </w:style>
  <w:style w:type="character" w:customStyle="1" w:styleId="1">
    <w:name w:val="כותרת 1 תו"/>
    <w:basedOn w:val="DefaultParagraphFont"/>
    <w:link w:val="Heading1"/>
    <w:uiPriority w:val="9"/>
    <w:rsid w:val="002366F9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70D5"/>
    <w:pPr>
      <w:ind w:left="720"/>
      <w:contextualSpacing/>
    </w:pPr>
  </w:style>
  <w:style w:type="character" w:customStyle="1" w:styleId="color15">
    <w:name w:val="color_15"/>
    <w:basedOn w:val="DefaultParagraphFont"/>
    <w:rsid w:val="00C90169"/>
  </w:style>
  <w:style w:type="character" w:customStyle="1" w:styleId="apple-converted-space">
    <w:name w:val="apple-converted-space"/>
    <w:basedOn w:val="DefaultParagraphFont"/>
    <w:rsid w:val="00C90169"/>
  </w:style>
  <w:style w:type="character" w:customStyle="1" w:styleId="fontstyle01">
    <w:name w:val="fontstyle01"/>
    <w:basedOn w:val="DefaultParagraphFont"/>
    <w:rsid w:val="007B63A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B63A5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B63A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B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25D83"/>
    <w:rPr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A25D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4742</Characters>
  <Application>Microsoft Office Word</Application>
  <DocSecurity>0</DocSecurity>
  <Lines>39</Lines>
  <Paragraphs>11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Alexandre Tangy</vt:lpstr>
      <vt:lpstr>Alexandre Tangy</vt:lpstr>
      <vt:lpstr>Alexandre Tangy</vt:lpstr>
    </vt:vector>
  </TitlesOfParts>
  <Company>Hewlett-Packard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Alexandre Tangy</dc:title>
  <dc:creator>andreysh</dc:creator>
  <cp:lastModifiedBy>michael perkal</cp:lastModifiedBy>
  <cp:revision>2</cp:revision>
  <cp:lastPrinted>2016-11-15T12:34:00Z</cp:lastPrinted>
  <dcterms:created xsi:type="dcterms:W3CDTF">2020-09-06T13:01:00Z</dcterms:created>
  <dcterms:modified xsi:type="dcterms:W3CDTF">2020-09-06T13:01:00Z</dcterms:modified>
</cp:coreProperties>
</file>