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B5" w:rsidRPr="00CF3BD1" w:rsidRDefault="00576917" w:rsidP="00A06051">
      <w:pPr>
        <w:spacing w:line="360" w:lineRule="auto"/>
        <w:jc w:val="center"/>
        <w:rPr>
          <w:rFonts w:cs="David"/>
          <w:b/>
          <w:bCs/>
          <w:sz w:val="26"/>
          <w:szCs w:val="26"/>
          <w:u w:val="single"/>
          <w:rtl/>
        </w:rPr>
      </w:pPr>
      <w:r w:rsidRPr="00CF3BD1">
        <w:rPr>
          <w:rFonts w:cs="David" w:hint="cs"/>
          <w:b/>
          <w:bCs/>
          <w:sz w:val="26"/>
          <w:szCs w:val="26"/>
          <w:u w:val="single"/>
          <w:rtl/>
        </w:rPr>
        <w:t>ייצוג</w:t>
      </w:r>
      <w:r w:rsidR="00FA15AB" w:rsidRPr="00CF3BD1">
        <w:rPr>
          <w:rFonts w:cs="David" w:hint="cs"/>
          <w:b/>
          <w:bCs/>
          <w:sz w:val="26"/>
          <w:szCs w:val="26"/>
          <w:u w:val="single"/>
          <w:rtl/>
        </w:rPr>
        <w:t xml:space="preserve"> המדינה ב</w:t>
      </w:r>
      <w:r w:rsidRPr="00CF3BD1">
        <w:rPr>
          <w:rFonts w:cs="David" w:hint="cs"/>
          <w:b/>
          <w:bCs/>
          <w:sz w:val="26"/>
          <w:szCs w:val="26"/>
          <w:u w:val="single"/>
          <w:rtl/>
        </w:rPr>
        <w:t xml:space="preserve">בג"ץ </w:t>
      </w:r>
      <w:r w:rsidR="00FA15AB" w:rsidRPr="00CF3BD1">
        <w:rPr>
          <w:rFonts w:cs="David" w:hint="cs"/>
          <w:b/>
          <w:bCs/>
          <w:sz w:val="26"/>
          <w:szCs w:val="26"/>
          <w:u w:val="single"/>
          <w:rtl/>
        </w:rPr>
        <w:t>שלא על-יד</w:t>
      </w:r>
      <w:r w:rsidRPr="00CF3BD1">
        <w:rPr>
          <w:rFonts w:cs="David" w:hint="cs"/>
          <w:b/>
          <w:bCs/>
          <w:sz w:val="26"/>
          <w:szCs w:val="26"/>
          <w:u w:val="single"/>
          <w:rtl/>
        </w:rPr>
        <w:t xml:space="preserve">י היועץ המשפטי לממשלה </w:t>
      </w:r>
      <w:r w:rsidR="00FA15AB" w:rsidRPr="00CF3BD1">
        <w:rPr>
          <w:rFonts w:cs="David"/>
          <w:b/>
          <w:bCs/>
          <w:sz w:val="26"/>
          <w:szCs w:val="26"/>
          <w:u w:val="single"/>
          <w:rtl/>
        </w:rPr>
        <w:t>–</w:t>
      </w:r>
      <w:r w:rsidR="00FA15AB" w:rsidRPr="00CF3BD1">
        <w:rPr>
          <w:rFonts w:cs="David" w:hint="cs"/>
          <w:b/>
          <w:bCs/>
          <w:sz w:val="26"/>
          <w:szCs w:val="26"/>
          <w:u w:val="single"/>
          <w:rtl/>
        </w:rPr>
        <w:t xml:space="preserve"> </w:t>
      </w:r>
      <w:r w:rsidR="00A06051" w:rsidRPr="00CF3BD1">
        <w:rPr>
          <w:rFonts w:cs="David" w:hint="cs"/>
          <w:b/>
          <w:bCs/>
          <w:sz w:val="26"/>
          <w:szCs w:val="26"/>
          <w:u w:val="single"/>
          <w:rtl/>
        </w:rPr>
        <w:t>עקרונות מרכזיים</w:t>
      </w:r>
    </w:p>
    <w:p w:rsidR="00DB26B7" w:rsidRPr="00A06051" w:rsidRDefault="00DB26B7" w:rsidP="00A06051">
      <w:pPr>
        <w:spacing w:after="0" w:line="360" w:lineRule="auto"/>
        <w:jc w:val="both"/>
        <w:rPr>
          <w:rFonts w:cs="David"/>
          <w:b/>
          <w:bCs/>
          <w:sz w:val="24"/>
          <w:szCs w:val="24"/>
          <w:u w:val="single"/>
          <w:rtl/>
        </w:rPr>
      </w:pPr>
      <w:r w:rsidRPr="00A06051">
        <w:rPr>
          <w:rFonts w:cs="David" w:hint="cs"/>
          <w:b/>
          <w:bCs/>
          <w:sz w:val="24"/>
          <w:szCs w:val="24"/>
          <w:u w:val="single"/>
          <w:rtl/>
        </w:rPr>
        <w:t xml:space="preserve">הכלל </w:t>
      </w:r>
      <w:r w:rsidRPr="00A06051">
        <w:rPr>
          <w:rFonts w:cs="David"/>
          <w:b/>
          <w:bCs/>
          <w:sz w:val="24"/>
          <w:szCs w:val="24"/>
          <w:u w:val="single"/>
          <w:rtl/>
        </w:rPr>
        <w:t>–</w:t>
      </w:r>
      <w:r w:rsidRPr="00A06051">
        <w:rPr>
          <w:rFonts w:cs="David" w:hint="cs"/>
          <w:b/>
          <w:bCs/>
          <w:sz w:val="24"/>
          <w:szCs w:val="24"/>
          <w:u w:val="single"/>
          <w:rtl/>
        </w:rPr>
        <w:t xml:space="preserve"> "הייצוג של המדינה בבתי המשפט מופקד כולו בידי היועץ המשפטי לממשלה בלבד"</w:t>
      </w:r>
      <w:r w:rsidRPr="00A06051">
        <w:rPr>
          <w:rStyle w:val="a5"/>
          <w:rFonts w:cs="David"/>
          <w:b/>
          <w:bCs/>
          <w:sz w:val="24"/>
          <w:szCs w:val="24"/>
          <w:u w:val="single"/>
          <w:rtl/>
        </w:rPr>
        <w:footnoteReference w:id="1"/>
      </w:r>
    </w:p>
    <w:p w:rsidR="00DB26B7" w:rsidRPr="005C6AA2" w:rsidRDefault="00DB26B7" w:rsidP="00397C47">
      <w:pPr>
        <w:pStyle w:val="a8"/>
        <w:numPr>
          <w:ilvl w:val="0"/>
          <w:numId w:val="1"/>
        </w:numPr>
        <w:spacing w:line="360" w:lineRule="auto"/>
        <w:ind w:left="397" w:hanging="392"/>
        <w:jc w:val="both"/>
        <w:rPr>
          <w:rFonts w:cs="David"/>
          <w:sz w:val="24"/>
          <w:szCs w:val="24"/>
        </w:rPr>
      </w:pPr>
      <w:r w:rsidRPr="005C6AA2">
        <w:rPr>
          <w:rFonts w:cs="David" w:hint="cs"/>
          <w:sz w:val="24"/>
          <w:szCs w:val="24"/>
          <w:rtl/>
        </w:rPr>
        <w:t xml:space="preserve">היועץ המשפטי לממשלה הוא בעל הסמכות הבלעדית לייצוג הממשלה </w:t>
      </w:r>
      <w:r w:rsidR="00397C47">
        <w:rPr>
          <w:rFonts w:cs="David" w:hint="cs"/>
          <w:sz w:val="24"/>
          <w:szCs w:val="24"/>
          <w:rtl/>
        </w:rPr>
        <w:t xml:space="preserve">ורשויות השלטון </w:t>
      </w:r>
      <w:r w:rsidRPr="005C6AA2">
        <w:rPr>
          <w:rFonts w:cs="David" w:hint="cs"/>
          <w:sz w:val="24"/>
          <w:szCs w:val="24"/>
          <w:rtl/>
        </w:rPr>
        <w:t>בפני בתי המשפט. לא מדובר בעניין הנתון לבחיר</w:t>
      </w:r>
      <w:r w:rsidR="000A1209">
        <w:rPr>
          <w:rFonts w:cs="David" w:hint="cs"/>
          <w:sz w:val="24"/>
          <w:szCs w:val="24"/>
          <w:rtl/>
        </w:rPr>
        <w:t xml:space="preserve">תו של כל יועץ, </w:t>
      </w:r>
      <w:r w:rsidRPr="005C6AA2">
        <w:rPr>
          <w:rFonts w:cs="David" w:hint="cs"/>
          <w:sz w:val="24"/>
          <w:szCs w:val="24"/>
          <w:rtl/>
        </w:rPr>
        <w:t xml:space="preserve">אלא בחובה המוטלת עליו מכוח תפקידו </w:t>
      </w:r>
      <w:r w:rsidRPr="005C6AA2">
        <w:rPr>
          <w:rFonts w:cs="David"/>
          <w:sz w:val="24"/>
          <w:szCs w:val="24"/>
          <w:rtl/>
        </w:rPr>
        <w:t>–</w:t>
      </w:r>
      <w:r w:rsidRPr="005C6AA2">
        <w:rPr>
          <w:rFonts w:cs="David" w:hint="cs"/>
          <w:sz w:val="24"/>
          <w:szCs w:val="24"/>
          <w:rtl/>
        </w:rPr>
        <w:t xml:space="preserve"> היועץ המשפטי לממשלה נושא "בחובת הייצוג של רשויות שלטון" ו"סמכות הייצוג של המדינה או של רשות שלטונית מסורה בידי היועץ המשפטי"</w:t>
      </w:r>
      <w:r>
        <w:rPr>
          <w:rFonts w:cs="David" w:hint="cs"/>
          <w:sz w:val="24"/>
          <w:szCs w:val="24"/>
          <w:rtl/>
        </w:rPr>
        <w:t xml:space="preserve"> (</w:t>
      </w:r>
      <w:r w:rsidRPr="00E53DC7">
        <w:rPr>
          <w:rFonts w:cs="David" w:hint="cs"/>
          <w:b/>
          <w:bCs/>
          <w:sz w:val="24"/>
          <w:szCs w:val="24"/>
          <w:rtl/>
        </w:rPr>
        <w:t>דו"ח ועדת שמגר</w:t>
      </w:r>
      <w:r w:rsidRPr="00C50487">
        <w:rPr>
          <w:rFonts w:cs="David" w:hint="cs"/>
          <w:sz w:val="24"/>
          <w:szCs w:val="24"/>
          <w:rtl/>
        </w:rPr>
        <w:t xml:space="preserve">, </w:t>
      </w:r>
      <w:r w:rsidRPr="005C6AA2">
        <w:rPr>
          <w:rFonts w:cs="David" w:hint="cs"/>
          <w:sz w:val="24"/>
          <w:szCs w:val="24"/>
          <w:rtl/>
        </w:rPr>
        <w:t>פסקאות 64(א)-(ב)</w:t>
      </w:r>
      <w:r w:rsidR="00C50487">
        <w:rPr>
          <w:rFonts w:cs="David" w:hint="cs"/>
          <w:sz w:val="24"/>
          <w:szCs w:val="24"/>
          <w:rtl/>
        </w:rPr>
        <w:t>).</w:t>
      </w:r>
      <w:r>
        <w:rPr>
          <w:rFonts w:cs="David" w:hint="cs"/>
          <w:sz w:val="24"/>
          <w:szCs w:val="24"/>
          <w:rtl/>
        </w:rPr>
        <w:t xml:space="preserve"> תפקיד זה</w:t>
      </w:r>
      <w:r w:rsidR="00E53DC7">
        <w:rPr>
          <w:rFonts w:cs="David" w:hint="cs"/>
          <w:sz w:val="24"/>
          <w:szCs w:val="24"/>
          <w:rtl/>
        </w:rPr>
        <w:t>, על-פי דו"ח ועדת שמגר,</w:t>
      </w:r>
      <w:r>
        <w:rPr>
          <w:rFonts w:cs="David" w:hint="cs"/>
          <w:sz w:val="24"/>
          <w:szCs w:val="24"/>
          <w:rtl/>
        </w:rPr>
        <w:t xml:space="preserve"> הוא</w:t>
      </w:r>
      <w:r w:rsidRPr="005C6AA2">
        <w:rPr>
          <w:rFonts w:cs="David" w:hint="cs"/>
          <w:sz w:val="24"/>
          <w:szCs w:val="24"/>
          <w:rtl/>
        </w:rPr>
        <w:t xml:space="preserve"> "המשכו הטבעי והמהותי של תפקיד הייעוץ המשפטי שנותן היועץ המשפטי לממשלה לרשות המבצעת" </w:t>
      </w:r>
      <w:r>
        <w:rPr>
          <w:rFonts w:cs="David" w:hint="cs"/>
          <w:sz w:val="24"/>
          <w:szCs w:val="24"/>
          <w:rtl/>
        </w:rPr>
        <w:t xml:space="preserve">(בג"ץ 6494/14 </w:t>
      </w:r>
      <w:r w:rsidRPr="005C6AA2">
        <w:rPr>
          <w:rFonts w:cs="David" w:hint="cs"/>
          <w:b/>
          <w:bCs/>
          <w:sz w:val="24"/>
          <w:szCs w:val="24"/>
          <w:rtl/>
        </w:rPr>
        <w:t>גיני נ' הרבנות הראשית</w:t>
      </w:r>
      <w:r>
        <w:rPr>
          <w:rFonts w:cs="David" w:hint="cs"/>
          <w:sz w:val="24"/>
          <w:szCs w:val="24"/>
          <w:rtl/>
        </w:rPr>
        <w:t xml:space="preserve">, פסקה 23 לפסק דינו של השופט סולברג (פורסם בנבו, 6.6.2016), להלן: </w:t>
      </w:r>
      <w:r w:rsidRPr="005C6AA2">
        <w:rPr>
          <w:rFonts w:cs="David" w:hint="cs"/>
          <w:b/>
          <w:bCs/>
          <w:sz w:val="24"/>
          <w:szCs w:val="24"/>
          <w:rtl/>
        </w:rPr>
        <w:t>עניין גיני</w:t>
      </w:r>
      <w:r>
        <w:rPr>
          <w:rFonts w:cs="David" w:hint="cs"/>
          <w:sz w:val="24"/>
          <w:szCs w:val="24"/>
          <w:rtl/>
        </w:rPr>
        <w:t>)</w:t>
      </w:r>
      <w:r w:rsidRPr="005C6AA2">
        <w:rPr>
          <w:rFonts w:cs="David" w:hint="cs"/>
          <w:sz w:val="24"/>
          <w:szCs w:val="24"/>
          <w:rtl/>
        </w:rPr>
        <w:t xml:space="preserve">. </w:t>
      </w:r>
    </w:p>
    <w:p w:rsidR="00DB26B7" w:rsidRPr="006E32C7" w:rsidRDefault="00DB26B7" w:rsidP="00A06051">
      <w:pPr>
        <w:pStyle w:val="a8"/>
        <w:numPr>
          <w:ilvl w:val="0"/>
          <w:numId w:val="1"/>
        </w:numPr>
        <w:spacing w:line="360" w:lineRule="auto"/>
        <w:ind w:left="397" w:hanging="392"/>
        <w:jc w:val="both"/>
        <w:rPr>
          <w:rFonts w:cs="David"/>
          <w:sz w:val="24"/>
          <w:szCs w:val="24"/>
        </w:rPr>
      </w:pPr>
      <w:r>
        <w:rPr>
          <w:rFonts w:cs="David" w:hint="cs"/>
          <w:sz w:val="24"/>
          <w:szCs w:val="24"/>
          <w:rtl/>
        </w:rPr>
        <w:t xml:space="preserve">תפקידו האמור של היועץ </w:t>
      </w:r>
      <w:r w:rsidR="00397C47">
        <w:rPr>
          <w:rFonts w:cs="David" w:hint="cs"/>
          <w:sz w:val="24"/>
          <w:szCs w:val="24"/>
          <w:rtl/>
        </w:rPr>
        <w:t xml:space="preserve">המשפטי לממשלה </w:t>
      </w:r>
      <w:r>
        <w:rPr>
          <w:rFonts w:cs="David" w:hint="cs"/>
          <w:sz w:val="24"/>
          <w:szCs w:val="24"/>
          <w:rtl/>
        </w:rPr>
        <w:t xml:space="preserve">משתרע על </w:t>
      </w:r>
      <w:r w:rsidRPr="00E53DC7">
        <w:rPr>
          <w:rFonts w:cs="David" w:hint="cs"/>
          <w:b/>
          <w:bCs/>
          <w:sz w:val="24"/>
          <w:szCs w:val="24"/>
          <w:rtl/>
        </w:rPr>
        <w:t>כל</w:t>
      </w:r>
      <w:r w:rsidRPr="006E32C7">
        <w:rPr>
          <w:rFonts w:cs="David" w:hint="cs"/>
          <w:sz w:val="24"/>
          <w:szCs w:val="24"/>
          <w:rtl/>
        </w:rPr>
        <w:t xml:space="preserve"> סוגי ההליכים </w:t>
      </w:r>
      <w:r w:rsidRPr="006E32C7">
        <w:rPr>
          <w:rFonts w:cs="David"/>
          <w:sz w:val="24"/>
          <w:szCs w:val="24"/>
          <w:rtl/>
        </w:rPr>
        <w:t>–</w:t>
      </w:r>
      <w:r w:rsidRPr="006E32C7">
        <w:rPr>
          <w:rFonts w:cs="David" w:hint="cs"/>
          <w:sz w:val="24"/>
          <w:szCs w:val="24"/>
          <w:rtl/>
        </w:rPr>
        <w:t xml:space="preserve"> "</w:t>
      </w:r>
      <w:r w:rsidRPr="006E32C7">
        <w:rPr>
          <w:rFonts w:cs="David" w:hint="cs"/>
          <w:b/>
          <w:bCs/>
          <w:sz w:val="24"/>
          <w:szCs w:val="24"/>
          <w:rtl/>
        </w:rPr>
        <w:t>ייצוג המדינה בכל עניין אזרחי, מינהלי, בינלאומי, פיסקלי, משפט העבודה ואחר, מופקד בידי היועץ המשפטי לממשלה ובאי-כוחו</w:t>
      </w:r>
      <w:r w:rsidRPr="006E32C7">
        <w:rPr>
          <w:rFonts w:cs="David" w:hint="cs"/>
          <w:sz w:val="24"/>
          <w:szCs w:val="24"/>
          <w:rtl/>
        </w:rPr>
        <w:t>" ("תפקידי היועץ המשפטי לממשלה" הנחיות היועץ המשפטי לממשלה 1.0000 (2002)</w:t>
      </w:r>
      <w:r w:rsidR="00E53DC7">
        <w:rPr>
          <w:rFonts w:cs="David" w:hint="cs"/>
          <w:sz w:val="24"/>
          <w:szCs w:val="24"/>
          <w:rtl/>
        </w:rPr>
        <w:t>)</w:t>
      </w:r>
      <w:r w:rsidRPr="006E32C7">
        <w:rPr>
          <w:rFonts w:cs="David" w:hint="cs"/>
          <w:sz w:val="24"/>
          <w:szCs w:val="24"/>
          <w:rtl/>
        </w:rPr>
        <w:t xml:space="preserve">. בתחום האזרחי, המינהלי והפלילי </w:t>
      </w:r>
      <w:r>
        <w:rPr>
          <w:rFonts w:cs="David" w:hint="cs"/>
          <w:sz w:val="24"/>
          <w:szCs w:val="24"/>
          <w:rtl/>
        </w:rPr>
        <w:t xml:space="preserve">הדבר </w:t>
      </w:r>
      <w:r w:rsidRPr="006E32C7">
        <w:rPr>
          <w:rFonts w:cs="David" w:hint="cs"/>
          <w:sz w:val="24"/>
          <w:szCs w:val="24"/>
          <w:rtl/>
        </w:rPr>
        <w:t>מעוגן באופן מפורש בחקיקה ראשית (סעיף 4 לחוק לתיקון סדרי הדין האזרחי (המדינה כבעל דין), התשי"ח-1958 וסעיפים 11-12 לחוק סדר הדין הפלילי [נוסח משולב], התשמ"ב-1982)</w:t>
      </w:r>
      <w:r w:rsidR="00196DAD">
        <w:rPr>
          <w:rFonts w:cs="David" w:hint="cs"/>
          <w:sz w:val="24"/>
          <w:szCs w:val="24"/>
          <w:rtl/>
        </w:rPr>
        <w:t>, וכן קיבל ביטוי בפסיקה</w:t>
      </w:r>
      <w:r w:rsidRPr="006E32C7">
        <w:rPr>
          <w:rFonts w:cs="David" w:hint="cs"/>
          <w:sz w:val="24"/>
          <w:szCs w:val="24"/>
          <w:rtl/>
        </w:rPr>
        <w:t xml:space="preserve">. </w:t>
      </w:r>
    </w:p>
    <w:p w:rsidR="000A1209" w:rsidRDefault="00DB26B7" w:rsidP="00A06051">
      <w:pPr>
        <w:pStyle w:val="a8"/>
        <w:numPr>
          <w:ilvl w:val="0"/>
          <w:numId w:val="1"/>
        </w:numPr>
        <w:spacing w:line="360" w:lineRule="auto"/>
        <w:ind w:left="397" w:hanging="392"/>
        <w:jc w:val="both"/>
        <w:rPr>
          <w:rFonts w:cs="David"/>
          <w:sz w:val="24"/>
          <w:szCs w:val="24"/>
        </w:rPr>
      </w:pPr>
      <w:r w:rsidRPr="005C6AA2">
        <w:rPr>
          <w:rFonts w:cs="David" w:hint="cs"/>
          <w:sz w:val="24"/>
          <w:szCs w:val="24"/>
          <w:rtl/>
        </w:rPr>
        <w:t>כלל זה נשען, בין היתר, על התפיסה העקרונית שלפיה "המדינה מדברת בקול אחד": "</w:t>
      </w:r>
      <w:r w:rsidRPr="005C6AA2">
        <w:rPr>
          <w:rFonts w:cs="David" w:hint="cs"/>
          <w:b/>
          <w:bCs/>
          <w:sz w:val="24"/>
          <w:szCs w:val="24"/>
          <w:rtl/>
        </w:rPr>
        <w:t>יש מדינת ישראל אחת, וממשלה אחת, ויועץ משפטי לממשלה אחד, ופרקליטות מדינה אחת שמייצגים את כל גופי המדינה</w:t>
      </w:r>
      <w:r w:rsidRPr="005C6AA2">
        <w:rPr>
          <w:rFonts w:cs="David" w:hint="cs"/>
          <w:sz w:val="24"/>
          <w:szCs w:val="24"/>
          <w:rtl/>
        </w:rPr>
        <w:t xml:space="preserve">" (בג"ץ 6017/10 </w:t>
      </w:r>
      <w:r w:rsidRPr="00397C47">
        <w:rPr>
          <w:rFonts w:cs="David" w:hint="cs"/>
          <w:b/>
          <w:bCs/>
          <w:sz w:val="24"/>
          <w:szCs w:val="24"/>
          <w:rtl/>
        </w:rPr>
        <w:t>אדם טבע ודין נ' שר התשתיות הלאומיות</w:t>
      </w:r>
      <w:r w:rsidRPr="005C6AA2">
        <w:rPr>
          <w:rFonts w:cs="David" w:hint="cs"/>
          <w:sz w:val="24"/>
          <w:szCs w:val="24"/>
          <w:rtl/>
        </w:rPr>
        <w:t>, פסקה ז' להחלטת השופט רובינשטיין (פורסם בנבו, 3.7.2012)</w:t>
      </w:r>
      <w:r w:rsidR="00E53DC7">
        <w:rPr>
          <w:rFonts w:cs="David" w:hint="cs"/>
          <w:sz w:val="24"/>
          <w:szCs w:val="24"/>
          <w:rtl/>
        </w:rPr>
        <w:t xml:space="preserve">, להלן: </w:t>
      </w:r>
      <w:r w:rsidR="00E53DC7" w:rsidRPr="00E53DC7">
        <w:rPr>
          <w:rFonts w:cs="David" w:hint="cs"/>
          <w:b/>
          <w:bCs/>
          <w:sz w:val="24"/>
          <w:szCs w:val="24"/>
          <w:rtl/>
        </w:rPr>
        <w:t>עניין אדם טבע ודין</w:t>
      </w:r>
      <w:r w:rsidR="00E53DC7">
        <w:rPr>
          <w:rFonts w:cs="David" w:hint="cs"/>
          <w:sz w:val="24"/>
          <w:szCs w:val="24"/>
          <w:rtl/>
        </w:rPr>
        <w:t>)</w:t>
      </w:r>
      <w:r w:rsidRPr="005C6AA2">
        <w:rPr>
          <w:rFonts w:cs="David" w:hint="cs"/>
          <w:sz w:val="24"/>
          <w:szCs w:val="24"/>
          <w:rtl/>
        </w:rPr>
        <w:t>. ובדומה: "</w:t>
      </w:r>
      <w:r w:rsidRPr="005C6AA2">
        <w:rPr>
          <w:rFonts w:cs="David" w:hint="cs"/>
          <w:b/>
          <w:bCs/>
          <w:sz w:val="24"/>
          <w:szCs w:val="24"/>
          <w:rtl/>
        </w:rPr>
        <w:t>המדינה מדברת בערכאות "בקול אחד", ומי שאמון על ניסוחו של מוצא פיה, בהיבט המשפטי, הוא היועץ המשפטי לממשלה</w:t>
      </w:r>
      <w:r w:rsidRPr="005C6AA2">
        <w:rPr>
          <w:rFonts w:cs="David" w:hint="cs"/>
          <w:sz w:val="24"/>
          <w:szCs w:val="24"/>
          <w:rtl/>
        </w:rPr>
        <w:t xml:space="preserve">" (בג"ץ 5134/14 </w:t>
      </w:r>
      <w:r w:rsidRPr="005C6AA2">
        <w:rPr>
          <w:rFonts w:cs="David" w:hint="cs"/>
          <w:b/>
          <w:bCs/>
          <w:sz w:val="24"/>
          <w:szCs w:val="24"/>
          <w:rtl/>
        </w:rPr>
        <w:t>התנועה למען איכות השלטון בישראל נ' מועצת מקרקעי ישראל</w:t>
      </w:r>
      <w:r w:rsidRPr="005C6AA2">
        <w:rPr>
          <w:rFonts w:cs="David" w:hint="cs"/>
          <w:sz w:val="24"/>
          <w:szCs w:val="24"/>
          <w:rtl/>
        </w:rPr>
        <w:t xml:space="preserve">, פסקה 23 לפסק דינה של השופטת ברון (פורסם בנבו, 14.11.2016), להלן: </w:t>
      </w:r>
      <w:r w:rsidRPr="005C6AA2">
        <w:rPr>
          <w:rFonts w:cs="David" w:hint="cs"/>
          <w:b/>
          <w:bCs/>
          <w:sz w:val="24"/>
          <w:szCs w:val="24"/>
          <w:rtl/>
        </w:rPr>
        <w:t>עניין התנועה למען איכות השלטון</w:t>
      </w:r>
      <w:r w:rsidRPr="005C6AA2">
        <w:rPr>
          <w:rFonts w:cs="David" w:hint="cs"/>
          <w:sz w:val="24"/>
          <w:szCs w:val="24"/>
          <w:rtl/>
        </w:rPr>
        <w:t xml:space="preserve">). </w:t>
      </w:r>
    </w:p>
    <w:p w:rsidR="00DB26B7" w:rsidRDefault="00DB26B7" w:rsidP="00A06051">
      <w:pPr>
        <w:pStyle w:val="a8"/>
        <w:numPr>
          <w:ilvl w:val="0"/>
          <w:numId w:val="1"/>
        </w:numPr>
        <w:spacing w:line="360" w:lineRule="auto"/>
        <w:ind w:left="397" w:hanging="392"/>
        <w:jc w:val="both"/>
        <w:rPr>
          <w:rFonts w:cs="David"/>
          <w:sz w:val="24"/>
          <w:szCs w:val="24"/>
        </w:rPr>
      </w:pPr>
      <w:r w:rsidRPr="005C6AA2">
        <w:rPr>
          <w:rFonts w:cs="David" w:hint="cs"/>
          <w:sz w:val="24"/>
          <w:szCs w:val="24"/>
          <w:rtl/>
        </w:rPr>
        <w:t xml:space="preserve">על-פי הנטען בספרות, העמדה שלפיה בהליכים משפטיים על המדינה לדבר בקול אחד היא "למעשה פיתוח מודרני של העמדה הקלאסית של תומס הובס, שלפיה הריבונות אינה ניתנת לחלוקה. תפיסה זו אינה ייחודית לישראל, והיא משקפת את העמדה המקובלת בעולם באשר להשמעת קולות שונים מתוך הרשות המבצעת במסגרת הליכים משפטיים" (אדם שנער "בכמה קולות מדברת המדינה? על מתן מעמד לרשות חולקת בהליכים משפטיים" </w:t>
      </w:r>
      <w:r w:rsidRPr="005C6AA2">
        <w:rPr>
          <w:rFonts w:cs="David" w:hint="cs"/>
          <w:b/>
          <w:bCs/>
          <w:sz w:val="24"/>
          <w:szCs w:val="24"/>
          <w:rtl/>
        </w:rPr>
        <w:t>עיוני משפט</w:t>
      </w:r>
      <w:r w:rsidRPr="005C6AA2">
        <w:rPr>
          <w:rFonts w:cs="David" w:hint="cs"/>
          <w:sz w:val="24"/>
          <w:szCs w:val="24"/>
          <w:rtl/>
        </w:rPr>
        <w:t xml:space="preserve"> לח 361 (2016)</w:t>
      </w:r>
      <w:r w:rsidR="00137C5A">
        <w:rPr>
          <w:rFonts w:cs="David" w:hint="cs"/>
          <w:sz w:val="24"/>
          <w:szCs w:val="24"/>
          <w:rtl/>
        </w:rPr>
        <w:t xml:space="preserve">, להלן: </w:t>
      </w:r>
      <w:r w:rsidR="00137C5A" w:rsidRPr="00137C5A">
        <w:rPr>
          <w:rFonts w:cs="David" w:hint="cs"/>
          <w:b/>
          <w:bCs/>
          <w:sz w:val="24"/>
          <w:szCs w:val="24"/>
          <w:rtl/>
        </w:rPr>
        <w:t>שנער</w:t>
      </w:r>
      <w:r w:rsidRPr="005C6AA2">
        <w:rPr>
          <w:rFonts w:cs="David" w:hint="cs"/>
          <w:sz w:val="24"/>
          <w:szCs w:val="24"/>
          <w:rtl/>
        </w:rPr>
        <w:t xml:space="preserve">; והשוו: הכנסת, מרכז המחקר והמידע "היועץ המשפטי לממשלה: סמכויות ייעוץ, ייצוג ותביעה כללית </w:t>
      </w:r>
      <w:r w:rsidRPr="005C6AA2">
        <w:rPr>
          <w:rFonts w:cs="David"/>
          <w:sz w:val="24"/>
          <w:szCs w:val="24"/>
          <w:rtl/>
        </w:rPr>
        <w:t>–</w:t>
      </w:r>
      <w:r w:rsidRPr="005C6AA2">
        <w:rPr>
          <w:rFonts w:cs="David" w:hint="cs"/>
          <w:sz w:val="24"/>
          <w:szCs w:val="24"/>
          <w:rtl/>
        </w:rPr>
        <w:t xml:space="preserve"> סקירה משווה" (14.2.2007)). </w:t>
      </w:r>
    </w:p>
    <w:p w:rsidR="00E5299F" w:rsidRPr="00A06051" w:rsidRDefault="00E5299F" w:rsidP="00A06051">
      <w:pPr>
        <w:spacing w:after="0" w:line="360" w:lineRule="auto"/>
        <w:ind w:firstLine="5"/>
        <w:jc w:val="both"/>
        <w:rPr>
          <w:rFonts w:cs="David"/>
          <w:b/>
          <w:bCs/>
          <w:sz w:val="24"/>
          <w:szCs w:val="24"/>
          <w:u w:val="single"/>
          <w:rtl/>
        </w:rPr>
      </w:pPr>
      <w:r w:rsidRPr="00A06051">
        <w:rPr>
          <w:rFonts w:cs="David" w:hint="cs"/>
          <w:b/>
          <w:bCs/>
          <w:sz w:val="24"/>
          <w:szCs w:val="24"/>
          <w:u w:val="single"/>
          <w:rtl/>
        </w:rPr>
        <w:t xml:space="preserve">טעמי הכלל והסכנות בחריג </w:t>
      </w:r>
      <w:r w:rsidRPr="00A06051">
        <w:rPr>
          <w:rFonts w:cs="David"/>
          <w:b/>
          <w:bCs/>
          <w:sz w:val="24"/>
          <w:szCs w:val="24"/>
          <w:u w:val="single"/>
          <w:rtl/>
        </w:rPr>
        <w:t>–</w:t>
      </w:r>
      <w:r w:rsidRPr="00A06051">
        <w:rPr>
          <w:rFonts w:cs="David" w:hint="cs"/>
          <w:b/>
          <w:bCs/>
          <w:sz w:val="24"/>
          <w:szCs w:val="24"/>
          <w:u w:val="single"/>
          <w:rtl/>
        </w:rPr>
        <w:t xml:space="preserve"> "מתן ייצוג נפרד למשרדי ממשלה אחריתו מרה ונזקו מרובה"</w:t>
      </w:r>
      <w:r w:rsidRPr="00A06051">
        <w:rPr>
          <w:rStyle w:val="a5"/>
          <w:rFonts w:cs="David"/>
          <w:b/>
          <w:bCs/>
          <w:sz w:val="24"/>
          <w:szCs w:val="24"/>
          <w:u w:val="single"/>
          <w:rtl/>
        </w:rPr>
        <w:footnoteReference w:id="2"/>
      </w:r>
    </w:p>
    <w:p w:rsidR="00E5299F" w:rsidRPr="000A1209" w:rsidRDefault="00E5299F" w:rsidP="00A06051">
      <w:pPr>
        <w:pStyle w:val="a8"/>
        <w:numPr>
          <w:ilvl w:val="0"/>
          <w:numId w:val="1"/>
        </w:numPr>
        <w:spacing w:line="360" w:lineRule="auto"/>
        <w:ind w:left="355" w:hanging="378"/>
        <w:jc w:val="both"/>
        <w:rPr>
          <w:rFonts w:cs="David"/>
          <w:sz w:val="24"/>
          <w:szCs w:val="24"/>
          <w:rtl/>
        </w:rPr>
      </w:pPr>
      <w:r w:rsidRPr="000A1209">
        <w:rPr>
          <w:rFonts w:cs="David" w:hint="cs"/>
          <w:sz w:val="24"/>
          <w:szCs w:val="24"/>
          <w:u w:val="single"/>
          <w:rtl/>
        </w:rPr>
        <w:t>טעמים הקשורים ל</w:t>
      </w:r>
      <w:r>
        <w:rPr>
          <w:rFonts w:cs="David" w:hint="cs"/>
          <w:sz w:val="24"/>
          <w:szCs w:val="24"/>
          <w:u w:val="single"/>
          <w:rtl/>
        </w:rPr>
        <w:t xml:space="preserve">עיקרון החוקיות, </w:t>
      </w:r>
      <w:r w:rsidRPr="000A1209">
        <w:rPr>
          <w:rFonts w:cs="David" w:hint="cs"/>
          <w:sz w:val="24"/>
          <w:szCs w:val="24"/>
          <w:u w:val="single"/>
          <w:rtl/>
        </w:rPr>
        <w:t>כיבוד החוק ו</w:t>
      </w:r>
      <w:r>
        <w:rPr>
          <w:rFonts w:cs="David" w:hint="cs"/>
          <w:sz w:val="24"/>
          <w:szCs w:val="24"/>
          <w:u w:val="single"/>
          <w:rtl/>
        </w:rPr>
        <w:t>ה</w:t>
      </w:r>
      <w:r w:rsidRPr="000A1209">
        <w:rPr>
          <w:rFonts w:cs="David" w:hint="cs"/>
          <w:sz w:val="24"/>
          <w:szCs w:val="24"/>
          <w:u w:val="single"/>
          <w:rtl/>
        </w:rPr>
        <w:t>שמירה על שלטון החוק:</w:t>
      </w:r>
      <w:r w:rsidRPr="000A1209">
        <w:rPr>
          <w:rFonts w:cs="David" w:hint="cs"/>
          <w:sz w:val="24"/>
          <w:szCs w:val="24"/>
          <w:rtl/>
        </w:rPr>
        <w:t xml:space="preserve"> ייצוג המדינה על-ידי היועץ </w:t>
      </w:r>
      <w:r>
        <w:rPr>
          <w:rFonts w:cs="David" w:hint="cs"/>
          <w:sz w:val="24"/>
          <w:szCs w:val="24"/>
          <w:rtl/>
        </w:rPr>
        <w:t xml:space="preserve">המשפטי לממשלה </w:t>
      </w:r>
      <w:r w:rsidRPr="000A1209">
        <w:rPr>
          <w:rFonts w:cs="David" w:hint="cs"/>
          <w:sz w:val="24"/>
          <w:szCs w:val="24"/>
          <w:rtl/>
        </w:rPr>
        <w:t>נועד להבטיח</w:t>
      </w:r>
      <w:r>
        <w:rPr>
          <w:rFonts w:cs="David" w:hint="cs"/>
          <w:sz w:val="24"/>
          <w:szCs w:val="24"/>
          <w:rtl/>
        </w:rPr>
        <w:t>,</w:t>
      </w:r>
      <w:r w:rsidRPr="000A1209">
        <w:rPr>
          <w:rFonts w:cs="David" w:hint="cs"/>
          <w:sz w:val="24"/>
          <w:szCs w:val="24"/>
          <w:rtl/>
        </w:rPr>
        <w:t xml:space="preserve"> בראש ובראשונה, כי פעולות רשויות המדינ</w:t>
      </w:r>
      <w:r w:rsidR="00201D24">
        <w:rPr>
          <w:rFonts w:cs="David" w:hint="cs"/>
          <w:sz w:val="24"/>
          <w:szCs w:val="24"/>
          <w:rtl/>
        </w:rPr>
        <w:t xml:space="preserve">ה </w:t>
      </w:r>
      <w:r w:rsidR="00201D24">
        <w:rPr>
          <w:rFonts w:cs="David" w:hint="cs"/>
          <w:sz w:val="24"/>
          <w:szCs w:val="24"/>
          <w:rtl/>
        </w:rPr>
        <w:lastRenderedPageBreak/>
        <w:t xml:space="preserve">תהיינה תקינות וחוקיות. </w:t>
      </w:r>
      <w:r w:rsidRPr="000A1209">
        <w:rPr>
          <w:rFonts w:cs="David" w:hint="cs"/>
          <w:sz w:val="24"/>
          <w:szCs w:val="24"/>
          <w:rtl/>
        </w:rPr>
        <w:t xml:space="preserve">היועץ המשפטי לממשלה הוא הפרשן המוסמך של הדין כלפי הרשות המבצעת והגורם המופקד על ההגנה על שלטון החוק ועל שמירת האינטרס הציבורי בתחום המשפטי. מאחר </w:t>
      </w:r>
      <w:r>
        <w:rPr>
          <w:rFonts w:cs="David" w:hint="cs"/>
          <w:sz w:val="24"/>
          <w:szCs w:val="24"/>
          <w:rtl/>
        </w:rPr>
        <w:t>ש"</w:t>
      </w:r>
      <w:r w:rsidRPr="000A1209">
        <w:rPr>
          <w:rFonts w:cs="David" w:hint="cs"/>
          <w:sz w:val="24"/>
          <w:szCs w:val="24"/>
          <w:rtl/>
        </w:rPr>
        <w:t>מדיניות הממשלה כוללת מניה וביה את עמדתה של הממשלה ב</w:t>
      </w:r>
      <w:r w:rsidR="00397C47">
        <w:rPr>
          <w:rFonts w:cs="David" w:hint="cs"/>
          <w:sz w:val="24"/>
          <w:szCs w:val="24"/>
          <w:rtl/>
        </w:rPr>
        <w:t xml:space="preserve">עניין חוקיותה של ההחלטה הנבחנת", </w:t>
      </w:r>
      <w:r>
        <w:rPr>
          <w:rFonts w:cs="David" w:hint="cs"/>
          <w:sz w:val="24"/>
          <w:szCs w:val="24"/>
          <w:rtl/>
        </w:rPr>
        <w:t>ייצוג המדינה על-ידי היועץ</w:t>
      </w:r>
      <w:r w:rsidR="00397C47">
        <w:rPr>
          <w:rFonts w:cs="David" w:hint="cs"/>
          <w:sz w:val="24"/>
          <w:szCs w:val="24"/>
          <w:rtl/>
        </w:rPr>
        <w:t xml:space="preserve"> וניסוחה של עמדת המדינה על-ידיו, </w:t>
      </w:r>
      <w:r>
        <w:rPr>
          <w:rFonts w:cs="David" w:hint="cs"/>
          <w:sz w:val="24"/>
          <w:szCs w:val="24"/>
          <w:rtl/>
        </w:rPr>
        <w:t>מבטיח</w:t>
      </w:r>
      <w:r w:rsidR="00E53DC7">
        <w:rPr>
          <w:rFonts w:cs="David" w:hint="cs"/>
          <w:sz w:val="24"/>
          <w:szCs w:val="24"/>
          <w:rtl/>
        </w:rPr>
        <w:t>ים</w:t>
      </w:r>
      <w:r>
        <w:rPr>
          <w:rFonts w:cs="David" w:hint="cs"/>
          <w:sz w:val="24"/>
          <w:szCs w:val="24"/>
          <w:rtl/>
        </w:rPr>
        <w:t xml:space="preserve"> כי הרשות תפעל בהתאם לחוק, כפי שהוא מפורש על-ידי היועץ. ודוק: </w:t>
      </w:r>
      <w:r w:rsidRPr="000A1209">
        <w:rPr>
          <w:rFonts w:cs="David" w:hint="cs"/>
          <w:sz w:val="24"/>
          <w:szCs w:val="24"/>
          <w:rtl/>
        </w:rPr>
        <w:t xml:space="preserve">"המשמעות איננה שהשר כפוף ליועמ"ש, אלא שהשר כפוף לחוק </w:t>
      </w:r>
      <w:r w:rsidRPr="000A1209">
        <w:rPr>
          <w:rFonts w:cs="David"/>
          <w:sz w:val="24"/>
          <w:szCs w:val="24"/>
          <w:rtl/>
        </w:rPr>
        <w:t>–</w:t>
      </w:r>
      <w:r w:rsidRPr="000A1209">
        <w:rPr>
          <w:rFonts w:cs="David" w:hint="cs"/>
          <w:sz w:val="24"/>
          <w:szCs w:val="24"/>
          <w:rtl/>
        </w:rPr>
        <w:t xml:space="preserve"> ופירושו של היועמ"ש מחייב אותו"</w:t>
      </w:r>
      <w:r>
        <w:rPr>
          <w:rFonts w:cs="David" w:hint="cs"/>
          <w:sz w:val="24"/>
          <w:szCs w:val="24"/>
          <w:rtl/>
        </w:rPr>
        <w:t xml:space="preserve">; </w:t>
      </w:r>
      <w:r w:rsidRPr="000A1209">
        <w:rPr>
          <w:rFonts w:cs="David" w:hint="cs"/>
          <w:sz w:val="24"/>
          <w:szCs w:val="24"/>
          <w:rtl/>
        </w:rPr>
        <w:t>"כיבוד עמדת היועמ"ש בשאלות של חוקיות משמעו ייצוג הממשלה נאמנה, כפי שמורה החוק" (</w:t>
      </w:r>
      <w:r w:rsidRPr="00E53DC7">
        <w:rPr>
          <w:rFonts w:cs="David" w:hint="cs"/>
          <w:b/>
          <w:bCs/>
          <w:sz w:val="24"/>
          <w:szCs w:val="24"/>
          <w:rtl/>
        </w:rPr>
        <w:t>עניין התנועה לאיכות השלטון</w:t>
      </w:r>
      <w:r>
        <w:rPr>
          <w:rFonts w:cs="David" w:hint="cs"/>
          <w:sz w:val="24"/>
          <w:szCs w:val="24"/>
          <w:rtl/>
        </w:rPr>
        <w:t>, בפסקאות 48 ו-51)</w:t>
      </w:r>
      <w:r w:rsidRPr="000A1209">
        <w:rPr>
          <w:rFonts w:cs="David" w:hint="cs"/>
          <w:sz w:val="24"/>
          <w:szCs w:val="24"/>
          <w:rtl/>
        </w:rPr>
        <w:t xml:space="preserve">. </w:t>
      </w:r>
      <w:r w:rsidR="00201D24">
        <w:rPr>
          <w:rFonts w:cs="David" w:hint="cs"/>
          <w:sz w:val="24"/>
          <w:szCs w:val="24"/>
          <w:rtl/>
        </w:rPr>
        <w:t>ברוח זו הוסבר בעניין זה בספרות כי</w:t>
      </w:r>
      <w:r>
        <w:rPr>
          <w:rFonts w:cs="David" w:hint="cs"/>
          <w:sz w:val="24"/>
          <w:szCs w:val="24"/>
          <w:rtl/>
        </w:rPr>
        <w:t>:</w:t>
      </w:r>
      <w:r w:rsidRPr="000A1209">
        <w:rPr>
          <w:rFonts w:cs="David" w:hint="cs"/>
          <w:sz w:val="24"/>
          <w:szCs w:val="24"/>
          <w:rtl/>
        </w:rPr>
        <w:t xml:space="preserve"> </w:t>
      </w:r>
      <w:r w:rsidRPr="00201D24">
        <w:rPr>
          <w:rFonts w:cs="David" w:hint="cs"/>
          <w:sz w:val="24"/>
          <w:szCs w:val="24"/>
          <w:rtl/>
        </w:rPr>
        <w:t xml:space="preserve">"כוח הייצוג של היועץ המשפטי </w:t>
      </w:r>
      <w:r w:rsidRPr="00201D24">
        <w:rPr>
          <w:rFonts w:cs="David"/>
          <w:sz w:val="24"/>
          <w:szCs w:val="24"/>
          <w:rtl/>
        </w:rPr>
        <w:t>–</w:t>
      </w:r>
      <w:r w:rsidRPr="00201D24">
        <w:rPr>
          <w:rFonts w:cs="David" w:hint="cs"/>
          <w:sz w:val="24"/>
          <w:szCs w:val="24"/>
          <w:rtl/>
        </w:rPr>
        <w:t xml:space="preserve"> שאין בפני בג"ץ בשאלות משפטיות אלא עמדתו שלו בשם הרשויות הציבוריות </w:t>
      </w:r>
      <w:r w:rsidRPr="00201D24">
        <w:rPr>
          <w:rFonts w:cs="David"/>
          <w:sz w:val="24"/>
          <w:szCs w:val="24"/>
          <w:rtl/>
        </w:rPr>
        <w:t>–</w:t>
      </w:r>
      <w:r w:rsidRPr="00201D24">
        <w:rPr>
          <w:rFonts w:cs="David" w:hint="cs"/>
          <w:sz w:val="24"/>
          <w:szCs w:val="24"/>
          <w:rtl/>
        </w:rPr>
        <w:t xml:space="preserve"> הוא ערובה לכיבוד החוק על-ידי הרשויות. אלה יודעות, שלא ייזכו לייצוג בבג"ץ אלא אם כן ייראה ליועץ המשפטי </w:t>
      </w:r>
      <w:r w:rsidRPr="00201D24">
        <w:rPr>
          <w:rFonts w:cs="David"/>
          <w:sz w:val="24"/>
          <w:szCs w:val="24"/>
          <w:rtl/>
        </w:rPr>
        <w:t>–</w:t>
      </w:r>
      <w:r w:rsidRPr="00201D24">
        <w:rPr>
          <w:rFonts w:cs="David" w:hint="cs"/>
          <w:sz w:val="24"/>
          <w:szCs w:val="24"/>
          <w:rtl/>
        </w:rPr>
        <w:t xml:space="preserve"> לו ולא לאחרים </w:t>
      </w:r>
      <w:r w:rsidRPr="00201D24">
        <w:rPr>
          <w:rFonts w:cs="David"/>
          <w:sz w:val="24"/>
          <w:szCs w:val="24"/>
          <w:rtl/>
        </w:rPr>
        <w:t>–</w:t>
      </w:r>
      <w:r w:rsidRPr="00201D24">
        <w:rPr>
          <w:rFonts w:cs="David" w:hint="cs"/>
          <w:sz w:val="24"/>
          <w:szCs w:val="24"/>
          <w:rtl/>
        </w:rPr>
        <w:t xml:space="preserve"> שפעולתן בדין יסודה</w:t>
      </w:r>
      <w:r w:rsidRPr="000A1209">
        <w:rPr>
          <w:rFonts w:cs="David" w:hint="cs"/>
          <w:sz w:val="24"/>
          <w:szCs w:val="24"/>
          <w:rtl/>
        </w:rPr>
        <w:t xml:space="preserve">" (אריאל בנדור וזאב סגל "היועץ המשפטי לממשלה </w:t>
      </w:r>
      <w:r w:rsidRPr="000A1209">
        <w:rPr>
          <w:rFonts w:cs="David"/>
          <w:sz w:val="24"/>
          <w:szCs w:val="24"/>
          <w:rtl/>
        </w:rPr>
        <w:t>–</w:t>
      </w:r>
      <w:r w:rsidRPr="000A1209">
        <w:rPr>
          <w:rFonts w:cs="David" w:hint="cs"/>
          <w:sz w:val="24"/>
          <w:szCs w:val="24"/>
          <w:rtl/>
        </w:rPr>
        <w:t xml:space="preserve"> המשפט והמימשל" </w:t>
      </w:r>
      <w:r w:rsidRPr="00201D24">
        <w:rPr>
          <w:rFonts w:cs="David" w:hint="cs"/>
          <w:b/>
          <w:bCs/>
          <w:sz w:val="24"/>
          <w:szCs w:val="24"/>
          <w:rtl/>
        </w:rPr>
        <w:t>הפרקליט</w:t>
      </w:r>
      <w:r w:rsidRPr="000A1209">
        <w:rPr>
          <w:rFonts w:cs="David" w:hint="cs"/>
          <w:sz w:val="24"/>
          <w:szCs w:val="24"/>
          <w:rtl/>
        </w:rPr>
        <w:t xml:space="preserve"> מד(ג) 423, 438 (1999) להלן: </w:t>
      </w:r>
      <w:r w:rsidRPr="000A1209">
        <w:rPr>
          <w:rFonts w:cs="David" w:hint="cs"/>
          <w:b/>
          <w:bCs/>
          <w:sz w:val="24"/>
          <w:szCs w:val="24"/>
          <w:rtl/>
        </w:rPr>
        <w:t>בנדור וסגל</w:t>
      </w:r>
      <w:r w:rsidRPr="000A1209">
        <w:rPr>
          <w:rFonts w:cs="David" w:hint="cs"/>
          <w:sz w:val="24"/>
          <w:szCs w:val="24"/>
          <w:rtl/>
        </w:rPr>
        <w:t xml:space="preserve">). </w:t>
      </w:r>
    </w:p>
    <w:p w:rsidR="00E5299F" w:rsidRDefault="00E5299F" w:rsidP="00A06051">
      <w:pPr>
        <w:pStyle w:val="a8"/>
        <w:numPr>
          <w:ilvl w:val="0"/>
          <w:numId w:val="1"/>
        </w:numPr>
        <w:spacing w:line="360" w:lineRule="auto"/>
        <w:ind w:left="355" w:hanging="378"/>
        <w:jc w:val="both"/>
        <w:rPr>
          <w:rFonts w:cs="David"/>
          <w:sz w:val="24"/>
          <w:szCs w:val="24"/>
        </w:rPr>
      </w:pPr>
      <w:r w:rsidRPr="00E53DC7">
        <w:rPr>
          <w:rFonts w:cs="David" w:hint="cs"/>
          <w:sz w:val="24"/>
          <w:szCs w:val="24"/>
          <w:u w:val="single"/>
          <w:rtl/>
        </w:rPr>
        <w:t>טעמים</w:t>
      </w:r>
      <w:r w:rsidR="00201D24">
        <w:rPr>
          <w:rFonts w:cs="David" w:hint="cs"/>
          <w:sz w:val="24"/>
          <w:szCs w:val="24"/>
          <w:u w:val="single"/>
          <w:rtl/>
        </w:rPr>
        <w:t xml:space="preserve"> הקשורים לאחידות</w:t>
      </w:r>
      <w:r w:rsidRPr="00E53DC7">
        <w:rPr>
          <w:rFonts w:cs="David" w:hint="cs"/>
          <w:sz w:val="24"/>
          <w:szCs w:val="24"/>
          <w:u w:val="single"/>
          <w:rtl/>
        </w:rPr>
        <w:t xml:space="preserve"> ועקביות</w:t>
      </w:r>
      <w:r w:rsidR="00201D24">
        <w:rPr>
          <w:rFonts w:cs="David" w:hint="cs"/>
          <w:sz w:val="24"/>
          <w:szCs w:val="24"/>
          <w:u w:val="single"/>
          <w:rtl/>
        </w:rPr>
        <w:t>(/קוהרנטיות)</w:t>
      </w:r>
      <w:r w:rsidRPr="00E53DC7">
        <w:rPr>
          <w:rFonts w:cs="David" w:hint="cs"/>
          <w:sz w:val="24"/>
          <w:szCs w:val="24"/>
          <w:u w:val="single"/>
          <w:rtl/>
        </w:rPr>
        <w:t xml:space="preserve"> העמדה המשפטית של המדינה</w:t>
      </w:r>
      <w:r w:rsidRPr="00E53DC7">
        <w:rPr>
          <w:rFonts w:cs="David" w:hint="cs"/>
          <w:sz w:val="24"/>
          <w:szCs w:val="24"/>
          <w:rtl/>
        </w:rPr>
        <w:t>: ייצוג המדינה על-ידי היועץ המשפטי לממש</w:t>
      </w:r>
      <w:r w:rsidR="00201D24">
        <w:rPr>
          <w:rFonts w:cs="David" w:hint="cs"/>
          <w:sz w:val="24"/>
          <w:szCs w:val="24"/>
          <w:rtl/>
        </w:rPr>
        <w:t>לה מבטיח כי המדינה תביא בפני בתי</w:t>
      </w:r>
      <w:r w:rsidRPr="00E53DC7">
        <w:rPr>
          <w:rFonts w:cs="David" w:hint="cs"/>
          <w:sz w:val="24"/>
          <w:szCs w:val="24"/>
          <w:rtl/>
        </w:rPr>
        <w:t xml:space="preserve"> המשפט</w:t>
      </w:r>
      <w:r w:rsidR="00E53DC7" w:rsidRPr="00E53DC7">
        <w:rPr>
          <w:rFonts w:cs="David" w:hint="cs"/>
          <w:sz w:val="24"/>
          <w:szCs w:val="24"/>
          <w:rtl/>
        </w:rPr>
        <w:t>, במגוון ההליכים שבהם היא נדרשת לעשות כן,</w:t>
      </w:r>
      <w:r w:rsidRPr="00E53DC7">
        <w:rPr>
          <w:rFonts w:cs="David" w:hint="cs"/>
          <w:sz w:val="24"/>
          <w:szCs w:val="24"/>
          <w:rtl/>
        </w:rPr>
        <w:t xml:space="preserve"> עמדות </w:t>
      </w:r>
      <w:r w:rsidR="00201D24">
        <w:rPr>
          <w:rFonts w:cs="David" w:hint="cs"/>
          <w:sz w:val="24"/>
          <w:szCs w:val="24"/>
          <w:rtl/>
        </w:rPr>
        <w:t>א</w:t>
      </w:r>
      <w:r w:rsidRPr="00E53DC7">
        <w:rPr>
          <w:rFonts w:cs="David" w:hint="cs"/>
          <w:sz w:val="24"/>
          <w:szCs w:val="24"/>
          <w:rtl/>
        </w:rPr>
        <w:t>חידות</w:t>
      </w:r>
      <w:r w:rsidR="00201D24">
        <w:rPr>
          <w:rFonts w:cs="David" w:hint="cs"/>
          <w:sz w:val="24"/>
          <w:szCs w:val="24"/>
          <w:rtl/>
        </w:rPr>
        <w:t xml:space="preserve"> ועקביות</w:t>
      </w:r>
      <w:r w:rsidRPr="00E53DC7">
        <w:rPr>
          <w:rFonts w:cs="David" w:hint="cs"/>
          <w:sz w:val="24"/>
          <w:szCs w:val="24"/>
          <w:rtl/>
        </w:rPr>
        <w:t xml:space="preserve">, אשר </w:t>
      </w:r>
      <w:r w:rsidR="00201D24">
        <w:rPr>
          <w:rFonts w:cs="David" w:hint="cs"/>
          <w:sz w:val="24"/>
          <w:szCs w:val="24"/>
          <w:rtl/>
        </w:rPr>
        <w:t xml:space="preserve">גובשו </w:t>
      </w:r>
      <w:r w:rsidRPr="00E53DC7">
        <w:rPr>
          <w:rFonts w:cs="David" w:hint="cs"/>
          <w:sz w:val="24"/>
          <w:szCs w:val="24"/>
          <w:rtl/>
        </w:rPr>
        <w:t>בתיאום עם כלל גורמי הממשלה הרלוונטיים.</w:t>
      </w:r>
      <w:r w:rsidR="00E53DC7" w:rsidRPr="00E53DC7">
        <w:rPr>
          <w:rFonts w:cs="David" w:hint="cs"/>
          <w:sz w:val="24"/>
          <w:szCs w:val="24"/>
          <w:rtl/>
        </w:rPr>
        <w:t xml:space="preserve"> "על הפרקליטות לזהות אם ישנם חילוקי דעות בנושא שלפניה ויש להם רלבנטיות לעתירה (להבדיל מני</w:t>
      </w:r>
      <w:r w:rsidR="00BA2276">
        <w:rPr>
          <w:rFonts w:cs="David" w:hint="cs"/>
          <w:sz w:val="24"/>
          <w:szCs w:val="24"/>
          <w:rtl/>
        </w:rPr>
        <w:t>ג</w:t>
      </w:r>
      <w:r w:rsidR="00E53DC7" w:rsidRPr="00E53DC7">
        <w:rPr>
          <w:rFonts w:cs="David" w:hint="cs"/>
          <w:sz w:val="24"/>
          <w:szCs w:val="24"/>
          <w:rtl/>
        </w:rPr>
        <w:t xml:space="preserve">וח מפלגתי או אישי כזה או אחר) </w:t>
      </w:r>
      <w:r w:rsidR="00E53DC7" w:rsidRPr="00E53DC7">
        <w:rPr>
          <w:rFonts w:cs="David"/>
          <w:sz w:val="24"/>
          <w:szCs w:val="24"/>
          <w:rtl/>
        </w:rPr>
        <w:t>–</w:t>
      </w:r>
      <w:r w:rsidR="00E53DC7" w:rsidRPr="00E53DC7">
        <w:rPr>
          <w:rFonts w:cs="David" w:hint="cs"/>
          <w:sz w:val="24"/>
          <w:szCs w:val="24"/>
          <w:rtl/>
        </w:rPr>
        <w:t xml:space="preserve"> ובמקרה כזה לערוך את האינטגרציה". חזקה על הפרקליטות, כזרוע של היועץ המשפטי לממשלה, שהעמדות השונות תהיינה לנגד עיניה ככל הנחוץ בבואה לערוך דבריה לפני בית המשפט, "ומבחינה זו במהות תהא התמונה מלאה וראויה" (</w:t>
      </w:r>
      <w:r w:rsidR="00E53DC7" w:rsidRPr="00E53DC7">
        <w:rPr>
          <w:rFonts w:cs="David" w:hint="cs"/>
          <w:b/>
          <w:bCs/>
          <w:sz w:val="24"/>
          <w:szCs w:val="24"/>
          <w:rtl/>
        </w:rPr>
        <w:t>עניין אדם טבע ודין</w:t>
      </w:r>
      <w:r w:rsidR="00E53DC7" w:rsidRPr="00E53DC7">
        <w:rPr>
          <w:rFonts w:cs="David" w:hint="cs"/>
          <w:sz w:val="24"/>
          <w:szCs w:val="24"/>
          <w:rtl/>
        </w:rPr>
        <w:t xml:space="preserve">, בפסקאות ז'-ח' להחלטה). </w:t>
      </w:r>
      <w:r w:rsidRPr="00E53DC7">
        <w:rPr>
          <w:rFonts w:cs="David" w:hint="cs"/>
          <w:sz w:val="24"/>
          <w:szCs w:val="24"/>
          <w:rtl/>
        </w:rPr>
        <w:t xml:space="preserve">שהרי: "נשוה בנפשנו מה יהא אם יבוא כל משרד ממשלתי בנושאים שונים לבתי המשפט בלויית ייצוג משלו, והעמדות אף יהיו סותרות </w:t>
      </w:r>
      <w:r w:rsidRPr="00E53DC7">
        <w:rPr>
          <w:rFonts w:cs="David"/>
          <w:sz w:val="24"/>
          <w:szCs w:val="24"/>
          <w:rtl/>
        </w:rPr>
        <w:t>–</w:t>
      </w:r>
      <w:r w:rsidRPr="00E53DC7">
        <w:rPr>
          <w:rFonts w:cs="David" w:hint="cs"/>
          <w:sz w:val="24"/>
          <w:szCs w:val="24"/>
          <w:rtl/>
        </w:rPr>
        <w:t xml:space="preserve"> מה תהא עמדת המדינה?" (</w:t>
      </w:r>
      <w:r w:rsidRPr="00E53DC7">
        <w:rPr>
          <w:rFonts w:cs="David" w:hint="cs"/>
          <w:b/>
          <w:bCs/>
          <w:sz w:val="24"/>
          <w:szCs w:val="24"/>
          <w:rtl/>
        </w:rPr>
        <w:t>עניין גיני</w:t>
      </w:r>
      <w:r w:rsidRPr="00E53DC7">
        <w:rPr>
          <w:rFonts w:cs="David" w:hint="cs"/>
          <w:sz w:val="24"/>
          <w:szCs w:val="24"/>
          <w:rtl/>
        </w:rPr>
        <w:t>, בפסקה ד' לפסק דינו של השופט רובינשטיין)</w:t>
      </w:r>
      <w:r w:rsidR="00E53DC7">
        <w:rPr>
          <w:rFonts w:cs="David" w:hint="cs"/>
          <w:sz w:val="24"/>
          <w:szCs w:val="24"/>
          <w:rtl/>
        </w:rPr>
        <w:t>.</w:t>
      </w:r>
    </w:p>
    <w:p w:rsidR="00397C47" w:rsidRPr="00397C47" w:rsidRDefault="00E5299F" w:rsidP="00397C47">
      <w:pPr>
        <w:pStyle w:val="a8"/>
        <w:numPr>
          <w:ilvl w:val="0"/>
          <w:numId w:val="1"/>
        </w:numPr>
        <w:spacing w:line="360" w:lineRule="auto"/>
        <w:ind w:left="355" w:hanging="378"/>
        <w:jc w:val="both"/>
        <w:rPr>
          <w:rFonts w:cs="David"/>
          <w:sz w:val="24"/>
          <w:szCs w:val="24"/>
        </w:rPr>
      </w:pPr>
      <w:r w:rsidRPr="00397C47">
        <w:rPr>
          <w:rFonts w:cs="David" w:hint="cs"/>
          <w:sz w:val="24"/>
          <w:szCs w:val="24"/>
          <w:u w:val="single"/>
          <w:rtl/>
        </w:rPr>
        <w:t xml:space="preserve">טעמים מוסדיים (הרשות המבצעת </w:t>
      </w:r>
      <w:r w:rsidRPr="00397C47">
        <w:rPr>
          <w:rFonts w:cs="David"/>
          <w:sz w:val="24"/>
          <w:szCs w:val="24"/>
          <w:u w:val="single"/>
        </w:rPr>
        <w:t>v.</w:t>
      </w:r>
      <w:r w:rsidR="00397C47">
        <w:rPr>
          <w:rFonts w:cs="David" w:hint="cs"/>
          <w:sz w:val="24"/>
          <w:szCs w:val="24"/>
          <w:u w:val="single"/>
          <w:rtl/>
        </w:rPr>
        <w:t xml:space="preserve"> הרשות השופטת)</w:t>
      </w:r>
      <w:r w:rsidRPr="00397C47">
        <w:rPr>
          <w:rFonts w:cs="David" w:hint="cs"/>
          <w:sz w:val="24"/>
          <w:szCs w:val="24"/>
          <w:u w:val="single"/>
          <w:rtl/>
        </w:rPr>
        <w:t>:</w:t>
      </w:r>
      <w:r w:rsidRPr="00397C47">
        <w:rPr>
          <w:rFonts w:cs="David" w:hint="cs"/>
          <w:sz w:val="24"/>
          <w:szCs w:val="24"/>
          <w:rtl/>
        </w:rPr>
        <w:t xml:space="preserve"> </w:t>
      </w:r>
      <w:r w:rsidR="00397C47" w:rsidRPr="00397C47">
        <w:rPr>
          <w:rFonts w:cs="David" w:hint="cs"/>
          <w:sz w:val="24"/>
          <w:szCs w:val="24"/>
          <w:u w:val="single"/>
          <w:rtl/>
        </w:rPr>
        <w:t>אשר לרשות המבצעת</w:t>
      </w:r>
      <w:r w:rsidR="00397C47" w:rsidRPr="00397C47">
        <w:rPr>
          <w:rFonts w:cs="David" w:hint="cs"/>
          <w:sz w:val="24"/>
          <w:szCs w:val="24"/>
          <w:rtl/>
        </w:rPr>
        <w:t xml:space="preserve"> </w:t>
      </w:r>
      <w:r w:rsidR="00397C47" w:rsidRPr="00397C47">
        <w:rPr>
          <w:rFonts w:cs="David"/>
          <w:sz w:val="24"/>
          <w:szCs w:val="24"/>
          <w:rtl/>
        </w:rPr>
        <w:t>–</w:t>
      </w:r>
      <w:r w:rsidR="00397C47" w:rsidRPr="00397C47">
        <w:rPr>
          <w:rFonts w:cs="David" w:hint="cs"/>
          <w:sz w:val="24"/>
          <w:szCs w:val="24"/>
          <w:rtl/>
        </w:rPr>
        <w:t xml:space="preserve"> השמעת קולות שונים מקרב המדינה עלולה לחתור תחת אחידותה; היא עלולה להקשות על גופים שונים בתוך המדינה לתאם עמדות ולגבש מדיניות קוהרנטית; עלולה לייצר תמריץ לרשויות שלא להגיע להסכמה אלה עם אלה ועם היועץ המשפטי לממשלה; להביא לכדי "אדברסריות מוגזמת" בתוך המנגנון הממשלתי; לפגוע באפשרות להגיע להסכמות פנים-ממשלתיות במקרים שבהם ניתן היה להשיגן ולערער את תהליך קבלת ההחלטות כולו. "הוא עלול לתמרץ רשויות החולקות על עמדת היועץ המשפטי לפעול באופן אסטרטגי, מתוך ידיעה שבסופו של יום תהיה להן אפשרות לנגיסה שנייה בתפוח ולשכנע את בית המשפט בצדקתן" (</w:t>
      </w:r>
      <w:r w:rsidR="00397C47" w:rsidRPr="00397C47">
        <w:rPr>
          <w:rFonts w:cs="David" w:hint="cs"/>
          <w:b/>
          <w:bCs/>
          <w:sz w:val="24"/>
          <w:szCs w:val="24"/>
          <w:rtl/>
        </w:rPr>
        <w:t>שנער</w:t>
      </w:r>
      <w:r w:rsidR="00397C47" w:rsidRPr="00397C47">
        <w:rPr>
          <w:rFonts w:cs="David" w:hint="cs"/>
          <w:sz w:val="24"/>
          <w:szCs w:val="24"/>
          <w:rtl/>
        </w:rPr>
        <w:t xml:space="preserve">, בעמ' 398). יתרה מכך, ריבוי בפיצול עמדות מטעם גורמי הממשלה השונים עלול להביא למעשה את ההליך המינהלי כולו לפתחו של בית המשפט, תוך הפיכתו של בית המשפט למכריע בפועל. הדבר עלול להביא להחלשה יתרה של הרשות המבצעת אל מול הרשות השופטת. </w:t>
      </w:r>
    </w:p>
    <w:p w:rsidR="00201D24" w:rsidRPr="00397C47" w:rsidRDefault="00397C47" w:rsidP="00397C47">
      <w:pPr>
        <w:pStyle w:val="a8"/>
        <w:spacing w:line="360" w:lineRule="auto"/>
        <w:ind w:left="355"/>
        <w:jc w:val="both"/>
        <w:rPr>
          <w:rFonts w:cs="David"/>
          <w:sz w:val="24"/>
          <w:szCs w:val="24"/>
          <w:rtl/>
        </w:rPr>
      </w:pPr>
      <w:r w:rsidRPr="00397C47">
        <w:rPr>
          <w:rFonts w:cs="David" w:hint="cs"/>
          <w:sz w:val="24"/>
          <w:szCs w:val="24"/>
          <w:u w:val="single"/>
          <w:rtl/>
        </w:rPr>
        <w:t>אשר לרשות השופטת</w:t>
      </w:r>
      <w:r w:rsidRPr="00397C47">
        <w:rPr>
          <w:rFonts w:cs="David" w:hint="cs"/>
          <w:sz w:val="24"/>
          <w:szCs w:val="24"/>
          <w:rtl/>
        </w:rPr>
        <w:t xml:space="preserve"> </w:t>
      </w:r>
      <w:r w:rsidRPr="00397C47">
        <w:rPr>
          <w:rFonts w:cs="David"/>
          <w:sz w:val="24"/>
          <w:szCs w:val="24"/>
          <w:rtl/>
        </w:rPr>
        <w:t>–</w:t>
      </w:r>
      <w:r w:rsidRPr="00397C47">
        <w:rPr>
          <w:rFonts w:cs="David" w:hint="cs"/>
          <w:sz w:val="24"/>
          <w:szCs w:val="24"/>
          <w:rtl/>
        </w:rPr>
        <w:t xml:space="preserve"> </w:t>
      </w:r>
      <w:r w:rsidR="00E5299F" w:rsidRPr="00397C47">
        <w:rPr>
          <w:rFonts w:cs="David" w:hint="cs"/>
          <w:sz w:val="24"/>
          <w:szCs w:val="24"/>
          <w:rtl/>
        </w:rPr>
        <w:t xml:space="preserve">תפקידו "המסורתי" של בג"ץ הוא להכריע בסכסוך </w:t>
      </w:r>
      <w:r w:rsidR="00E53DC7" w:rsidRPr="00397C47">
        <w:rPr>
          <w:rFonts w:cs="David" w:hint="cs"/>
          <w:sz w:val="24"/>
          <w:szCs w:val="24"/>
          <w:rtl/>
        </w:rPr>
        <w:t xml:space="preserve">שנתגלע </w:t>
      </w:r>
      <w:r w:rsidR="00E5299F" w:rsidRPr="00397C47">
        <w:rPr>
          <w:rFonts w:cs="David" w:hint="cs"/>
          <w:sz w:val="24"/>
          <w:szCs w:val="24"/>
          <w:rtl/>
        </w:rPr>
        <w:t xml:space="preserve">בין אזרח לרשות מרשויות המדינה. לעומת זאת: </w:t>
      </w:r>
      <w:r w:rsidRPr="00397C47">
        <w:rPr>
          <w:rFonts w:cs="David" w:hint="cs"/>
          <w:sz w:val="24"/>
          <w:szCs w:val="24"/>
          <w:rtl/>
        </w:rPr>
        <w:t xml:space="preserve">"לבית המשפט אין כלים, וגם אין זה מתפקידו, להכריע בין עמדות שונות של גופי המדינה. בדיוק לכך – בין השאר – נועדה סמכותו </w:t>
      </w:r>
      <w:r w:rsidRPr="00397C47">
        <w:rPr>
          <w:rFonts w:cs="David" w:hint="cs"/>
          <w:sz w:val="24"/>
          <w:szCs w:val="24"/>
          <w:rtl/>
        </w:rPr>
        <w:lastRenderedPageBreak/>
        <w:t xml:space="preserve">האינטגרטיבית של היועץ המשפטי לממשלה ... הדבר כמובן מטיל על היועץ המשפטי, אחריות לערוך אותה אינטגרציה וליתן לה ביטוי ממצה" (ע"א 7187/12 </w:t>
      </w:r>
      <w:r w:rsidRPr="00397C47">
        <w:rPr>
          <w:rFonts w:cs="David" w:hint="cs"/>
          <w:b/>
          <w:bCs/>
          <w:sz w:val="24"/>
          <w:szCs w:val="24"/>
          <w:rtl/>
        </w:rPr>
        <w:t>צמח נ' אל על נתיבי אויר לישראל</w:t>
      </w:r>
      <w:r w:rsidRPr="00397C47">
        <w:rPr>
          <w:rFonts w:cs="David" w:hint="cs"/>
          <w:sz w:val="24"/>
          <w:szCs w:val="24"/>
          <w:rtl/>
        </w:rPr>
        <w:t xml:space="preserve">, פסקה ל"ח לפסק דינו של השופט רובינשטיין (פורסם בנבו, 17.8.2014), להלן: </w:t>
      </w:r>
      <w:r w:rsidRPr="00397C47">
        <w:rPr>
          <w:rFonts w:cs="David" w:hint="cs"/>
          <w:b/>
          <w:bCs/>
          <w:sz w:val="24"/>
          <w:szCs w:val="24"/>
          <w:rtl/>
        </w:rPr>
        <w:t>עניין צמח</w:t>
      </w:r>
      <w:r w:rsidRPr="00397C47">
        <w:rPr>
          <w:rFonts w:cs="David" w:hint="cs"/>
          <w:sz w:val="24"/>
          <w:szCs w:val="24"/>
          <w:rtl/>
        </w:rPr>
        <w:t xml:space="preserve">). ברוח זו הוסבר גם בספרות כי: </w:t>
      </w:r>
      <w:r w:rsidR="00E5299F" w:rsidRPr="00397C47">
        <w:rPr>
          <w:rFonts w:cs="David" w:hint="cs"/>
          <w:sz w:val="24"/>
          <w:szCs w:val="24"/>
          <w:rtl/>
        </w:rPr>
        <w:t>"מחלוקת בין ממלאי תפקידים ציבוריים לבין היועץ המשפטי לממשלה בשאלת הדין הקיים איננה עניין לבית-המשפט לענות בו. בג"ץ איננו מופקד על הכרעה ב"מחלוקות" פנים-ממשלתיות בין בעל הסמכות להכריע בשאלות משפטיות, כלומר היועץ המשפטי לממשלה, לבין המכהנים כנושאי תפקידים ציבוריים, שלא להם הועידה שיטת הממשל בישראל את הסמכות להחליט בשאלות אלה" (</w:t>
      </w:r>
      <w:r w:rsidR="00E5299F" w:rsidRPr="00397C47">
        <w:rPr>
          <w:rFonts w:cs="David" w:hint="cs"/>
          <w:b/>
          <w:bCs/>
          <w:sz w:val="24"/>
          <w:szCs w:val="24"/>
          <w:rtl/>
        </w:rPr>
        <w:t>בנדור וסגל</w:t>
      </w:r>
      <w:r w:rsidRPr="00397C47">
        <w:rPr>
          <w:rFonts w:cs="David" w:hint="cs"/>
          <w:sz w:val="24"/>
          <w:szCs w:val="24"/>
          <w:rtl/>
        </w:rPr>
        <w:t xml:space="preserve">, בעמ' 438). </w:t>
      </w:r>
      <w:r w:rsidR="00E5299F" w:rsidRPr="00397C47">
        <w:rPr>
          <w:rFonts w:cs="David" w:hint="cs"/>
          <w:sz w:val="24"/>
          <w:szCs w:val="24"/>
          <w:rtl/>
        </w:rPr>
        <w:t xml:space="preserve"> </w:t>
      </w:r>
    </w:p>
    <w:p w:rsidR="00196DAD" w:rsidRPr="00196DAD" w:rsidRDefault="00E5299F" w:rsidP="00A06051">
      <w:pPr>
        <w:pStyle w:val="a8"/>
        <w:numPr>
          <w:ilvl w:val="0"/>
          <w:numId w:val="1"/>
        </w:numPr>
        <w:spacing w:line="360" w:lineRule="auto"/>
        <w:ind w:left="355" w:hanging="378"/>
        <w:jc w:val="both"/>
        <w:rPr>
          <w:rFonts w:cs="David"/>
          <w:sz w:val="24"/>
          <w:szCs w:val="24"/>
        </w:rPr>
      </w:pPr>
      <w:r w:rsidRPr="00A766E0">
        <w:rPr>
          <w:rFonts w:cs="David" w:hint="cs"/>
          <w:sz w:val="24"/>
          <w:szCs w:val="24"/>
          <w:u w:val="single"/>
          <w:rtl/>
        </w:rPr>
        <w:t xml:space="preserve">טעמים הקשורים </w:t>
      </w:r>
      <w:r w:rsidR="00A766E0" w:rsidRPr="00A766E0">
        <w:rPr>
          <w:rFonts w:cs="David" w:hint="cs"/>
          <w:sz w:val="24"/>
          <w:szCs w:val="24"/>
          <w:u w:val="single"/>
          <w:rtl/>
        </w:rPr>
        <w:t>ב</w:t>
      </w:r>
      <w:r w:rsidRPr="00A766E0">
        <w:rPr>
          <w:rFonts w:cs="David" w:hint="cs"/>
          <w:sz w:val="24"/>
          <w:szCs w:val="24"/>
          <w:u w:val="single"/>
          <w:rtl/>
        </w:rPr>
        <w:t>אמון הציבור</w:t>
      </w:r>
      <w:r w:rsidR="00196DAD">
        <w:rPr>
          <w:rFonts w:cs="David" w:hint="cs"/>
          <w:sz w:val="24"/>
          <w:szCs w:val="24"/>
          <w:rtl/>
        </w:rPr>
        <w:t xml:space="preserve">: </w:t>
      </w:r>
      <w:r w:rsidR="00196DAD" w:rsidRPr="00A766E0">
        <w:rPr>
          <w:rFonts w:cs="David" w:hint="cs"/>
          <w:sz w:val="24"/>
          <w:szCs w:val="24"/>
          <w:rtl/>
        </w:rPr>
        <w:t>"בסטייה מחוות הדעת המשפטית המוסמכת, צפויה בדרך כלל פגיעה במהותו של המשטר שלנו וכתוצאה נגזרת, גם אובדן אמון או יוקרה בציבור" (דו"ח ועדת שמגר, בפסקה 45(א)).</w:t>
      </w:r>
      <w:r w:rsidR="00196DAD">
        <w:rPr>
          <w:rFonts w:cs="David" w:hint="cs"/>
          <w:sz w:val="24"/>
          <w:szCs w:val="24"/>
          <w:rtl/>
        </w:rPr>
        <w:t xml:space="preserve"> </w:t>
      </w:r>
      <w:r w:rsidR="00196DAD" w:rsidRPr="00A766E0">
        <w:rPr>
          <w:rFonts w:cs="David" w:hint="cs"/>
          <w:sz w:val="24"/>
          <w:szCs w:val="24"/>
          <w:rtl/>
        </w:rPr>
        <w:t xml:space="preserve">הצורך להתיר ייצוג מפוצל רק במקרים חריגים ונדירים נובע "משום הסכנות הגלומות בכך לשלטון החוק וליציבותו, </w:t>
      </w:r>
      <w:r w:rsidR="00196DAD" w:rsidRPr="00201D24">
        <w:rPr>
          <w:rFonts w:cs="David" w:hint="cs"/>
          <w:b/>
          <w:bCs/>
          <w:sz w:val="24"/>
          <w:szCs w:val="24"/>
          <w:rtl/>
        </w:rPr>
        <w:t>כמו גם למידת אמון הציבור במערכת השלטונית</w:t>
      </w:r>
      <w:r w:rsidR="00196DAD">
        <w:rPr>
          <w:rFonts w:cs="David" w:hint="cs"/>
          <w:sz w:val="24"/>
          <w:szCs w:val="24"/>
          <w:rtl/>
        </w:rPr>
        <w:t>"</w:t>
      </w:r>
      <w:r w:rsidR="00196DAD" w:rsidRPr="00196DAD">
        <w:rPr>
          <w:rFonts w:cs="David" w:hint="cs"/>
          <w:sz w:val="24"/>
          <w:szCs w:val="24"/>
          <w:rtl/>
        </w:rPr>
        <w:t xml:space="preserve"> </w:t>
      </w:r>
      <w:r w:rsidR="00196DAD" w:rsidRPr="00A766E0">
        <w:rPr>
          <w:rFonts w:cs="David" w:hint="cs"/>
          <w:sz w:val="24"/>
          <w:szCs w:val="24"/>
          <w:rtl/>
        </w:rPr>
        <w:t>(</w:t>
      </w:r>
      <w:r w:rsidR="00196DAD" w:rsidRPr="00A766E0">
        <w:rPr>
          <w:rFonts w:cs="David" w:hint="cs"/>
          <w:b/>
          <w:bCs/>
          <w:sz w:val="24"/>
          <w:szCs w:val="24"/>
          <w:rtl/>
        </w:rPr>
        <w:t>עניין גיני</w:t>
      </w:r>
      <w:r w:rsidR="00196DAD" w:rsidRPr="00A766E0">
        <w:rPr>
          <w:rFonts w:cs="David" w:hint="cs"/>
          <w:sz w:val="24"/>
          <w:szCs w:val="24"/>
          <w:rtl/>
        </w:rPr>
        <w:t xml:space="preserve">, בפסקה 24 לפסק דינו של השופט שהם, ההדגשה </w:t>
      </w:r>
      <w:r w:rsidR="00196DAD">
        <w:rPr>
          <w:rFonts w:cs="David" w:hint="cs"/>
          <w:sz w:val="24"/>
          <w:szCs w:val="24"/>
          <w:rtl/>
        </w:rPr>
        <w:t>הוספה</w:t>
      </w:r>
      <w:r w:rsidR="00196DAD" w:rsidRPr="00A766E0">
        <w:rPr>
          <w:rFonts w:cs="David" w:hint="cs"/>
          <w:sz w:val="24"/>
          <w:szCs w:val="24"/>
          <w:rtl/>
        </w:rPr>
        <w:t>).</w:t>
      </w:r>
    </w:p>
    <w:p w:rsidR="00692F21" w:rsidRPr="00692F21" w:rsidRDefault="00196DAD" w:rsidP="00196DAD">
      <w:pPr>
        <w:pStyle w:val="a8"/>
        <w:numPr>
          <w:ilvl w:val="0"/>
          <w:numId w:val="1"/>
        </w:numPr>
        <w:spacing w:line="360" w:lineRule="auto"/>
        <w:ind w:left="355" w:hanging="378"/>
        <w:jc w:val="both"/>
        <w:rPr>
          <w:rFonts w:cs="David"/>
          <w:sz w:val="24"/>
          <w:szCs w:val="24"/>
          <w:rtl/>
        </w:rPr>
      </w:pPr>
      <w:r>
        <w:rPr>
          <w:rFonts w:cs="David" w:hint="cs"/>
          <w:sz w:val="24"/>
          <w:szCs w:val="24"/>
          <w:u w:val="single"/>
          <w:rtl/>
        </w:rPr>
        <w:t xml:space="preserve">טעמים הקשורים </w:t>
      </w:r>
      <w:r w:rsidR="00A766E0" w:rsidRPr="00A766E0">
        <w:rPr>
          <w:rFonts w:cs="David" w:hint="cs"/>
          <w:sz w:val="24"/>
          <w:szCs w:val="24"/>
          <w:u w:val="single"/>
          <w:rtl/>
        </w:rPr>
        <w:t xml:space="preserve">בחשש מפני </w:t>
      </w:r>
      <w:r w:rsidR="00330355">
        <w:rPr>
          <w:rFonts w:cs="David" w:hint="cs"/>
          <w:sz w:val="24"/>
          <w:szCs w:val="24"/>
          <w:u w:val="single"/>
          <w:rtl/>
        </w:rPr>
        <w:t>"</w:t>
      </w:r>
      <w:r w:rsidR="00A766E0" w:rsidRPr="00A766E0">
        <w:rPr>
          <w:rFonts w:cs="David" w:hint="cs"/>
          <w:sz w:val="24"/>
          <w:szCs w:val="24"/>
          <w:u w:val="single"/>
          <w:rtl/>
        </w:rPr>
        <w:t>מדרון חלקלק</w:t>
      </w:r>
      <w:r w:rsidR="00330355">
        <w:rPr>
          <w:rFonts w:cs="David" w:hint="cs"/>
          <w:sz w:val="24"/>
          <w:szCs w:val="24"/>
          <w:u w:val="single"/>
          <w:rtl/>
        </w:rPr>
        <w:t>"</w:t>
      </w:r>
      <w:r w:rsidR="00E5299F" w:rsidRPr="00A766E0">
        <w:rPr>
          <w:rFonts w:cs="David" w:hint="cs"/>
          <w:sz w:val="24"/>
          <w:szCs w:val="24"/>
          <w:u w:val="single"/>
          <w:rtl/>
        </w:rPr>
        <w:t>:</w:t>
      </w:r>
      <w:r w:rsidR="00E5299F" w:rsidRPr="00A766E0">
        <w:rPr>
          <w:rFonts w:cs="David" w:hint="cs"/>
          <w:sz w:val="24"/>
          <w:szCs w:val="24"/>
          <w:rtl/>
        </w:rPr>
        <w:t xml:space="preserve"> </w:t>
      </w:r>
      <w:r w:rsidRPr="00196DAD">
        <w:rPr>
          <w:rFonts w:cs="David" w:hint="cs"/>
          <w:sz w:val="24"/>
          <w:szCs w:val="24"/>
          <w:rtl/>
        </w:rPr>
        <w:t>"</w:t>
      </w:r>
      <w:r w:rsidR="00A766E0" w:rsidRPr="00196DAD">
        <w:rPr>
          <w:rFonts w:cs="David" w:hint="cs"/>
          <w:sz w:val="24"/>
          <w:szCs w:val="24"/>
          <w:rtl/>
        </w:rPr>
        <w:t>החשש הוא, כמובן, מפני "מדרון חלקלק" שבו כל גוף ציבורי, החולק על עמדתו של היועץ המשפטי לממשלה, יבקש ייצוג נפרד, על כל המשתמע מכך" (</w:t>
      </w:r>
      <w:r w:rsidR="00A766E0" w:rsidRPr="00196DAD">
        <w:rPr>
          <w:rFonts w:cs="David" w:hint="cs"/>
          <w:b/>
          <w:bCs/>
          <w:sz w:val="24"/>
          <w:szCs w:val="24"/>
          <w:rtl/>
        </w:rPr>
        <w:t>עניין גיני</w:t>
      </w:r>
      <w:r w:rsidR="00A766E0" w:rsidRPr="00196DAD">
        <w:rPr>
          <w:rFonts w:cs="David" w:hint="cs"/>
          <w:sz w:val="24"/>
          <w:szCs w:val="24"/>
          <w:rtl/>
        </w:rPr>
        <w:t>, בפסקה 24 לפסק די</w:t>
      </w:r>
      <w:r>
        <w:rPr>
          <w:rFonts w:cs="David" w:hint="cs"/>
          <w:sz w:val="24"/>
          <w:szCs w:val="24"/>
          <w:rtl/>
        </w:rPr>
        <w:t>נו של השופט שהם</w:t>
      </w:r>
      <w:r w:rsidR="00A766E0" w:rsidRPr="00A766E0">
        <w:rPr>
          <w:rFonts w:cs="David" w:hint="cs"/>
          <w:sz w:val="24"/>
          <w:szCs w:val="24"/>
          <w:rtl/>
        </w:rPr>
        <w:t>).</w:t>
      </w:r>
      <w:r w:rsidR="00692F21">
        <w:rPr>
          <w:rFonts w:cs="David" w:hint="cs"/>
          <w:sz w:val="24"/>
          <w:szCs w:val="24"/>
          <w:rtl/>
        </w:rPr>
        <w:t xml:space="preserve"> </w:t>
      </w:r>
      <w:r>
        <w:rPr>
          <w:rFonts w:cs="David" w:hint="cs"/>
          <w:sz w:val="24"/>
          <w:szCs w:val="24"/>
          <w:rtl/>
        </w:rPr>
        <w:t xml:space="preserve">בין היתר, נראה כי </w:t>
      </w:r>
      <w:r w:rsidR="00692F21" w:rsidRPr="00692F21">
        <w:rPr>
          <w:rFonts w:cs="David" w:hint="cs"/>
          <w:sz w:val="24"/>
          <w:szCs w:val="24"/>
          <w:rtl/>
        </w:rPr>
        <w:t xml:space="preserve">ככל שתוכר באופן שגרתי יותר האפשרות להשמיע עמדות שונות </w:t>
      </w:r>
      <w:r>
        <w:rPr>
          <w:rFonts w:cs="David" w:hint="cs"/>
          <w:sz w:val="24"/>
          <w:szCs w:val="24"/>
          <w:rtl/>
        </w:rPr>
        <w:t>של המדינה בפני בית המשפט, עלולות</w:t>
      </w:r>
      <w:r w:rsidR="00692F21" w:rsidRPr="00692F21">
        <w:rPr>
          <w:rFonts w:cs="David" w:hint="cs"/>
          <w:sz w:val="24"/>
          <w:szCs w:val="24"/>
          <w:rtl/>
        </w:rPr>
        <w:t xml:space="preserve"> להתעורר טענות לפיהן יש לנקוט בגישה זו גם במקרים אחרים של מחלוקת בתוך</w:t>
      </w:r>
      <w:r w:rsidR="00F749CF">
        <w:rPr>
          <w:rFonts w:cs="David" w:hint="cs"/>
          <w:sz w:val="24"/>
          <w:szCs w:val="24"/>
          <w:rtl/>
        </w:rPr>
        <w:t xml:space="preserve"> הרשות המבצעת, בהליכים ובהקשרים אחרים (כך לדוגמה </w:t>
      </w:r>
      <w:r w:rsidR="00F749CF">
        <w:rPr>
          <w:rFonts w:cs="David"/>
          <w:sz w:val="24"/>
          <w:szCs w:val="24"/>
          <w:rtl/>
        </w:rPr>
        <w:t>–</w:t>
      </w:r>
      <w:r w:rsidR="00F749CF">
        <w:rPr>
          <w:rFonts w:cs="David" w:hint="cs"/>
          <w:sz w:val="24"/>
          <w:szCs w:val="24"/>
          <w:rtl/>
        </w:rPr>
        <w:t xml:space="preserve"> במסגרת דיווחי</w:t>
      </w:r>
      <w:r w:rsidR="00692F21">
        <w:rPr>
          <w:rFonts w:cs="David" w:hint="cs"/>
          <w:sz w:val="24"/>
          <w:szCs w:val="24"/>
          <w:rtl/>
        </w:rPr>
        <w:t xml:space="preserve"> הממשלה</w:t>
      </w:r>
      <w:r w:rsidR="00692F21" w:rsidRPr="00692F21">
        <w:rPr>
          <w:rFonts w:cs="David" w:hint="cs"/>
          <w:sz w:val="24"/>
          <w:szCs w:val="24"/>
          <w:rtl/>
        </w:rPr>
        <w:t xml:space="preserve"> למבקר המדינה או לכנסת). </w:t>
      </w:r>
    </w:p>
    <w:p w:rsidR="00A766E0" w:rsidRDefault="00A766E0" w:rsidP="00A06051">
      <w:pPr>
        <w:pStyle w:val="a8"/>
        <w:numPr>
          <w:ilvl w:val="0"/>
          <w:numId w:val="1"/>
        </w:numPr>
        <w:spacing w:line="360" w:lineRule="auto"/>
        <w:ind w:left="355" w:hanging="378"/>
        <w:jc w:val="both"/>
        <w:rPr>
          <w:rFonts w:cs="David"/>
          <w:sz w:val="24"/>
          <w:szCs w:val="24"/>
        </w:rPr>
      </w:pPr>
      <w:r w:rsidRPr="004572FA">
        <w:rPr>
          <w:rFonts w:cs="David" w:hint="cs"/>
          <w:sz w:val="24"/>
          <w:szCs w:val="24"/>
          <w:u w:val="single"/>
          <w:rtl/>
        </w:rPr>
        <w:t>טעמים הקשורים ליעילות דיונית:</w:t>
      </w:r>
      <w:r w:rsidRPr="004572FA">
        <w:rPr>
          <w:rFonts w:cs="David" w:hint="cs"/>
          <w:sz w:val="24"/>
          <w:szCs w:val="24"/>
          <w:rtl/>
        </w:rPr>
        <w:t xml:space="preserve"> מתן אפשרות לגורמים שונים מתוך הרשות המבצעת להציג דעות נוגדות לעמדה המשפטית שגובשה על-ידי היועץ המשפטי לממשלה עלול</w:t>
      </w:r>
      <w:r>
        <w:rPr>
          <w:rFonts w:cs="David" w:hint="cs"/>
          <w:sz w:val="24"/>
          <w:szCs w:val="24"/>
          <w:rtl/>
        </w:rPr>
        <w:t xml:space="preserve"> להקשות על עבודתה של </w:t>
      </w:r>
      <w:r w:rsidRPr="00F749CF">
        <w:rPr>
          <w:rFonts w:cs="David" w:hint="cs"/>
          <w:sz w:val="24"/>
          <w:szCs w:val="24"/>
          <w:u w:val="single"/>
          <w:rtl/>
        </w:rPr>
        <w:t>הפרקליטות</w:t>
      </w:r>
      <w:r>
        <w:rPr>
          <w:rFonts w:cs="David" w:hint="cs"/>
          <w:sz w:val="24"/>
          <w:szCs w:val="24"/>
          <w:rtl/>
        </w:rPr>
        <w:t xml:space="preserve"> בגיבוש עמדה משפטית לכל המדינה, ו</w:t>
      </w:r>
      <w:r w:rsidRPr="004572FA">
        <w:rPr>
          <w:rFonts w:cs="David" w:hint="cs"/>
          <w:sz w:val="24"/>
          <w:szCs w:val="24"/>
          <w:rtl/>
        </w:rPr>
        <w:t>לייקר, לעכב ולסרבל את ההליך השיפוטי</w:t>
      </w:r>
      <w:r w:rsidR="009D5B9E">
        <w:rPr>
          <w:rFonts w:cs="David" w:hint="cs"/>
          <w:sz w:val="24"/>
          <w:szCs w:val="24"/>
          <w:rtl/>
        </w:rPr>
        <w:t>, בין היתר בשים לב לכך ש</w:t>
      </w:r>
      <w:r w:rsidRPr="004572FA">
        <w:rPr>
          <w:rFonts w:cs="David" w:hint="cs"/>
          <w:sz w:val="24"/>
          <w:szCs w:val="24"/>
          <w:rtl/>
        </w:rPr>
        <w:t xml:space="preserve">הצגת עמדות שונות תקשה על </w:t>
      </w:r>
      <w:r w:rsidRPr="00F749CF">
        <w:rPr>
          <w:rFonts w:cs="David" w:hint="cs"/>
          <w:sz w:val="24"/>
          <w:szCs w:val="24"/>
          <w:u w:val="single"/>
          <w:rtl/>
        </w:rPr>
        <w:t>בית המשפט</w:t>
      </w:r>
      <w:r w:rsidRPr="004572FA">
        <w:rPr>
          <w:rFonts w:cs="David" w:hint="cs"/>
          <w:sz w:val="24"/>
          <w:szCs w:val="24"/>
          <w:rtl/>
        </w:rPr>
        <w:t xml:space="preserve"> להכריע בין העמדות, במיוחד בנושאים שהוא חסר כשירות מוסדית-מקצועית להכריע בהם</w:t>
      </w:r>
      <w:r>
        <w:rPr>
          <w:rFonts w:cs="David" w:hint="cs"/>
          <w:sz w:val="24"/>
          <w:szCs w:val="24"/>
          <w:rtl/>
        </w:rPr>
        <w:t xml:space="preserve"> (</w:t>
      </w:r>
      <w:r w:rsidRPr="00137C5A">
        <w:rPr>
          <w:rFonts w:cs="David" w:hint="cs"/>
          <w:b/>
          <w:bCs/>
          <w:sz w:val="24"/>
          <w:szCs w:val="24"/>
          <w:rtl/>
        </w:rPr>
        <w:t>שנער</w:t>
      </w:r>
      <w:r>
        <w:rPr>
          <w:rFonts w:cs="David" w:hint="cs"/>
          <w:sz w:val="24"/>
          <w:szCs w:val="24"/>
          <w:rtl/>
        </w:rPr>
        <w:t>, בעמ' 398)</w:t>
      </w:r>
      <w:r w:rsidRPr="004572FA">
        <w:rPr>
          <w:rFonts w:cs="David" w:hint="cs"/>
          <w:sz w:val="24"/>
          <w:szCs w:val="24"/>
          <w:rtl/>
        </w:rPr>
        <w:t xml:space="preserve">. </w:t>
      </w:r>
    </w:p>
    <w:p w:rsidR="00E5299F" w:rsidRPr="00A766E0" w:rsidRDefault="00A766E0" w:rsidP="007517F9">
      <w:pPr>
        <w:pStyle w:val="a8"/>
        <w:numPr>
          <w:ilvl w:val="0"/>
          <w:numId w:val="1"/>
        </w:numPr>
        <w:spacing w:line="360" w:lineRule="auto"/>
        <w:ind w:left="397" w:hanging="378"/>
        <w:jc w:val="both"/>
        <w:rPr>
          <w:rFonts w:cs="David"/>
          <w:sz w:val="24"/>
          <w:szCs w:val="24"/>
        </w:rPr>
      </w:pPr>
      <w:r w:rsidRPr="00A766E0">
        <w:rPr>
          <w:rFonts w:cs="David" w:hint="cs"/>
          <w:sz w:val="24"/>
          <w:szCs w:val="24"/>
          <w:u w:val="single"/>
          <w:rtl/>
        </w:rPr>
        <w:t>טעמים הקשורים למעמדו של היועץ המשפטי לממשלה:</w:t>
      </w:r>
      <w:r w:rsidRPr="00A766E0">
        <w:rPr>
          <w:rFonts w:cs="David" w:hint="cs"/>
          <w:sz w:val="24"/>
          <w:szCs w:val="24"/>
          <w:rtl/>
        </w:rPr>
        <w:t xml:space="preserve"> מטבע הדברים, במתן היתר לייצוג פרטי לרשות ממשלתית, יש כדי לערער על תפקידו של היועץ המשפטי לממשלה כמייצג הבלעדי של רשויות המדינה בערכאות. ואולם מעבר לכך, יש בכך גם כדי לערער על כפיפות הממשלה לפרשנות המשפטית המחייבת של היועץ, לאחריותו המוסדית של היועץ להגנה על האינטרס הציבורי ועל שלטון החוק, וליכולתו של היועץ להנחות מקצועית את כלל </w:t>
      </w:r>
      <w:r w:rsidR="007517F9">
        <w:rPr>
          <w:rFonts w:cs="David" w:hint="cs"/>
          <w:sz w:val="24"/>
          <w:szCs w:val="24"/>
          <w:rtl/>
        </w:rPr>
        <w:t xml:space="preserve">גורמי </w:t>
      </w:r>
      <w:r w:rsidRPr="00A766E0">
        <w:rPr>
          <w:rFonts w:cs="David" w:hint="cs"/>
          <w:sz w:val="24"/>
          <w:szCs w:val="24"/>
          <w:rtl/>
        </w:rPr>
        <w:t xml:space="preserve">הרשות המבצעת. הפיכת האפשרות לפנות ליועצים משפטיים פרטיים </w:t>
      </w:r>
      <w:r w:rsidRPr="00A766E0">
        <w:rPr>
          <w:rFonts w:cs="David"/>
          <w:sz w:val="24"/>
          <w:szCs w:val="24"/>
          <w:rtl/>
        </w:rPr>
        <w:t>–</w:t>
      </w:r>
      <w:r w:rsidRPr="00A766E0">
        <w:rPr>
          <w:rFonts w:cs="David" w:hint="cs"/>
          <w:sz w:val="24"/>
          <w:szCs w:val="24"/>
          <w:rtl/>
        </w:rPr>
        <w:t xml:space="preserve"> בין לצורך קבלת חוות-דעת ובין לצורך ייצוג בבג"ץ </w:t>
      </w:r>
      <w:r w:rsidRPr="00A766E0">
        <w:rPr>
          <w:rFonts w:cs="David"/>
          <w:sz w:val="24"/>
          <w:szCs w:val="24"/>
          <w:rtl/>
        </w:rPr>
        <w:t>–</w:t>
      </w:r>
      <w:r w:rsidR="00055C38">
        <w:rPr>
          <w:rFonts w:cs="David" w:hint="cs"/>
          <w:sz w:val="24"/>
          <w:szCs w:val="24"/>
          <w:rtl/>
        </w:rPr>
        <w:t xml:space="preserve"> לתופעה רווחת, עלולה להביא</w:t>
      </w:r>
      <w:r w:rsidRPr="00A766E0">
        <w:rPr>
          <w:rFonts w:cs="David" w:hint="cs"/>
          <w:sz w:val="24"/>
          <w:szCs w:val="24"/>
          <w:rtl/>
        </w:rPr>
        <w:t xml:space="preserve"> להחלשת מעמדה של חוות-דעת היועץ (ומעמדו המוסדי ב</w:t>
      </w:r>
      <w:r w:rsidR="00055C38">
        <w:rPr>
          <w:rFonts w:cs="David" w:hint="cs"/>
          <w:sz w:val="24"/>
          <w:szCs w:val="24"/>
          <w:rtl/>
        </w:rPr>
        <w:t xml:space="preserve">כלל), בפרט מול "הרשויות החזקות", והרי </w:t>
      </w:r>
      <w:r w:rsidRPr="00A766E0">
        <w:rPr>
          <w:rFonts w:cs="David" w:hint="cs"/>
          <w:sz w:val="24"/>
          <w:szCs w:val="24"/>
          <w:rtl/>
        </w:rPr>
        <w:t>"טלו מן היועץ המשפטי לממשלה את כוחו המחייב במניעת הפעלה פסולה ... של שיקול-דעת שלטוני, ונטלתם מן התפקיד את עיקר מהותו" (</w:t>
      </w:r>
      <w:r w:rsidRPr="00A766E0">
        <w:rPr>
          <w:rFonts w:cs="David" w:hint="cs"/>
          <w:b/>
          <w:bCs/>
          <w:sz w:val="24"/>
          <w:szCs w:val="24"/>
          <w:rtl/>
        </w:rPr>
        <w:t>בנדור וסגל</w:t>
      </w:r>
      <w:r w:rsidRPr="00A766E0">
        <w:rPr>
          <w:rFonts w:cs="David" w:hint="cs"/>
          <w:sz w:val="24"/>
          <w:szCs w:val="24"/>
          <w:rtl/>
        </w:rPr>
        <w:t>, בעמ' 437</w:t>
      </w:r>
      <w:r>
        <w:rPr>
          <w:rFonts w:cs="David" w:hint="cs"/>
          <w:sz w:val="24"/>
          <w:szCs w:val="24"/>
          <w:rtl/>
        </w:rPr>
        <w:t>).</w:t>
      </w:r>
    </w:p>
    <w:p w:rsidR="00C1218F" w:rsidRPr="00A06051" w:rsidRDefault="00C1218F" w:rsidP="001613D3">
      <w:pPr>
        <w:keepNext/>
        <w:widowControl w:val="0"/>
        <w:spacing w:after="0" w:line="360" w:lineRule="auto"/>
        <w:ind w:firstLine="5"/>
        <w:jc w:val="both"/>
        <w:rPr>
          <w:rFonts w:cs="David"/>
          <w:b/>
          <w:bCs/>
          <w:sz w:val="24"/>
          <w:szCs w:val="24"/>
          <w:u w:val="single"/>
          <w:rtl/>
        </w:rPr>
      </w:pPr>
      <w:r w:rsidRPr="00A06051">
        <w:rPr>
          <w:rFonts w:cs="David" w:hint="cs"/>
          <w:b/>
          <w:bCs/>
          <w:sz w:val="24"/>
          <w:szCs w:val="24"/>
          <w:u w:val="single"/>
          <w:rtl/>
        </w:rPr>
        <w:t xml:space="preserve">החריג </w:t>
      </w:r>
      <w:r w:rsidRPr="00A06051">
        <w:rPr>
          <w:rFonts w:cs="David"/>
          <w:b/>
          <w:bCs/>
          <w:sz w:val="24"/>
          <w:szCs w:val="24"/>
          <w:u w:val="single"/>
          <w:rtl/>
        </w:rPr>
        <w:t>–</w:t>
      </w:r>
      <w:r w:rsidRPr="00A06051">
        <w:rPr>
          <w:rFonts w:cs="David" w:hint="cs"/>
          <w:b/>
          <w:bCs/>
          <w:sz w:val="24"/>
          <w:szCs w:val="24"/>
          <w:u w:val="single"/>
          <w:rtl/>
        </w:rPr>
        <w:t xml:space="preserve"> "מקרים של ייצוג נפרד יהיו נדירים וחריגים"</w:t>
      </w:r>
      <w:r w:rsidRPr="00A06051">
        <w:rPr>
          <w:rStyle w:val="a5"/>
          <w:rFonts w:cs="David"/>
          <w:b/>
          <w:bCs/>
          <w:sz w:val="24"/>
          <w:szCs w:val="24"/>
          <w:u w:val="single"/>
          <w:rtl/>
        </w:rPr>
        <w:footnoteReference w:id="3"/>
      </w:r>
    </w:p>
    <w:p w:rsidR="00C1218F" w:rsidRDefault="00C1218F" w:rsidP="001613D3">
      <w:pPr>
        <w:pStyle w:val="a8"/>
        <w:keepNext/>
        <w:widowControl w:val="0"/>
        <w:numPr>
          <w:ilvl w:val="0"/>
          <w:numId w:val="1"/>
        </w:numPr>
        <w:spacing w:line="360" w:lineRule="auto"/>
        <w:ind w:left="397" w:hanging="392"/>
        <w:jc w:val="both"/>
        <w:rPr>
          <w:rFonts w:cs="David"/>
          <w:sz w:val="24"/>
          <w:szCs w:val="24"/>
        </w:rPr>
      </w:pPr>
      <w:r w:rsidRPr="00C1218F">
        <w:rPr>
          <w:rFonts w:cs="David" w:hint="cs"/>
          <w:sz w:val="24"/>
          <w:szCs w:val="24"/>
          <w:rtl/>
        </w:rPr>
        <w:t xml:space="preserve">במהלך השנים, התגבשה והפכה לחלק משיטת המשפט בישראל, האפשרות כי במקרים מסוימים היועץ המשפטי לממשלה יתיר לרשות שלטונית המבקשת להביע בפני בית המשפט עמדה חולקת להביא את עמדתה האמורה בנפרד מעמדתו. הנושא נדון במפורט בדו"ח ועדת שמגר ועוגן גם בפסיקת בית המשפט העליון. </w:t>
      </w:r>
      <w:r w:rsidR="00C50487" w:rsidRPr="00C50487">
        <w:rPr>
          <w:rFonts w:cs="David" w:hint="cs"/>
          <w:b/>
          <w:bCs/>
          <w:sz w:val="24"/>
          <w:szCs w:val="24"/>
          <w:rtl/>
        </w:rPr>
        <w:t>על-פי האמור בשניהם, אפשרות זו צריכה להישמר למקרים נדירים וחריגים</w:t>
      </w:r>
      <w:r w:rsidR="00C50487">
        <w:rPr>
          <w:rFonts w:cs="David" w:hint="cs"/>
          <w:sz w:val="24"/>
          <w:szCs w:val="24"/>
          <w:rtl/>
        </w:rPr>
        <w:t xml:space="preserve">. </w:t>
      </w:r>
      <w:r w:rsidRPr="00C1218F">
        <w:rPr>
          <w:rFonts w:cs="David" w:hint="cs"/>
          <w:sz w:val="24"/>
          <w:szCs w:val="24"/>
          <w:rtl/>
        </w:rPr>
        <w:t>וכך נאמר בדו"ח ועדת שמגר:</w:t>
      </w:r>
    </w:p>
    <w:p w:rsidR="00C1218F" w:rsidRPr="00E0060E" w:rsidRDefault="00C1218F" w:rsidP="00A06051">
      <w:pPr>
        <w:spacing w:after="240" w:line="240" w:lineRule="auto"/>
        <w:ind w:left="1360" w:right="993"/>
        <w:jc w:val="both"/>
        <w:rPr>
          <w:rFonts w:cs="David"/>
          <w:sz w:val="24"/>
          <w:szCs w:val="24"/>
          <w:rtl/>
        </w:rPr>
      </w:pPr>
      <w:r w:rsidRPr="00E0060E">
        <w:rPr>
          <w:rFonts w:cs="David" w:hint="cs"/>
          <w:sz w:val="24"/>
          <w:szCs w:val="24"/>
          <w:rtl/>
        </w:rPr>
        <w:t>"עיקרון החוקיות והסדר הטוב מחייבים כי מקרים של ייצוג נפרד יהיו נדירים וחריגים. ממשלה המחליטה להעמיד נושא להכרעה שיפוטית בניגוד לחוות דעתו של היועץ המשפטי פוגעת בוודאות המשפטית ובאמון הציבור ביועץ המשפטי. מצב בו היועץ המשפטי מאפשר ייצוג לטענות שהוא סבור כי אל לרשות ציבורית להשמיען ראוי שיהיה מצב חריג, ויש לעשות כל מאמץ להימנע ממנו. במאמץ זה צריכים להיות שותפים הן רשויות השלטון, הצריכות להניח כי חוות דעתו של היועץ המשפטי משקפת את החוק והן היועץ המשפטי" (</w:t>
      </w:r>
      <w:r w:rsidRPr="00055C38">
        <w:rPr>
          <w:rFonts w:cs="David" w:hint="cs"/>
          <w:b/>
          <w:bCs/>
          <w:sz w:val="24"/>
          <w:szCs w:val="24"/>
          <w:rtl/>
        </w:rPr>
        <w:t>דו"ח ועדת שמגר</w:t>
      </w:r>
      <w:r>
        <w:rPr>
          <w:rFonts w:cs="David" w:hint="cs"/>
          <w:sz w:val="24"/>
          <w:szCs w:val="24"/>
          <w:rtl/>
        </w:rPr>
        <w:t>, ב</w:t>
      </w:r>
      <w:r w:rsidRPr="00E0060E">
        <w:rPr>
          <w:rFonts w:cs="David" w:hint="cs"/>
          <w:sz w:val="24"/>
          <w:szCs w:val="24"/>
          <w:rtl/>
        </w:rPr>
        <w:t>פסקה 65(ו)</w:t>
      </w:r>
      <w:r>
        <w:rPr>
          <w:rFonts w:cs="David" w:hint="cs"/>
          <w:sz w:val="24"/>
          <w:szCs w:val="24"/>
          <w:rtl/>
        </w:rPr>
        <w:t xml:space="preserve">). </w:t>
      </w:r>
    </w:p>
    <w:p w:rsidR="00C1218F" w:rsidRDefault="00C50487" w:rsidP="00A06051">
      <w:pPr>
        <w:pStyle w:val="a8"/>
        <w:spacing w:line="360" w:lineRule="auto"/>
        <w:ind w:left="397"/>
        <w:jc w:val="both"/>
        <w:rPr>
          <w:rFonts w:cs="David"/>
          <w:sz w:val="24"/>
          <w:szCs w:val="24"/>
          <w:rtl/>
        </w:rPr>
      </w:pPr>
      <w:r>
        <w:rPr>
          <w:rFonts w:cs="David" w:hint="cs"/>
          <w:sz w:val="24"/>
          <w:szCs w:val="24"/>
          <w:rtl/>
        </w:rPr>
        <w:t xml:space="preserve">בדומה, צוין גם בפסיקה כי </w:t>
      </w:r>
      <w:r w:rsidR="00845BDA">
        <w:rPr>
          <w:rFonts w:cs="David" w:hint="cs"/>
          <w:sz w:val="24"/>
          <w:szCs w:val="24"/>
          <w:rtl/>
        </w:rPr>
        <w:t>על דרך הכלל, לא יינתן ייצוג משפטי נפרד לרשויות ממשלתיות</w:t>
      </w:r>
      <w:r w:rsidR="000A1209">
        <w:rPr>
          <w:rFonts w:cs="David" w:hint="cs"/>
          <w:sz w:val="24"/>
          <w:szCs w:val="24"/>
          <w:rtl/>
        </w:rPr>
        <w:t xml:space="preserve">, כי </w:t>
      </w:r>
      <w:r w:rsidR="00FC4D40" w:rsidRPr="00E0060E">
        <w:rPr>
          <w:rFonts w:cs="David" w:hint="cs"/>
          <w:sz w:val="24"/>
          <w:szCs w:val="24"/>
          <w:rtl/>
        </w:rPr>
        <w:t xml:space="preserve">אפשרות לייצוג נפרד של רשות חולקת </w:t>
      </w:r>
      <w:r w:rsidR="00FC4D40">
        <w:rPr>
          <w:rFonts w:cs="David" w:hint="cs"/>
          <w:sz w:val="24"/>
          <w:szCs w:val="24"/>
          <w:rtl/>
        </w:rPr>
        <w:t xml:space="preserve">צריכה להיות </w:t>
      </w:r>
      <w:r w:rsidR="0078628D">
        <w:rPr>
          <w:rFonts w:cs="David" w:hint="cs"/>
          <w:sz w:val="24"/>
          <w:szCs w:val="24"/>
          <w:rtl/>
        </w:rPr>
        <w:t>"</w:t>
      </w:r>
      <w:r w:rsidR="00FC4D40" w:rsidRPr="0078628D">
        <w:rPr>
          <w:rFonts w:cs="David" w:hint="cs"/>
          <w:b/>
          <w:bCs/>
          <w:sz w:val="24"/>
          <w:szCs w:val="24"/>
          <w:rtl/>
        </w:rPr>
        <w:t>חריגה ונדירה</w:t>
      </w:r>
      <w:r w:rsidRPr="0078628D">
        <w:rPr>
          <w:rFonts w:cs="David" w:hint="cs"/>
          <w:b/>
          <w:bCs/>
          <w:sz w:val="24"/>
          <w:szCs w:val="24"/>
          <w:rtl/>
        </w:rPr>
        <w:t xml:space="preserve"> </w:t>
      </w:r>
      <w:r w:rsidR="0078628D" w:rsidRPr="0078628D">
        <w:rPr>
          <w:rFonts w:cs="David" w:hint="cs"/>
          <w:b/>
          <w:bCs/>
          <w:sz w:val="24"/>
          <w:szCs w:val="24"/>
          <w:rtl/>
        </w:rPr>
        <w:t>מאוד</w:t>
      </w:r>
      <w:r w:rsidR="0078628D">
        <w:rPr>
          <w:rFonts w:cs="David" w:hint="cs"/>
          <w:sz w:val="24"/>
          <w:szCs w:val="24"/>
          <w:rtl/>
        </w:rPr>
        <w:t>"</w:t>
      </w:r>
      <w:r w:rsidR="00845BDA">
        <w:rPr>
          <w:rFonts w:cs="David" w:hint="cs"/>
          <w:sz w:val="24"/>
          <w:szCs w:val="24"/>
          <w:rtl/>
        </w:rPr>
        <w:t xml:space="preserve">, </w:t>
      </w:r>
      <w:r w:rsidR="000A1209">
        <w:rPr>
          <w:rFonts w:cs="David" w:hint="cs"/>
          <w:sz w:val="24"/>
          <w:szCs w:val="24"/>
          <w:rtl/>
        </w:rPr>
        <w:t xml:space="preserve">וכי </w:t>
      </w:r>
      <w:r w:rsidR="0078628D">
        <w:rPr>
          <w:rFonts w:cs="David" w:hint="cs"/>
          <w:sz w:val="24"/>
          <w:szCs w:val="24"/>
          <w:rtl/>
        </w:rPr>
        <w:t xml:space="preserve">ככלל, </w:t>
      </w:r>
      <w:r w:rsidR="00FC4D40" w:rsidRPr="00E0060E">
        <w:rPr>
          <w:rFonts w:cs="David" w:hint="cs"/>
          <w:sz w:val="24"/>
          <w:szCs w:val="24"/>
          <w:rtl/>
        </w:rPr>
        <w:t>"אין מקום ל"פירוק לגורמים" של הייעוץ המשפטי כגוף ממלכתי אינטגרטיבי"</w:t>
      </w:r>
      <w:r>
        <w:rPr>
          <w:rFonts w:cs="David" w:hint="cs"/>
          <w:sz w:val="24"/>
          <w:szCs w:val="24"/>
          <w:rtl/>
        </w:rPr>
        <w:t xml:space="preserve"> (</w:t>
      </w:r>
      <w:r w:rsidRPr="00C50487">
        <w:rPr>
          <w:rFonts w:cs="David" w:hint="cs"/>
          <w:b/>
          <w:bCs/>
          <w:sz w:val="24"/>
          <w:szCs w:val="24"/>
          <w:rtl/>
        </w:rPr>
        <w:t>עניין גיני</w:t>
      </w:r>
      <w:r>
        <w:rPr>
          <w:rFonts w:cs="David" w:hint="cs"/>
          <w:sz w:val="24"/>
          <w:szCs w:val="24"/>
          <w:rtl/>
        </w:rPr>
        <w:t>, בפסקה ד' לפסק דינו של השופט רובינשטיין</w:t>
      </w:r>
      <w:r w:rsidR="00055C38">
        <w:rPr>
          <w:rFonts w:cs="David" w:hint="cs"/>
          <w:sz w:val="24"/>
          <w:szCs w:val="24"/>
          <w:rtl/>
        </w:rPr>
        <w:t>, ובדומה גם</w:t>
      </w:r>
      <w:r>
        <w:rPr>
          <w:rFonts w:cs="David" w:hint="cs"/>
          <w:sz w:val="24"/>
          <w:szCs w:val="24"/>
          <w:rtl/>
        </w:rPr>
        <w:t xml:space="preserve"> בפסקה 24 לפסק דינו של השופט שהם)</w:t>
      </w:r>
      <w:r w:rsidR="00FC4D40" w:rsidRPr="00E0060E">
        <w:rPr>
          <w:rFonts w:cs="David" w:hint="cs"/>
          <w:sz w:val="24"/>
          <w:szCs w:val="24"/>
          <w:rtl/>
        </w:rPr>
        <w:t>.</w:t>
      </w:r>
    </w:p>
    <w:p w:rsidR="00C50487" w:rsidRPr="00A766E0" w:rsidRDefault="00C50487" w:rsidP="001613D3">
      <w:pPr>
        <w:pStyle w:val="a8"/>
        <w:numPr>
          <w:ilvl w:val="0"/>
          <w:numId w:val="1"/>
        </w:numPr>
        <w:spacing w:line="360" w:lineRule="auto"/>
        <w:ind w:left="397" w:hanging="392"/>
        <w:jc w:val="both"/>
        <w:rPr>
          <w:rFonts w:cs="David"/>
          <w:sz w:val="24"/>
          <w:szCs w:val="24"/>
        </w:rPr>
      </w:pPr>
      <w:r w:rsidRPr="00A766E0">
        <w:rPr>
          <w:rFonts w:cs="David" w:hint="cs"/>
          <w:sz w:val="24"/>
          <w:szCs w:val="24"/>
          <w:rtl/>
        </w:rPr>
        <w:t xml:space="preserve">סמכות ההכרעה בשאלה </w:t>
      </w:r>
      <w:r w:rsidRPr="00A766E0">
        <w:rPr>
          <w:rFonts w:cs="David" w:hint="cs"/>
          <w:b/>
          <w:bCs/>
          <w:sz w:val="24"/>
          <w:szCs w:val="24"/>
          <w:rtl/>
        </w:rPr>
        <w:t xml:space="preserve">האם וכיצד </w:t>
      </w:r>
      <w:r w:rsidRPr="00A766E0">
        <w:rPr>
          <w:rFonts w:cs="David" w:hint="cs"/>
          <w:sz w:val="24"/>
          <w:szCs w:val="24"/>
          <w:rtl/>
        </w:rPr>
        <w:t>נכון לאפשר לרשות חולקת מעמד עצמאי נתונה לשיקול-דעתו של היועץ המשפטי לממשלה</w:t>
      </w:r>
      <w:r w:rsidR="00004A8D" w:rsidRPr="00A766E0">
        <w:rPr>
          <w:rFonts w:cs="David" w:hint="cs"/>
          <w:sz w:val="24"/>
          <w:szCs w:val="24"/>
          <w:rtl/>
        </w:rPr>
        <w:t>.</w:t>
      </w:r>
      <w:r w:rsidR="00C2163E" w:rsidRPr="00A766E0">
        <w:rPr>
          <w:rFonts w:cs="David" w:hint="cs"/>
          <w:sz w:val="24"/>
          <w:szCs w:val="24"/>
          <w:rtl/>
        </w:rPr>
        <w:t xml:space="preserve"> </w:t>
      </w:r>
      <w:r w:rsidR="00A766E0">
        <w:rPr>
          <w:rFonts w:cs="David" w:hint="cs"/>
          <w:sz w:val="24"/>
          <w:szCs w:val="24"/>
          <w:rtl/>
        </w:rPr>
        <w:t>"</w:t>
      </w:r>
      <w:r w:rsidR="00C2163E" w:rsidRPr="00A766E0">
        <w:rPr>
          <w:rFonts w:cs="David" w:hint="cs"/>
          <w:sz w:val="24"/>
          <w:szCs w:val="24"/>
          <w:rtl/>
        </w:rPr>
        <w:t>הכרעה בשאלה אם המקרה מצדיק הצגת עמדה נפרדת כאמור, היא של היועץ המשפטי, שהרי הוא מייצג את המדינה כלפי בית המשפט" (</w:t>
      </w:r>
      <w:r w:rsidR="00C2163E" w:rsidRPr="00A766E0">
        <w:rPr>
          <w:rFonts w:cs="David" w:hint="cs"/>
          <w:b/>
          <w:bCs/>
          <w:sz w:val="24"/>
          <w:szCs w:val="24"/>
          <w:rtl/>
        </w:rPr>
        <w:t>דו"ח ועדת שמגר</w:t>
      </w:r>
      <w:r w:rsidR="00C2163E" w:rsidRPr="00A766E0">
        <w:rPr>
          <w:rFonts w:cs="David" w:hint="cs"/>
          <w:sz w:val="24"/>
          <w:szCs w:val="24"/>
          <w:rtl/>
        </w:rPr>
        <w:t xml:space="preserve">, בפסקה 64(ו)). </w:t>
      </w:r>
      <w:r w:rsidR="00A766E0">
        <w:rPr>
          <w:rFonts w:cs="David" w:hint="cs"/>
          <w:sz w:val="24"/>
          <w:szCs w:val="24"/>
          <w:rtl/>
        </w:rPr>
        <w:t xml:space="preserve">ובדומה: </w:t>
      </w:r>
      <w:r w:rsidR="0078628D" w:rsidRPr="00A766E0">
        <w:rPr>
          <w:rFonts w:cs="David" w:hint="cs"/>
          <w:sz w:val="24"/>
          <w:szCs w:val="24"/>
          <w:rtl/>
        </w:rPr>
        <w:t>"על פי המסורת במדינת ישראל אין ייצוג חיצוני אלא בהסכמת הי</w:t>
      </w:r>
      <w:r w:rsidR="006F2DC5" w:rsidRPr="00A766E0">
        <w:rPr>
          <w:rFonts w:cs="David" w:hint="cs"/>
          <w:sz w:val="24"/>
          <w:szCs w:val="24"/>
          <w:rtl/>
        </w:rPr>
        <w:t>ועץ המשפטי" (אליקים רובינשטיין "ייעוץ משפטי לממשלה ואכיפת החוק, מטלות ומור</w:t>
      </w:r>
      <w:r w:rsidR="001613D3">
        <w:rPr>
          <w:rFonts w:cs="David" w:hint="cs"/>
          <w:sz w:val="24"/>
          <w:szCs w:val="24"/>
          <w:rtl/>
        </w:rPr>
        <w:t>כבות במדינה יהודית, דמוקרטית ומקוטב</w:t>
      </w:r>
      <w:r w:rsidR="006F2DC5" w:rsidRPr="00A766E0">
        <w:rPr>
          <w:rFonts w:cs="David" w:hint="cs"/>
          <w:sz w:val="24"/>
          <w:szCs w:val="24"/>
          <w:rtl/>
        </w:rPr>
        <w:t xml:space="preserve">ת" </w:t>
      </w:r>
      <w:r w:rsidR="006F2DC5" w:rsidRPr="00A766E0">
        <w:rPr>
          <w:rFonts w:cs="David" w:hint="cs"/>
          <w:b/>
          <w:bCs/>
          <w:sz w:val="24"/>
          <w:szCs w:val="24"/>
          <w:rtl/>
        </w:rPr>
        <w:t>מחקרי משפט</w:t>
      </w:r>
      <w:r w:rsidR="006F2DC5" w:rsidRPr="00A766E0">
        <w:rPr>
          <w:rFonts w:cs="David" w:hint="cs"/>
          <w:sz w:val="24"/>
          <w:szCs w:val="24"/>
          <w:rtl/>
        </w:rPr>
        <w:t xml:space="preserve"> יז 7, 10 (2001), הדברים מצוטטים גם</w:t>
      </w:r>
      <w:r w:rsidR="000A1209" w:rsidRPr="00A766E0">
        <w:rPr>
          <w:rFonts w:cs="David" w:hint="cs"/>
          <w:sz w:val="24"/>
          <w:szCs w:val="24"/>
          <w:rtl/>
        </w:rPr>
        <w:t xml:space="preserve"> </w:t>
      </w:r>
      <w:r w:rsidR="006F2DC5" w:rsidRPr="00A766E0">
        <w:rPr>
          <w:rFonts w:cs="David" w:hint="cs"/>
          <w:sz w:val="24"/>
          <w:szCs w:val="24"/>
          <w:rtl/>
        </w:rPr>
        <w:t>ב</w:t>
      </w:r>
      <w:r w:rsidR="006F2DC5" w:rsidRPr="00A766E0">
        <w:rPr>
          <w:rFonts w:cs="David" w:hint="cs"/>
          <w:b/>
          <w:bCs/>
          <w:sz w:val="24"/>
          <w:szCs w:val="24"/>
          <w:rtl/>
        </w:rPr>
        <w:t>עניין גיני</w:t>
      </w:r>
      <w:r w:rsidR="006F2DC5" w:rsidRPr="00A766E0">
        <w:rPr>
          <w:rFonts w:cs="David" w:hint="cs"/>
          <w:sz w:val="24"/>
          <w:szCs w:val="24"/>
          <w:rtl/>
        </w:rPr>
        <w:t xml:space="preserve">). </w:t>
      </w:r>
      <w:r w:rsidR="00004A8D" w:rsidRPr="00A766E0">
        <w:rPr>
          <w:rFonts w:cs="David" w:hint="cs"/>
          <w:sz w:val="24"/>
          <w:szCs w:val="24"/>
          <w:rtl/>
        </w:rPr>
        <w:t xml:space="preserve"> </w:t>
      </w:r>
    </w:p>
    <w:p w:rsidR="00725E96" w:rsidRDefault="00C50487" w:rsidP="00A06051">
      <w:pPr>
        <w:pStyle w:val="a8"/>
        <w:numPr>
          <w:ilvl w:val="0"/>
          <w:numId w:val="1"/>
        </w:numPr>
        <w:spacing w:line="360" w:lineRule="auto"/>
        <w:ind w:left="397" w:hanging="392"/>
        <w:jc w:val="both"/>
        <w:rPr>
          <w:rFonts w:cs="David"/>
          <w:sz w:val="24"/>
          <w:szCs w:val="24"/>
        </w:rPr>
      </w:pPr>
      <w:r>
        <w:rPr>
          <w:rFonts w:cs="David" w:hint="cs"/>
          <w:sz w:val="24"/>
          <w:szCs w:val="24"/>
          <w:rtl/>
        </w:rPr>
        <w:t xml:space="preserve">ככלל, אלא אם כן היועץ המשפטי לממשלה החליט אחרת, עמדתה החולקת של אותה הרשות תובא באותם מקרים </w:t>
      </w:r>
      <w:r w:rsidRPr="00004A8D">
        <w:rPr>
          <w:rFonts w:cs="David" w:hint="cs"/>
          <w:b/>
          <w:bCs/>
          <w:sz w:val="24"/>
          <w:szCs w:val="24"/>
          <w:rtl/>
        </w:rPr>
        <w:t>בנוסף</w:t>
      </w:r>
      <w:r>
        <w:rPr>
          <w:rFonts w:cs="David" w:hint="cs"/>
          <w:sz w:val="24"/>
          <w:szCs w:val="24"/>
          <w:rtl/>
        </w:rPr>
        <w:t xml:space="preserve"> לעמדתו של היועץ המשפטי לממשלה ולא </w:t>
      </w:r>
      <w:r w:rsidRPr="00004A8D">
        <w:rPr>
          <w:rFonts w:cs="David" w:hint="cs"/>
          <w:b/>
          <w:bCs/>
          <w:sz w:val="24"/>
          <w:szCs w:val="24"/>
          <w:rtl/>
        </w:rPr>
        <w:t>במקומו</w:t>
      </w:r>
      <w:r>
        <w:rPr>
          <w:rFonts w:cs="David" w:hint="cs"/>
          <w:sz w:val="24"/>
          <w:szCs w:val="24"/>
          <w:rtl/>
        </w:rPr>
        <w:t xml:space="preserve">. </w:t>
      </w:r>
      <w:r w:rsidR="00725E96">
        <w:rPr>
          <w:rFonts w:cs="David" w:hint="cs"/>
          <w:sz w:val="24"/>
          <w:szCs w:val="24"/>
          <w:rtl/>
        </w:rPr>
        <w:t xml:space="preserve">בהיותו של היועץ המשפטי לממשלה הפרשן המוסמך של הדין כלפי הרשות המבצעת ומי שמופקד על האינטרס הציבורי בתחום המשפטי, מחובתו של היועץ המשפטי לממשלה, וודאי בסמכותו, להציג את הדין ואת האינטרס הציבורי כפי שהם מתפרשים בעיניו (ראו והשוו: אמנון </w:t>
      </w:r>
      <w:r w:rsidR="00725E96" w:rsidRPr="002933C1">
        <w:rPr>
          <w:rFonts w:cs="David" w:hint="cs"/>
          <w:sz w:val="24"/>
          <w:szCs w:val="24"/>
          <w:rtl/>
        </w:rPr>
        <w:t xml:space="preserve">רובינשטיין וברק מדינה </w:t>
      </w:r>
      <w:r w:rsidR="00725E96" w:rsidRPr="002933C1">
        <w:rPr>
          <w:rFonts w:cs="David" w:hint="cs"/>
          <w:b/>
          <w:bCs/>
          <w:sz w:val="24"/>
          <w:szCs w:val="24"/>
          <w:rtl/>
        </w:rPr>
        <w:t>המשפט החוקתי של מדינת ישראל</w:t>
      </w:r>
      <w:r w:rsidR="00725E96" w:rsidRPr="002933C1">
        <w:rPr>
          <w:rFonts w:cs="David" w:hint="cs"/>
          <w:sz w:val="24"/>
          <w:szCs w:val="24"/>
          <w:rtl/>
        </w:rPr>
        <w:t xml:space="preserve"> (כרך ב: רשויות השלטון</w:t>
      </w:r>
      <w:r w:rsidR="00725E96">
        <w:rPr>
          <w:rFonts w:cs="David" w:hint="cs"/>
          <w:sz w:val="24"/>
          <w:szCs w:val="24"/>
          <w:rtl/>
        </w:rPr>
        <w:t xml:space="preserve"> ואזרחות), 1006-1007 (2005) וכן בג"ץ 4267/93 </w:t>
      </w:r>
      <w:r w:rsidR="00725E96" w:rsidRPr="00A900DD">
        <w:rPr>
          <w:rFonts w:cs="David" w:hint="cs"/>
          <w:b/>
          <w:bCs/>
          <w:sz w:val="24"/>
          <w:szCs w:val="24"/>
          <w:rtl/>
        </w:rPr>
        <w:t xml:space="preserve">אמיתי </w:t>
      </w:r>
      <w:r w:rsidR="00725E96" w:rsidRPr="00A900DD">
        <w:rPr>
          <w:rFonts w:cs="David"/>
          <w:b/>
          <w:bCs/>
          <w:sz w:val="24"/>
          <w:szCs w:val="24"/>
          <w:rtl/>
        </w:rPr>
        <w:t>–</w:t>
      </w:r>
      <w:r w:rsidR="00725E96" w:rsidRPr="00A900DD">
        <w:rPr>
          <w:rFonts w:cs="David" w:hint="cs"/>
          <w:b/>
          <w:bCs/>
          <w:sz w:val="24"/>
          <w:szCs w:val="24"/>
          <w:rtl/>
        </w:rPr>
        <w:t xml:space="preserve"> אזרחים למען מינהל תקין וטוהר המידות נ' ראש הממשלה</w:t>
      </w:r>
      <w:r w:rsidR="00725E96">
        <w:rPr>
          <w:rFonts w:cs="David" w:hint="cs"/>
          <w:sz w:val="24"/>
          <w:szCs w:val="24"/>
          <w:rtl/>
        </w:rPr>
        <w:t xml:space="preserve">, פסקה 42 לפסק דינו של הנשיא ברק (פורסם בנבו, 8.9.1993)). </w:t>
      </w:r>
    </w:p>
    <w:p w:rsidR="00C77F9F" w:rsidRPr="00A06051" w:rsidRDefault="001F66BC" w:rsidP="00A06051">
      <w:pPr>
        <w:spacing w:after="0" w:line="360" w:lineRule="auto"/>
        <w:ind w:hanging="378"/>
        <w:jc w:val="both"/>
        <w:rPr>
          <w:rFonts w:cs="David"/>
          <w:b/>
          <w:bCs/>
          <w:sz w:val="24"/>
          <w:szCs w:val="24"/>
          <w:u w:val="single"/>
          <w:rtl/>
        </w:rPr>
      </w:pPr>
      <w:r w:rsidRPr="00A35D8B">
        <w:rPr>
          <w:rFonts w:cs="David" w:hint="cs"/>
          <w:b/>
          <w:bCs/>
          <w:sz w:val="24"/>
          <w:szCs w:val="24"/>
          <w:highlight w:val="yellow"/>
          <w:u w:val="single"/>
          <w:rtl/>
        </w:rPr>
        <w:t>נסיבות ושיקולים ל</w:t>
      </w:r>
      <w:r w:rsidR="00E72006" w:rsidRPr="00A35D8B">
        <w:rPr>
          <w:rFonts w:cs="David" w:hint="cs"/>
          <w:b/>
          <w:bCs/>
          <w:sz w:val="24"/>
          <w:szCs w:val="24"/>
          <w:highlight w:val="yellow"/>
          <w:u w:val="single"/>
          <w:rtl/>
        </w:rPr>
        <w:t>מתן אפשרות לייצוג נפרד</w:t>
      </w:r>
      <w:r w:rsidR="00E72006" w:rsidRPr="00A06051">
        <w:rPr>
          <w:rFonts w:cs="David" w:hint="cs"/>
          <w:b/>
          <w:bCs/>
          <w:sz w:val="24"/>
          <w:szCs w:val="24"/>
          <w:u w:val="single"/>
          <w:rtl/>
        </w:rPr>
        <w:t xml:space="preserve">  </w:t>
      </w:r>
    </w:p>
    <w:p w:rsidR="00C2470F" w:rsidRPr="00C2470F" w:rsidRDefault="000634B8" w:rsidP="00C22CC9">
      <w:pPr>
        <w:pStyle w:val="a8"/>
        <w:numPr>
          <w:ilvl w:val="0"/>
          <w:numId w:val="1"/>
        </w:numPr>
        <w:spacing w:line="360" w:lineRule="auto"/>
        <w:ind w:left="-23" w:hanging="378"/>
        <w:jc w:val="both"/>
        <w:rPr>
          <w:rFonts w:cs="David"/>
          <w:sz w:val="24"/>
          <w:szCs w:val="24"/>
          <w:u w:val="single"/>
        </w:rPr>
      </w:pPr>
      <w:r w:rsidRPr="00104F14">
        <w:rPr>
          <w:rFonts w:cs="David" w:hint="cs"/>
          <w:sz w:val="24"/>
          <w:szCs w:val="24"/>
          <w:rtl/>
        </w:rPr>
        <w:t xml:space="preserve">על-פי דו"ח ועדת שמגר, מתן היתר </w:t>
      </w:r>
      <w:r w:rsidR="00104F14" w:rsidRPr="00104F14">
        <w:rPr>
          <w:rFonts w:cs="David" w:hint="cs"/>
          <w:sz w:val="24"/>
          <w:szCs w:val="24"/>
          <w:rtl/>
        </w:rPr>
        <w:t>ל</w:t>
      </w:r>
      <w:r w:rsidRPr="00104F14">
        <w:rPr>
          <w:rFonts w:cs="David" w:hint="cs"/>
          <w:sz w:val="24"/>
          <w:szCs w:val="24"/>
          <w:rtl/>
        </w:rPr>
        <w:t>ייצ</w:t>
      </w:r>
      <w:r w:rsidR="00104F14" w:rsidRPr="00104F14">
        <w:rPr>
          <w:rFonts w:cs="David" w:hint="cs"/>
          <w:sz w:val="24"/>
          <w:szCs w:val="24"/>
          <w:rtl/>
        </w:rPr>
        <w:t>ו</w:t>
      </w:r>
      <w:r w:rsidRPr="00104F14">
        <w:rPr>
          <w:rFonts w:cs="David" w:hint="cs"/>
          <w:sz w:val="24"/>
          <w:szCs w:val="24"/>
          <w:rtl/>
        </w:rPr>
        <w:t xml:space="preserve">ג של הרשות הממשלתית החולקת על דעתו </w:t>
      </w:r>
      <w:r w:rsidR="00104F14" w:rsidRPr="00104F14">
        <w:rPr>
          <w:rFonts w:cs="David" w:hint="cs"/>
          <w:sz w:val="24"/>
          <w:szCs w:val="24"/>
          <w:rtl/>
        </w:rPr>
        <w:t>של היוע</w:t>
      </w:r>
      <w:r w:rsidR="00055C38">
        <w:rPr>
          <w:rFonts w:cs="David" w:hint="cs"/>
          <w:sz w:val="24"/>
          <w:szCs w:val="24"/>
          <w:rtl/>
        </w:rPr>
        <w:t>ץ המשפטי ל</w:t>
      </w:r>
      <w:r w:rsidR="001613D3">
        <w:rPr>
          <w:rFonts w:cs="David" w:hint="cs"/>
          <w:sz w:val="24"/>
          <w:szCs w:val="24"/>
          <w:rtl/>
        </w:rPr>
        <w:t xml:space="preserve">ממשלה עשוי להיות מוצדק (ועל כן </w:t>
      </w:r>
      <w:r w:rsidR="001613D3">
        <w:rPr>
          <w:rFonts w:cs="David"/>
          <w:sz w:val="24"/>
          <w:szCs w:val="24"/>
          <w:rtl/>
        </w:rPr>
        <w:t>–</w:t>
      </w:r>
      <w:r w:rsidR="001613D3">
        <w:rPr>
          <w:rFonts w:cs="David" w:hint="cs"/>
          <w:sz w:val="24"/>
          <w:szCs w:val="24"/>
          <w:rtl/>
        </w:rPr>
        <w:t xml:space="preserve"> </w:t>
      </w:r>
      <w:r w:rsidR="00055C38">
        <w:rPr>
          <w:rFonts w:cs="David" w:hint="cs"/>
          <w:sz w:val="24"/>
          <w:szCs w:val="24"/>
          <w:rtl/>
        </w:rPr>
        <w:t>אפשרי)</w:t>
      </w:r>
      <w:r w:rsidR="00104F14" w:rsidRPr="00104F14">
        <w:rPr>
          <w:rFonts w:cs="David" w:hint="cs"/>
          <w:sz w:val="24"/>
          <w:szCs w:val="24"/>
          <w:rtl/>
        </w:rPr>
        <w:t xml:space="preserve"> </w:t>
      </w:r>
      <w:r w:rsidRPr="00104F14">
        <w:rPr>
          <w:rFonts w:cs="David" w:hint="cs"/>
          <w:sz w:val="24"/>
          <w:szCs w:val="24"/>
          <w:rtl/>
        </w:rPr>
        <w:t xml:space="preserve">במקרים </w:t>
      </w:r>
      <w:r w:rsidR="00104F14" w:rsidRPr="00104F14">
        <w:rPr>
          <w:rFonts w:cs="David" w:hint="cs"/>
          <w:sz w:val="24"/>
          <w:szCs w:val="24"/>
          <w:rtl/>
        </w:rPr>
        <w:t>ש</w:t>
      </w:r>
      <w:r w:rsidRPr="00104F14">
        <w:rPr>
          <w:rFonts w:cs="David" w:hint="cs"/>
          <w:sz w:val="24"/>
          <w:szCs w:val="24"/>
          <w:rtl/>
        </w:rPr>
        <w:t>בהם "אין מדובר באי-חוקיות ברורה וגלויה",</w:t>
      </w:r>
      <w:r w:rsidR="00104F14" w:rsidRPr="00104F14">
        <w:rPr>
          <w:rFonts w:cs="David" w:hint="cs"/>
          <w:sz w:val="24"/>
          <w:szCs w:val="24"/>
          <w:rtl/>
        </w:rPr>
        <w:t xml:space="preserve"> אלא </w:t>
      </w:r>
      <w:r w:rsidR="00055C38">
        <w:rPr>
          <w:rFonts w:cs="David" w:hint="cs"/>
          <w:sz w:val="24"/>
          <w:szCs w:val="24"/>
          <w:rtl/>
        </w:rPr>
        <w:t>מתעוררים "</w:t>
      </w:r>
      <w:r w:rsidRPr="00104F14">
        <w:rPr>
          <w:rFonts w:cs="David" w:hint="cs"/>
          <w:sz w:val="24"/>
          <w:szCs w:val="24"/>
          <w:rtl/>
        </w:rPr>
        <w:t>חילוקי דעות בתום לב בנושא היכול להיות נתון לפרשנויות שונות"</w:t>
      </w:r>
      <w:r w:rsidR="00055C38">
        <w:rPr>
          <w:rFonts w:cs="David" w:hint="cs"/>
          <w:sz w:val="24"/>
          <w:szCs w:val="24"/>
          <w:rtl/>
        </w:rPr>
        <w:t xml:space="preserve">, ובמילים אחרות: </w:t>
      </w:r>
      <w:r w:rsidR="001613D3">
        <w:rPr>
          <w:rFonts w:cs="David" w:hint="cs"/>
          <w:sz w:val="24"/>
          <w:szCs w:val="24"/>
          <w:rtl/>
        </w:rPr>
        <w:t>מקרים שבהם תיתכנה</w:t>
      </w:r>
      <w:r w:rsidR="00104F14" w:rsidRPr="00104F14">
        <w:rPr>
          <w:rFonts w:cs="David" w:hint="cs"/>
          <w:sz w:val="24"/>
          <w:szCs w:val="24"/>
          <w:rtl/>
        </w:rPr>
        <w:t xml:space="preserve"> השקפות או פרשנויות שונות אשר יכולות "לדור זו לצד זו"</w:t>
      </w:r>
      <w:r w:rsidRPr="00104F14">
        <w:rPr>
          <w:rFonts w:cs="David" w:hint="cs"/>
          <w:sz w:val="24"/>
          <w:szCs w:val="24"/>
          <w:rtl/>
        </w:rPr>
        <w:t xml:space="preserve"> (שם, בפסק</w:t>
      </w:r>
      <w:r w:rsidR="00104F14" w:rsidRPr="00104F14">
        <w:rPr>
          <w:rFonts w:cs="David" w:hint="cs"/>
          <w:sz w:val="24"/>
          <w:szCs w:val="24"/>
          <w:rtl/>
        </w:rPr>
        <w:t>אות 45(ב) ו-</w:t>
      </w:r>
      <w:r w:rsidRPr="00104F14">
        <w:rPr>
          <w:rFonts w:cs="David" w:hint="cs"/>
          <w:sz w:val="24"/>
          <w:szCs w:val="24"/>
          <w:rtl/>
        </w:rPr>
        <w:t>65(ג)) [</w:t>
      </w:r>
      <w:r w:rsidR="00104F14" w:rsidRPr="00104F14">
        <w:rPr>
          <w:rFonts w:cs="David" w:hint="cs"/>
          <w:sz w:val="24"/>
          <w:szCs w:val="24"/>
          <w:highlight w:val="yellow"/>
          <w:rtl/>
        </w:rPr>
        <w:t>מדובר באמת-מידה עמומה</w:t>
      </w:r>
      <w:r w:rsidR="00055C38">
        <w:rPr>
          <w:rFonts w:cs="David" w:hint="cs"/>
          <w:sz w:val="24"/>
          <w:szCs w:val="24"/>
          <w:highlight w:val="yellow"/>
          <w:rtl/>
        </w:rPr>
        <w:t xml:space="preserve"> יחסית</w:t>
      </w:r>
      <w:r w:rsidR="00C22CC9">
        <w:rPr>
          <w:rFonts w:cs="David" w:hint="cs"/>
          <w:sz w:val="24"/>
          <w:szCs w:val="24"/>
          <w:highlight w:val="yellow"/>
          <w:rtl/>
        </w:rPr>
        <w:t>, ויש לבחון</w:t>
      </w:r>
      <w:r w:rsidR="00104F14" w:rsidRPr="00104F14">
        <w:rPr>
          <w:rFonts w:cs="David" w:hint="cs"/>
          <w:sz w:val="24"/>
          <w:szCs w:val="24"/>
          <w:highlight w:val="yellow"/>
          <w:rtl/>
        </w:rPr>
        <w:t xml:space="preserve"> האם </w:t>
      </w:r>
      <w:r w:rsidR="00A35D8B">
        <w:rPr>
          <w:rFonts w:cs="David" w:hint="cs"/>
          <w:sz w:val="24"/>
          <w:szCs w:val="24"/>
          <w:highlight w:val="yellow"/>
          <w:rtl/>
        </w:rPr>
        <w:t xml:space="preserve">ראוי ואפשרי </w:t>
      </w:r>
      <w:r w:rsidRPr="00104F14">
        <w:rPr>
          <w:rFonts w:cs="David" w:hint="cs"/>
          <w:sz w:val="24"/>
          <w:szCs w:val="24"/>
          <w:highlight w:val="yellow"/>
          <w:rtl/>
        </w:rPr>
        <w:t xml:space="preserve">ליצוק </w:t>
      </w:r>
      <w:r w:rsidR="00104F14">
        <w:rPr>
          <w:rFonts w:cs="David" w:hint="cs"/>
          <w:sz w:val="24"/>
          <w:szCs w:val="24"/>
          <w:highlight w:val="yellow"/>
          <w:rtl/>
        </w:rPr>
        <w:t xml:space="preserve">בה </w:t>
      </w:r>
      <w:r w:rsidRPr="00104F14">
        <w:rPr>
          <w:rFonts w:cs="David" w:hint="cs"/>
          <w:sz w:val="24"/>
          <w:szCs w:val="24"/>
          <w:highlight w:val="yellow"/>
          <w:rtl/>
        </w:rPr>
        <w:t xml:space="preserve">תוכן </w:t>
      </w:r>
      <w:r w:rsidR="00C90CBD">
        <w:rPr>
          <w:rFonts w:cs="David" w:hint="cs"/>
          <w:sz w:val="24"/>
          <w:szCs w:val="24"/>
          <w:highlight w:val="yellow"/>
          <w:rtl/>
        </w:rPr>
        <w:t xml:space="preserve">קונקרטי </w:t>
      </w:r>
      <w:r w:rsidR="00104F14">
        <w:rPr>
          <w:rFonts w:cs="David" w:hint="cs"/>
          <w:sz w:val="24"/>
          <w:szCs w:val="24"/>
          <w:highlight w:val="yellow"/>
          <w:rtl/>
        </w:rPr>
        <w:t>יותר</w:t>
      </w:r>
      <w:r w:rsidRPr="00104F14">
        <w:rPr>
          <w:rFonts w:cs="David" w:hint="cs"/>
          <w:sz w:val="24"/>
          <w:szCs w:val="24"/>
          <w:rtl/>
        </w:rPr>
        <w:t xml:space="preserve">]. </w:t>
      </w:r>
    </w:p>
    <w:p w:rsidR="006D0E86" w:rsidRPr="002933C1" w:rsidRDefault="009D5B9E" w:rsidP="00C2470F">
      <w:pPr>
        <w:pStyle w:val="a8"/>
        <w:numPr>
          <w:ilvl w:val="0"/>
          <w:numId w:val="1"/>
        </w:numPr>
        <w:spacing w:line="360" w:lineRule="auto"/>
        <w:ind w:left="-23" w:hanging="378"/>
        <w:jc w:val="both"/>
        <w:rPr>
          <w:rFonts w:cs="David"/>
          <w:sz w:val="24"/>
          <w:szCs w:val="24"/>
          <w:u w:val="single"/>
        </w:rPr>
      </w:pPr>
      <w:r w:rsidRPr="002933C1">
        <w:rPr>
          <w:rFonts w:cs="David" w:hint="cs"/>
          <w:sz w:val="24"/>
          <w:szCs w:val="24"/>
          <w:rtl/>
        </w:rPr>
        <w:t xml:space="preserve">תחומי התוכן </w:t>
      </w:r>
      <w:r w:rsidR="00055C38" w:rsidRPr="002933C1">
        <w:rPr>
          <w:rFonts w:cs="David" w:hint="cs"/>
          <w:sz w:val="24"/>
          <w:szCs w:val="24"/>
          <w:rtl/>
        </w:rPr>
        <w:t>המוזכרים</w:t>
      </w:r>
      <w:r w:rsidRPr="002933C1">
        <w:rPr>
          <w:rFonts w:cs="David" w:hint="cs"/>
          <w:sz w:val="24"/>
          <w:szCs w:val="24"/>
          <w:rtl/>
        </w:rPr>
        <w:t xml:space="preserve"> ב</w:t>
      </w:r>
      <w:r w:rsidR="00055C38" w:rsidRPr="002933C1">
        <w:rPr>
          <w:rFonts w:cs="David" w:hint="cs"/>
          <w:sz w:val="24"/>
          <w:szCs w:val="24"/>
          <w:rtl/>
        </w:rPr>
        <w:t>דו"ח ועדת שמגר ככאלה שעשויים להצדיק הצגת עמדות שונות, הם</w:t>
      </w:r>
      <w:r w:rsidR="00104F14" w:rsidRPr="002933C1">
        <w:rPr>
          <w:rFonts w:cs="David" w:hint="cs"/>
          <w:sz w:val="24"/>
          <w:szCs w:val="24"/>
          <w:rtl/>
        </w:rPr>
        <w:t xml:space="preserve"> </w:t>
      </w:r>
      <w:r w:rsidR="00C2163E" w:rsidRPr="002933C1">
        <w:rPr>
          <w:rFonts w:cs="David" w:hint="cs"/>
          <w:sz w:val="24"/>
          <w:szCs w:val="24"/>
          <w:rtl/>
        </w:rPr>
        <w:t xml:space="preserve">נושאים בתחום </w:t>
      </w:r>
      <w:r w:rsidR="00104F14" w:rsidRPr="002933C1">
        <w:rPr>
          <w:rFonts w:cs="David" w:hint="cs"/>
          <w:sz w:val="24"/>
          <w:szCs w:val="24"/>
          <w:rtl/>
        </w:rPr>
        <w:t>"</w:t>
      </w:r>
      <w:r w:rsidR="00C2163E" w:rsidRPr="002933C1">
        <w:rPr>
          <w:rFonts w:cs="David" w:hint="cs"/>
          <w:sz w:val="24"/>
          <w:szCs w:val="24"/>
          <w:rtl/>
        </w:rPr>
        <w:t>יישום זכויות היסוד החוקתיות</w:t>
      </w:r>
      <w:r w:rsidR="00104F14" w:rsidRPr="002933C1">
        <w:rPr>
          <w:rFonts w:cs="David" w:hint="cs"/>
          <w:sz w:val="24"/>
          <w:szCs w:val="24"/>
          <w:rtl/>
        </w:rPr>
        <w:t>"</w:t>
      </w:r>
      <w:r w:rsidR="00C2163E" w:rsidRPr="002933C1">
        <w:rPr>
          <w:rFonts w:cs="David" w:hint="cs"/>
          <w:sz w:val="24"/>
          <w:szCs w:val="24"/>
          <w:rtl/>
        </w:rPr>
        <w:t xml:space="preserve"> או ב</w:t>
      </w:r>
      <w:r w:rsidR="00104F14" w:rsidRPr="002933C1">
        <w:rPr>
          <w:rFonts w:cs="David" w:hint="cs"/>
          <w:sz w:val="24"/>
          <w:szCs w:val="24"/>
          <w:rtl/>
        </w:rPr>
        <w:t>"</w:t>
      </w:r>
      <w:r w:rsidR="00C2163E" w:rsidRPr="002933C1">
        <w:rPr>
          <w:rFonts w:cs="David" w:hint="cs"/>
          <w:sz w:val="24"/>
          <w:szCs w:val="24"/>
          <w:rtl/>
        </w:rPr>
        <w:t>נושאי המינהל הציבורי התקין</w:t>
      </w:r>
      <w:r w:rsidR="00104F14" w:rsidRPr="002933C1">
        <w:rPr>
          <w:rFonts w:cs="David" w:hint="cs"/>
          <w:sz w:val="24"/>
          <w:szCs w:val="24"/>
          <w:rtl/>
        </w:rPr>
        <w:t>"</w:t>
      </w:r>
      <w:r w:rsidR="00055C38" w:rsidRPr="002933C1">
        <w:rPr>
          <w:rFonts w:cs="David" w:hint="cs"/>
          <w:sz w:val="24"/>
          <w:szCs w:val="24"/>
          <w:rtl/>
        </w:rPr>
        <w:t>.</w:t>
      </w:r>
      <w:r w:rsidR="00755438" w:rsidRPr="002933C1">
        <w:rPr>
          <w:rFonts w:cs="David" w:hint="cs"/>
          <w:sz w:val="24"/>
          <w:szCs w:val="24"/>
          <w:rtl/>
        </w:rPr>
        <w:t xml:space="preserve"> </w:t>
      </w:r>
      <w:r w:rsidR="006D0E86" w:rsidRPr="002933C1">
        <w:rPr>
          <w:rFonts w:cs="David" w:hint="cs"/>
          <w:sz w:val="24"/>
          <w:szCs w:val="24"/>
          <w:rtl/>
        </w:rPr>
        <w:t>כך לדוגמה</w:t>
      </w:r>
      <w:r w:rsidR="00755438" w:rsidRPr="002933C1">
        <w:rPr>
          <w:rFonts w:cs="David" w:hint="cs"/>
          <w:sz w:val="24"/>
          <w:szCs w:val="24"/>
          <w:rtl/>
        </w:rPr>
        <w:t xml:space="preserve"> </w:t>
      </w:r>
      <w:r w:rsidR="00755438" w:rsidRPr="002933C1">
        <w:rPr>
          <w:rFonts w:cs="David"/>
          <w:sz w:val="24"/>
          <w:szCs w:val="24"/>
          <w:rtl/>
        </w:rPr>
        <w:t>–</w:t>
      </w:r>
      <w:r w:rsidR="00755438" w:rsidRPr="002933C1">
        <w:rPr>
          <w:rFonts w:cs="David" w:hint="cs"/>
          <w:sz w:val="24"/>
          <w:szCs w:val="24"/>
          <w:rtl/>
        </w:rPr>
        <w:t xml:space="preserve"> פיטורי שר או סגן שר בעקבות נקיטת הליכים משפטיים כל עוד לא נקבעו הוראות סטטוטוריות בנושא</w:t>
      </w:r>
      <w:r w:rsidR="00055C38" w:rsidRPr="002933C1">
        <w:rPr>
          <w:rFonts w:cs="David" w:hint="cs"/>
          <w:sz w:val="24"/>
          <w:szCs w:val="24"/>
          <w:rtl/>
        </w:rPr>
        <w:t xml:space="preserve"> (פרשות דרעי ופנחסי)</w:t>
      </w:r>
      <w:r w:rsidR="00755438" w:rsidRPr="002933C1">
        <w:rPr>
          <w:rFonts w:cs="David" w:hint="cs"/>
          <w:sz w:val="24"/>
          <w:szCs w:val="24"/>
          <w:rtl/>
        </w:rPr>
        <w:t xml:space="preserve">, או עניין כריתת הסכם בין שתי תנועות פוליטיות באשר לחקיקה </w:t>
      </w:r>
      <w:r w:rsidR="00C90CBD" w:rsidRPr="002933C1">
        <w:rPr>
          <w:rFonts w:cs="David" w:hint="cs"/>
          <w:sz w:val="24"/>
          <w:szCs w:val="24"/>
          <w:rtl/>
        </w:rPr>
        <w:t xml:space="preserve">המיועדת מראש לאגוף את פסיקת </w:t>
      </w:r>
      <w:r w:rsidR="00755438" w:rsidRPr="002933C1">
        <w:rPr>
          <w:rFonts w:cs="David" w:hint="cs"/>
          <w:sz w:val="24"/>
          <w:szCs w:val="24"/>
          <w:rtl/>
        </w:rPr>
        <w:t>בית המשפט</w:t>
      </w:r>
      <w:r w:rsidR="00055C38" w:rsidRPr="002933C1">
        <w:rPr>
          <w:rFonts w:cs="David" w:hint="cs"/>
          <w:sz w:val="24"/>
          <w:szCs w:val="24"/>
          <w:rtl/>
        </w:rPr>
        <w:t xml:space="preserve"> (</w:t>
      </w:r>
      <w:r w:rsidR="006D0E86" w:rsidRPr="002933C1">
        <w:rPr>
          <w:rFonts w:cs="David" w:hint="cs"/>
          <w:sz w:val="24"/>
          <w:szCs w:val="24"/>
          <w:rtl/>
        </w:rPr>
        <w:t>פרשת ולנר)</w:t>
      </w:r>
      <w:r w:rsidR="00C2470F" w:rsidRPr="002933C1">
        <w:rPr>
          <w:rFonts w:cs="David" w:hint="cs"/>
          <w:sz w:val="24"/>
          <w:szCs w:val="24"/>
          <w:rtl/>
        </w:rPr>
        <w:t xml:space="preserve"> [</w:t>
      </w:r>
      <w:r w:rsidR="00C2470F" w:rsidRPr="002933C1">
        <w:rPr>
          <w:rFonts w:cs="David" w:hint="cs"/>
          <w:sz w:val="24"/>
          <w:szCs w:val="24"/>
          <w:highlight w:val="yellow"/>
          <w:rtl/>
        </w:rPr>
        <w:t>כנ"ל</w:t>
      </w:r>
      <w:r w:rsidR="00A56D0E" w:rsidRPr="002933C1">
        <w:rPr>
          <w:rFonts w:cs="David" w:hint="cs"/>
          <w:sz w:val="24"/>
          <w:szCs w:val="24"/>
          <w:highlight w:val="yellow"/>
          <w:rtl/>
        </w:rPr>
        <w:t>, נדרש לחדד את אמות-המידה בעניין</w:t>
      </w:r>
      <w:r w:rsidR="00C2470F" w:rsidRPr="002933C1">
        <w:rPr>
          <w:rFonts w:cs="David" w:hint="cs"/>
          <w:sz w:val="24"/>
          <w:szCs w:val="24"/>
          <w:rtl/>
        </w:rPr>
        <w:t>].</w:t>
      </w:r>
    </w:p>
    <w:p w:rsidR="000634B8" w:rsidRDefault="000634B8" w:rsidP="006D0E86">
      <w:pPr>
        <w:pStyle w:val="a8"/>
        <w:numPr>
          <w:ilvl w:val="0"/>
          <w:numId w:val="1"/>
        </w:numPr>
        <w:spacing w:line="360" w:lineRule="auto"/>
        <w:ind w:left="-23" w:hanging="378"/>
        <w:jc w:val="both"/>
        <w:rPr>
          <w:rFonts w:cs="David"/>
          <w:sz w:val="24"/>
          <w:szCs w:val="24"/>
          <w:u w:val="single"/>
        </w:rPr>
      </w:pPr>
      <w:r>
        <w:rPr>
          <w:rFonts w:cs="David" w:hint="cs"/>
          <w:sz w:val="24"/>
          <w:szCs w:val="24"/>
          <w:rtl/>
        </w:rPr>
        <w:t xml:space="preserve">על-פי דו"ח שמגר, ראוי לנקוט בפתיחות יתרה לאפשרות של ייצוג נפרד לעמדה חולקת </w:t>
      </w:r>
      <w:r w:rsidRPr="00C22CC9">
        <w:rPr>
          <w:rFonts w:cs="David" w:hint="cs"/>
          <w:b/>
          <w:bCs/>
          <w:sz w:val="24"/>
          <w:szCs w:val="24"/>
          <w:rtl/>
        </w:rPr>
        <w:t>בסוגיות חוקתיות</w:t>
      </w:r>
      <w:r>
        <w:rPr>
          <w:rFonts w:cs="David" w:hint="cs"/>
          <w:sz w:val="24"/>
          <w:szCs w:val="24"/>
          <w:rtl/>
        </w:rPr>
        <w:t xml:space="preserve">, וכפי שנאמר שם: </w:t>
      </w:r>
    </w:p>
    <w:p w:rsidR="00C77F9F" w:rsidRDefault="00C77F9F" w:rsidP="00A06051">
      <w:pPr>
        <w:spacing w:after="240" w:line="240" w:lineRule="auto"/>
        <w:ind w:left="935" w:right="851"/>
        <w:jc w:val="both"/>
        <w:rPr>
          <w:rFonts w:ascii="Arial" w:hAnsi="Arial" w:cs="David"/>
          <w:sz w:val="24"/>
          <w:szCs w:val="24"/>
          <w:rtl/>
        </w:rPr>
      </w:pPr>
      <w:r w:rsidRPr="00E0060E">
        <w:rPr>
          <w:rFonts w:ascii="Arial" w:hAnsi="Arial" w:cs="David"/>
          <w:sz w:val="24"/>
          <w:szCs w:val="24"/>
          <w:rtl/>
        </w:rPr>
        <w:t xml:space="preserve">"יש רגישות מיוחדת ומוצדקת לכך שבקביעת האיזון בין ערכי יסוד חוקתיים, הרשות המחוקקת אינה כבולה על ידי חוות הדעת המשפטיות לגבי חוקתיות החוק אלא עושה בסופו של דבר, הערכה משל עצמה היכולה להיבדק על ידי בית המשפט כאשר הוא מתבקש לבחון </w:t>
      </w:r>
      <w:r w:rsidRPr="00E0060E">
        <w:rPr>
          <w:rFonts w:ascii="Arial" w:hAnsi="Arial" w:cs="David" w:hint="cs"/>
          <w:sz w:val="24"/>
          <w:szCs w:val="24"/>
          <w:rtl/>
        </w:rPr>
        <w:t>ב</w:t>
      </w:r>
      <w:r w:rsidRPr="00E0060E">
        <w:rPr>
          <w:rFonts w:ascii="Arial" w:hAnsi="Arial" w:cs="David"/>
          <w:sz w:val="24"/>
          <w:szCs w:val="24"/>
          <w:rtl/>
        </w:rPr>
        <w:t>מסגרת הליכים משפטיים את תחולתו של סעיף ההגבלה. מכאן נובע, שהשקילה הזהירה המתחייבת בנושאים חוקתיים, בדרך כלל, ובתחומים בהם ניצבים מול התפתחויות חוקתיות חדשות, בפרט, מן הנכון שתבוא לידי ביטוי גם כאשר היועץ המשפטי נדרש לנושאים כגון אלה במסגרת הייעוץ המשפטי או הייצוג. בין היתר יש טעם מיוחד בהצגתן של מכלול נקודות הראות האפשריות בפרשנות שעניינה טענה בדבר ניגוד בין חוק יסוד לחקיקה רגילה. הפתיחות לליבון של נושא כזה בפני ערכאה שיפוטית, אף היא בגדר הגישה הרצויה. במילים אחרות, אין אפשרות לקבוע בנושאים אלה דפוסים קבועים ונוקשים, אולם הנכונות של היועץ המשפטי לבחון את כל ההיבטים ונקודות הראות ולאפשר במקרה ראוי את הצגתה בפני בית המשפט של תזה שונה משלו עד שבית המשפט יכריע בעניין, היא בגדר</w:t>
      </w:r>
      <w:r w:rsidR="00C22CC9">
        <w:rPr>
          <w:rFonts w:ascii="Arial" w:hAnsi="Arial" w:cs="David"/>
          <w:sz w:val="24"/>
          <w:szCs w:val="24"/>
          <w:rtl/>
        </w:rPr>
        <w:t xml:space="preserve"> הגישה הרצויה" (שם, בפסקה 46). </w:t>
      </w:r>
      <w:r w:rsidR="00A56D0E">
        <w:rPr>
          <w:rFonts w:ascii="Arial" w:hAnsi="Arial" w:cs="David" w:hint="cs"/>
          <w:sz w:val="24"/>
          <w:szCs w:val="24"/>
          <w:rtl/>
        </w:rPr>
        <w:t>[</w:t>
      </w:r>
      <w:r w:rsidR="00A56D0E" w:rsidRPr="00A56D0E">
        <w:rPr>
          <w:rFonts w:ascii="Arial" w:hAnsi="Arial" w:cs="David" w:hint="cs"/>
          <w:sz w:val="24"/>
          <w:szCs w:val="24"/>
          <w:highlight w:val="yellow"/>
          <w:rtl/>
        </w:rPr>
        <w:t>יש לבחון האם ניתן ליצור קונקרטיזציה נוספת בנושא</w:t>
      </w:r>
      <w:r w:rsidR="00A56D0E">
        <w:rPr>
          <w:rFonts w:ascii="Arial" w:hAnsi="Arial" w:cs="David" w:hint="cs"/>
          <w:sz w:val="24"/>
          <w:szCs w:val="24"/>
          <w:rtl/>
        </w:rPr>
        <w:t>]</w:t>
      </w:r>
    </w:p>
    <w:p w:rsidR="00C15FF4" w:rsidRPr="00692F21" w:rsidRDefault="00311BDC" w:rsidP="00717CD8">
      <w:pPr>
        <w:pStyle w:val="a8"/>
        <w:numPr>
          <w:ilvl w:val="0"/>
          <w:numId w:val="1"/>
        </w:numPr>
        <w:spacing w:line="360" w:lineRule="auto"/>
        <w:ind w:left="-23" w:hanging="378"/>
        <w:jc w:val="both"/>
        <w:rPr>
          <w:rFonts w:cs="David"/>
          <w:sz w:val="24"/>
          <w:szCs w:val="24"/>
          <w:u w:val="single"/>
        </w:rPr>
      </w:pPr>
      <w:r w:rsidRPr="00692F21">
        <w:rPr>
          <w:rFonts w:cs="David" w:hint="cs"/>
          <w:sz w:val="24"/>
          <w:szCs w:val="24"/>
          <w:u w:val="single"/>
          <w:rtl/>
        </w:rPr>
        <w:t>הליכים המערבים היבטים אישיים:</w:t>
      </w:r>
      <w:r w:rsidRPr="00692F21">
        <w:rPr>
          <w:rFonts w:cs="David" w:hint="cs"/>
          <w:sz w:val="24"/>
          <w:szCs w:val="24"/>
          <w:rtl/>
        </w:rPr>
        <w:t xml:space="preserve"> נסיבות נוספות שעשויות להצדיק מתן י</w:t>
      </w:r>
      <w:r w:rsidR="00C15FF4" w:rsidRPr="00692F21">
        <w:rPr>
          <w:rFonts w:cs="David" w:hint="cs"/>
          <w:sz w:val="24"/>
          <w:szCs w:val="24"/>
          <w:rtl/>
        </w:rPr>
        <w:t>יצוג פרטי נוגע</w:t>
      </w:r>
      <w:r w:rsidR="006D0E86">
        <w:rPr>
          <w:rFonts w:cs="David" w:hint="cs"/>
          <w:sz w:val="24"/>
          <w:szCs w:val="24"/>
          <w:rtl/>
        </w:rPr>
        <w:t xml:space="preserve">ות לסיטואציות המערבות </w:t>
      </w:r>
      <w:r w:rsidR="00890E86">
        <w:rPr>
          <w:rFonts w:cs="David" w:hint="cs"/>
          <w:sz w:val="24"/>
          <w:szCs w:val="24"/>
          <w:rtl/>
        </w:rPr>
        <w:t xml:space="preserve">היבטים אישיים של הגורם המשיב. </w:t>
      </w:r>
      <w:r w:rsidR="00C90CBD" w:rsidRPr="00692F21">
        <w:rPr>
          <w:rFonts w:cs="David" w:hint="cs"/>
          <w:sz w:val="24"/>
          <w:szCs w:val="24"/>
          <w:rtl/>
        </w:rPr>
        <w:t xml:space="preserve">כך למשל, הותר בעבר ייצוג חיצוני לשר המשפטים ולמנכ"ל משרד המשפטים בעתירה שהופנתה כנגד החלטת </w:t>
      </w:r>
      <w:r w:rsidR="00C15FF4" w:rsidRPr="00692F21">
        <w:rPr>
          <w:rFonts w:cs="David" w:hint="cs"/>
          <w:sz w:val="24"/>
          <w:szCs w:val="24"/>
          <w:rtl/>
        </w:rPr>
        <w:t xml:space="preserve">השר לפטר את המנכ"לית, </w:t>
      </w:r>
      <w:r w:rsidR="00C90CBD" w:rsidRPr="00692F21">
        <w:rPr>
          <w:rFonts w:cs="David" w:hint="cs"/>
          <w:sz w:val="24"/>
          <w:szCs w:val="24"/>
          <w:rtl/>
        </w:rPr>
        <w:t xml:space="preserve">תוך שנמסר לבית המשפט כי </w:t>
      </w:r>
      <w:r w:rsidR="00C15FF4" w:rsidRPr="00692F21">
        <w:rPr>
          <w:rFonts w:cs="David" w:hint="cs"/>
          <w:sz w:val="24"/>
          <w:szCs w:val="24"/>
          <w:rtl/>
        </w:rPr>
        <w:t xml:space="preserve">"בהתאם למקובל, ככלל פרקליטות המדינה אינה מייצגת במקרים בהם מדובר בעניין הנוגע למשפטני משרד המשפטים, ובמקרים רבים לעובדי השירות המשפטי בכלל. דבר זה נוהג כל השנים" (בג"ץ 7970/99 </w:t>
      </w:r>
      <w:r w:rsidR="00C15FF4" w:rsidRPr="00692F21">
        <w:rPr>
          <w:rFonts w:cs="David" w:hint="cs"/>
          <w:b/>
          <w:bCs/>
          <w:sz w:val="24"/>
          <w:szCs w:val="24"/>
          <w:rtl/>
        </w:rPr>
        <w:t>התנועה למען איכות השלטון בישראל נ' שר המשפטים</w:t>
      </w:r>
      <w:r w:rsidR="00C15FF4" w:rsidRPr="00692F21">
        <w:rPr>
          <w:rFonts w:cs="David" w:hint="cs"/>
          <w:sz w:val="24"/>
          <w:szCs w:val="24"/>
          <w:rtl/>
        </w:rPr>
        <w:t>, הודעה מטעם היועץ המשפטי לממשלה מיום 11.11.1999). ייצוג נפרד אושר גם בעתירה שעסקה בנושא האפשרות להטיל שליחויות מדיניות על בנו של ראש הממשלה. באותו ענין נמסר לבית המשפט כי היועץ המשפטי לממשלה התיר לראש הממשלה להיות מיוצג על-ידי עו"ד פרטי, וזאת "כיוון- במיוחד- שהמדובר במחלוקת הקשורה בבנו של ראש הממשלה, סיטואציה שאינה משיגרת העבודה הרגילה, וכיוון שבגלל טיב הנושא, האישי והחריג, אין בכך משום תקדים בנושא הייצוג (</w:t>
      </w:r>
      <w:r w:rsidR="00C15FF4" w:rsidRPr="00692F21">
        <w:rPr>
          <w:rFonts w:ascii="Arial" w:hAnsi="Arial" w:cs="David"/>
          <w:sz w:val="24"/>
          <w:szCs w:val="24"/>
          <w:rtl/>
        </w:rPr>
        <w:t xml:space="preserve">בג"ץ 2992/01 </w:t>
      </w:r>
      <w:r w:rsidR="00C15FF4" w:rsidRPr="00692F21">
        <w:rPr>
          <w:rFonts w:ascii="Arial" w:hAnsi="Arial" w:cs="David"/>
          <w:b/>
          <w:bCs/>
          <w:sz w:val="24"/>
          <w:szCs w:val="24"/>
          <w:rtl/>
        </w:rPr>
        <w:t>התנועה למען איכות השלטון נ' ר</w:t>
      </w:r>
      <w:r w:rsidR="00C15FF4" w:rsidRPr="00692F21">
        <w:rPr>
          <w:rFonts w:ascii="Arial" w:hAnsi="Arial" w:cs="David" w:hint="cs"/>
          <w:b/>
          <w:bCs/>
          <w:sz w:val="24"/>
          <w:szCs w:val="24"/>
          <w:rtl/>
        </w:rPr>
        <w:t>אש הממשלה</w:t>
      </w:r>
      <w:r w:rsidR="00C15FF4" w:rsidRPr="00692F21">
        <w:rPr>
          <w:rFonts w:ascii="Arial" w:hAnsi="Arial" w:cs="David" w:hint="cs"/>
          <w:sz w:val="24"/>
          <w:szCs w:val="24"/>
          <w:rtl/>
        </w:rPr>
        <w:t>, הודעה מטעם היועץ המשפטי לממשלה מיום 30.4.2001) (יצוין כי שני המקרים הוזכרו בפסק דינו של השופט רובינשטיין ב</w:t>
      </w:r>
      <w:r w:rsidR="00C15FF4" w:rsidRPr="00692F21">
        <w:rPr>
          <w:rFonts w:ascii="Arial" w:hAnsi="Arial" w:cs="David" w:hint="cs"/>
          <w:b/>
          <w:bCs/>
          <w:sz w:val="24"/>
          <w:szCs w:val="24"/>
          <w:rtl/>
        </w:rPr>
        <w:t>עניין גיני</w:t>
      </w:r>
      <w:r w:rsidR="00C15FF4" w:rsidRPr="00692F21">
        <w:rPr>
          <w:rFonts w:ascii="Arial" w:hAnsi="Arial" w:cs="David" w:hint="cs"/>
          <w:sz w:val="24"/>
          <w:szCs w:val="24"/>
          <w:rtl/>
        </w:rPr>
        <w:t xml:space="preserve">). </w:t>
      </w:r>
      <w:r w:rsidR="001F20E3">
        <w:rPr>
          <w:rFonts w:cs="David" w:hint="cs"/>
          <w:sz w:val="24"/>
          <w:szCs w:val="24"/>
          <w:rtl/>
        </w:rPr>
        <w:t>מעבר לכך יש ל</w:t>
      </w:r>
      <w:r w:rsidR="00717CD8">
        <w:rPr>
          <w:rFonts w:cs="David" w:hint="cs"/>
          <w:sz w:val="24"/>
          <w:szCs w:val="24"/>
          <w:rtl/>
        </w:rPr>
        <w:t xml:space="preserve">ציין </w:t>
      </w:r>
      <w:r w:rsidR="001F20E3">
        <w:rPr>
          <w:rFonts w:cs="David" w:hint="cs"/>
          <w:sz w:val="24"/>
          <w:szCs w:val="24"/>
          <w:rtl/>
        </w:rPr>
        <w:t>כי בהליך שבמסגרתו מבוקש סעד אישי כלפי בעל התפקיד, מתבקש ולעתים אף מתחייב כי בעל התפקיד יוכל להציג את עמדתו באופן עצמאי (כך למשל, בעתירות שהופנו כנגד מינויו של השר דרעי).</w:t>
      </w:r>
    </w:p>
    <w:p w:rsidR="00692F21" w:rsidRDefault="00A06051" w:rsidP="007A78BC">
      <w:pPr>
        <w:pStyle w:val="a8"/>
        <w:numPr>
          <w:ilvl w:val="0"/>
          <w:numId w:val="1"/>
        </w:numPr>
        <w:spacing w:line="360" w:lineRule="auto"/>
        <w:ind w:left="-23" w:hanging="378"/>
        <w:jc w:val="both"/>
        <w:rPr>
          <w:rFonts w:cs="David"/>
          <w:sz w:val="24"/>
          <w:szCs w:val="24"/>
        </w:rPr>
      </w:pPr>
      <w:r w:rsidRPr="00A35D8B">
        <w:rPr>
          <w:rFonts w:cs="David" w:hint="cs"/>
          <w:sz w:val="24"/>
          <w:szCs w:val="24"/>
          <w:highlight w:val="yellow"/>
          <w:u w:val="single"/>
          <w:rtl/>
        </w:rPr>
        <w:t>ייצוג גופים קולגיאליים</w:t>
      </w:r>
      <w:r w:rsidR="00692F21" w:rsidRPr="00A35D8B">
        <w:rPr>
          <w:rFonts w:cs="David" w:hint="cs"/>
          <w:sz w:val="24"/>
          <w:szCs w:val="24"/>
          <w:highlight w:val="yellow"/>
          <w:u w:val="single"/>
          <w:rtl/>
        </w:rPr>
        <w:t>:</w:t>
      </w:r>
      <w:r w:rsidR="00692F21" w:rsidRPr="00692F21">
        <w:rPr>
          <w:rFonts w:cs="David" w:hint="cs"/>
          <w:sz w:val="24"/>
          <w:szCs w:val="24"/>
          <w:rtl/>
        </w:rPr>
        <w:t xml:space="preserve"> ב</w:t>
      </w:r>
      <w:r w:rsidR="00890E86">
        <w:rPr>
          <w:rFonts w:cs="David" w:hint="cs"/>
          <w:sz w:val="24"/>
          <w:szCs w:val="24"/>
          <w:rtl/>
        </w:rPr>
        <w:t>יחס לגופים שמכהנים בהם</w:t>
      </w:r>
      <w:r w:rsidR="00692F21" w:rsidRPr="00692F21">
        <w:rPr>
          <w:rFonts w:cs="David" w:hint="cs"/>
          <w:sz w:val="24"/>
          <w:szCs w:val="24"/>
          <w:rtl/>
        </w:rPr>
        <w:t xml:space="preserve"> גם גורמים שאינם עובדי מדינה, </w:t>
      </w:r>
      <w:r w:rsidR="00E50229">
        <w:rPr>
          <w:rFonts w:cs="David" w:hint="cs"/>
          <w:sz w:val="24"/>
          <w:szCs w:val="24"/>
          <w:rtl/>
        </w:rPr>
        <w:t>ו</w:t>
      </w:r>
      <w:r w:rsidR="006D0E86">
        <w:rPr>
          <w:rFonts w:cs="David" w:hint="cs"/>
          <w:sz w:val="24"/>
          <w:szCs w:val="24"/>
          <w:rtl/>
        </w:rPr>
        <w:t>אשר</w:t>
      </w:r>
      <w:r w:rsidR="00890E86">
        <w:rPr>
          <w:rFonts w:cs="David" w:hint="cs"/>
          <w:sz w:val="24"/>
          <w:szCs w:val="24"/>
          <w:rtl/>
        </w:rPr>
        <w:t xml:space="preserve"> </w:t>
      </w:r>
      <w:r w:rsidR="00890E86">
        <w:rPr>
          <w:rFonts w:cs="David"/>
          <w:sz w:val="24"/>
          <w:szCs w:val="24"/>
          <w:rtl/>
        </w:rPr>
        <w:t>–</w:t>
      </w:r>
      <w:r w:rsidR="00890E86">
        <w:rPr>
          <w:rFonts w:cs="David" w:hint="cs"/>
          <w:sz w:val="24"/>
          <w:szCs w:val="24"/>
          <w:rtl/>
        </w:rPr>
        <w:t xml:space="preserve"> ככאלה </w:t>
      </w:r>
      <w:r w:rsidR="00890E86">
        <w:rPr>
          <w:rFonts w:cs="David"/>
          <w:sz w:val="24"/>
          <w:szCs w:val="24"/>
          <w:rtl/>
        </w:rPr>
        <w:t>–</w:t>
      </w:r>
      <w:r w:rsidR="00890E86">
        <w:rPr>
          <w:rFonts w:cs="David" w:hint="cs"/>
          <w:sz w:val="24"/>
          <w:szCs w:val="24"/>
          <w:rtl/>
        </w:rPr>
        <w:t xml:space="preserve"> </w:t>
      </w:r>
      <w:r w:rsidR="00D35FFC">
        <w:rPr>
          <w:rFonts w:cs="David" w:hint="cs"/>
          <w:sz w:val="24"/>
          <w:szCs w:val="24"/>
          <w:rtl/>
        </w:rPr>
        <w:t>מייצגים אינטרסים ומגזרים שונים</w:t>
      </w:r>
      <w:r w:rsidR="00F4291F">
        <w:rPr>
          <w:rFonts w:cs="David" w:hint="cs"/>
          <w:sz w:val="24"/>
          <w:szCs w:val="24"/>
          <w:rtl/>
        </w:rPr>
        <w:t>, הוכרה בעבר העמדה כי בנסיבות מסוימ</w:t>
      </w:r>
      <w:r w:rsidR="00E50229">
        <w:rPr>
          <w:rFonts w:cs="David" w:hint="cs"/>
          <w:sz w:val="24"/>
          <w:szCs w:val="24"/>
          <w:rtl/>
        </w:rPr>
        <w:t>ו</w:t>
      </w:r>
      <w:r w:rsidR="00F4291F">
        <w:rPr>
          <w:rFonts w:cs="David" w:hint="cs"/>
          <w:sz w:val="24"/>
          <w:szCs w:val="24"/>
          <w:rtl/>
        </w:rPr>
        <w:t xml:space="preserve">ת הדבר עשוי לשמש טעם </w:t>
      </w:r>
      <w:r w:rsidR="00717CD8">
        <w:rPr>
          <w:rFonts w:cs="David" w:hint="cs"/>
          <w:sz w:val="24"/>
          <w:szCs w:val="24"/>
          <w:rtl/>
        </w:rPr>
        <w:t>לאפשר</w:t>
      </w:r>
      <w:r w:rsidR="00692F21" w:rsidRPr="00692F21">
        <w:rPr>
          <w:rFonts w:cs="David" w:hint="cs"/>
          <w:sz w:val="24"/>
          <w:szCs w:val="24"/>
          <w:rtl/>
        </w:rPr>
        <w:t xml:space="preserve"> ייצוג חיצוני (</w:t>
      </w:r>
      <w:r w:rsidR="00692F21">
        <w:rPr>
          <w:rFonts w:cs="David" w:hint="cs"/>
          <w:sz w:val="24"/>
          <w:szCs w:val="24"/>
          <w:rtl/>
        </w:rPr>
        <w:t xml:space="preserve">כך למשל, </w:t>
      </w:r>
      <w:r w:rsidR="00692F21" w:rsidRPr="00692F21">
        <w:rPr>
          <w:rFonts w:cs="David" w:hint="cs"/>
          <w:sz w:val="24"/>
          <w:szCs w:val="24"/>
          <w:rtl/>
        </w:rPr>
        <w:t>לעניין ה</w:t>
      </w:r>
      <w:r w:rsidR="00C90CBD" w:rsidRPr="00692F21">
        <w:rPr>
          <w:rFonts w:cs="David" w:hint="cs"/>
          <w:sz w:val="24"/>
          <w:szCs w:val="24"/>
          <w:rtl/>
        </w:rPr>
        <w:t>מועצה לביקורת סרטים ומחזות</w:t>
      </w:r>
      <w:r w:rsidR="00692F21">
        <w:rPr>
          <w:rFonts w:cs="David" w:hint="cs"/>
          <w:sz w:val="24"/>
          <w:szCs w:val="24"/>
          <w:rtl/>
        </w:rPr>
        <w:t>, ראו:</w:t>
      </w:r>
      <w:r w:rsidR="00C90CBD" w:rsidRPr="00692F21">
        <w:rPr>
          <w:rFonts w:cs="David" w:hint="cs"/>
          <w:sz w:val="24"/>
          <w:szCs w:val="24"/>
          <w:rtl/>
        </w:rPr>
        <w:t xml:space="preserve"> בג"ץ 14/86 </w:t>
      </w:r>
      <w:r w:rsidR="00C90CBD" w:rsidRPr="00692F21">
        <w:rPr>
          <w:rFonts w:cs="David" w:hint="cs"/>
          <w:b/>
          <w:bCs/>
          <w:sz w:val="24"/>
          <w:szCs w:val="24"/>
          <w:rtl/>
        </w:rPr>
        <w:t>לאור נ' המועצה לביקורת סרטים ומחזות</w:t>
      </w:r>
      <w:r w:rsidR="00C90CBD" w:rsidRPr="00692F21">
        <w:rPr>
          <w:rFonts w:cs="David" w:hint="cs"/>
          <w:sz w:val="24"/>
          <w:szCs w:val="24"/>
          <w:rtl/>
        </w:rPr>
        <w:t>, פ"ד מא(1) 421, 425 (1987)</w:t>
      </w:r>
      <w:r w:rsidR="00717CD8">
        <w:rPr>
          <w:rFonts w:cs="David" w:hint="cs"/>
          <w:sz w:val="24"/>
          <w:szCs w:val="24"/>
          <w:rtl/>
        </w:rPr>
        <w:t>).</w:t>
      </w:r>
      <w:r w:rsidR="00F4291F">
        <w:rPr>
          <w:rFonts w:cs="David" w:hint="cs"/>
          <w:sz w:val="24"/>
          <w:szCs w:val="24"/>
          <w:rtl/>
        </w:rPr>
        <w:t xml:space="preserve"> יחד עם זאת, הדבר תלוי </w:t>
      </w:r>
      <w:r w:rsidR="00C22CC9">
        <w:rPr>
          <w:rFonts w:cs="David" w:hint="cs"/>
          <w:sz w:val="24"/>
          <w:szCs w:val="24"/>
          <w:rtl/>
        </w:rPr>
        <w:t>ב</w:t>
      </w:r>
      <w:r w:rsidR="00D35FFC">
        <w:rPr>
          <w:rFonts w:cs="David" w:hint="cs"/>
          <w:sz w:val="24"/>
          <w:szCs w:val="24"/>
          <w:rtl/>
        </w:rPr>
        <w:t>גוף ו</w:t>
      </w:r>
      <w:r w:rsidR="00C22CC9">
        <w:rPr>
          <w:rFonts w:cs="David" w:hint="cs"/>
          <w:sz w:val="24"/>
          <w:szCs w:val="24"/>
          <w:rtl/>
        </w:rPr>
        <w:t>ב</w:t>
      </w:r>
      <w:r w:rsidR="00F4291F">
        <w:rPr>
          <w:rFonts w:cs="David" w:hint="cs"/>
          <w:sz w:val="24"/>
          <w:szCs w:val="24"/>
          <w:rtl/>
        </w:rPr>
        <w:t xml:space="preserve">נסיבות </w:t>
      </w:r>
      <w:r w:rsidR="00C22CC9">
        <w:rPr>
          <w:rFonts w:cs="David" w:hint="cs"/>
          <w:sz w:val="24"/>
          <w:szCs w:val="24"/>
          <w:rtl/>
        </w:rPr>
        <w:t xml:space="preserve">העניין </w:t>
      </w:r>
      <w:r w:rsidR="00692F21" w:rsidRPr="00692F21">
        <w:rPr>
          <w:rFonts w:cs="David" w:hint="cs"/>
          <w:sz w:val="24"/>
          <w:szCs w:val="24"/>
          <w:rtl/>
        </w:rPr>
        <w:t>[</w:t>
      </w:r>
      <w:r w:rsidR="00890E86">
        <w:rPr>
          <w:rFonts w:cs="David" w:hint="cs"/>
          <w:sz w:val="24"/>
          <w:szCs w:val="24"/>
          <w:highlight w:val="yellow"/>
          <w:rtl/>
        </w:rPr>
        <w:t>יש לש</w:t>
      </w:r>
      <w:r w:rsidR="00C22CC9">
        <w:rPr>
          <w:rFonts w:cs="David" w:hint="cs"/>
          <w:sz w:val="24"/>
          <w:szCs w:val="24"/>
          <w:highlight w:val="yellow"/>
          <w:rtl/>
        </w:rPr>
        <w:t>אוף ל</w:t>
      </w:r>
      <w:r w:rsidR="00890E86">
        <w:rPr>
          <w:rFonts w:cs="David" w:hint="cs"/>
          <w:sz w:val="24"/>
          <w:szCs w:val="24"/>
          <w:highlight w:val="yellow"/>
          <w:rtl/>
        </w:rPr>
        <w:t>גיבוש אמת-מידה חדה יותר בהקשר זה</w:t>
      </w:r>
      <w:r w:rsidR="00692F21" w:rsidRPr="00692F21">
        <w:rPr>
          <w:rFonts w:cs="David" w:hint="cs"/>
          <w:sz w:val="24"/>
          <w:szCs w:val="24"/>
          <w:rtl/>
        </w:rPr>
        <w:t>].</w:t>
      </w:r>
    </w:p>
    <w:p w:rsidR="006D0E86" w:rsidRDefault="00C2470F" w:rsidP="007A78BC">
      <w:pPr>
        <w:pStyle w:val="a8"/>
        <w:numPr>
          <w:ilvl w:val="0"/>
          <w:numId w:val="1"/>
        </w:numPr>
        <w:spacing w:line="360" w:lineRule="auto"/>
        <w:ind w:left="-23" w:hanging="378"/>
        <w:jc w:val="both"/>
        <w:rPr>
          <w:rFonts w:cs="David"/>
          <w:sz w:val="24"/>
          <w:szCs w:val="24"/>
        </w:rPr>
      </w:pPr>
      <w:r>
        <w:rPr>
          <w:rFonts w:cs="David" w:hint="cs"/>
          <w:sz w:val="24"/>
          <w:szCs w:val="24"/>
          <w:u w:val="single"/>
          <w:rtl/>
        </w:rPr>
        <w:t>[</w:t>
      </w:r>
      <w:r w:rsidR="00CC1BEF" w:rsidRPr="00C2470F">
        <w:rPr>
          <w:rFonts w:cs="David" w:hint="cs"/>
          <w:sz w:val="24"/>
          <w:szCs w:val="24"/>
          <w:highlight w:val="yellow"/>
          <w:u w:val="single"/>
          <w:rtl/>
        </w:rPr>
        <w:t>נושאים בעלי רגישות מיוחדת שההכרעה בהם מערבת, באופן מובנה, שאלות משפטיות עם</w:t>
      </w:r>
      <w:r w:rsidR="002E4691" w:rsidRPr="00C2470F">
        <w:rPr>
          <w:rFonts w:cs="David" w:hint="cs"/>
          <w:sz w:val="24"/>
          <w:szCs w:val="24"/>
          <w:highlight w:val="yellow"/>
          <w:u w:val="single"/>
          <w:rtl/>
        </w:rPr>
        <w:t xml:space="preserve"> שאלות הלכתיות</w:t>
      </w:r>
      <w:r w:rsidR="00CC1BEF" w:rsidRPr="00C2470F">
        <w:rPr>
          <w:rFonts w:cs="David" w:hint="cs"/>
          <w:sz w:val="24"/>
          <w:szCs w:val="24"/>
          <w:highlight w:val="yellow"/>
          <w:u w:val="single"/>
          <w:rtl/>
        </w:rPr>
        <w:t>:</w:t>
      </w:r>
      <w:r w:rsidR="00CC1BEF" w:rsidRPr="00C2470F">
        <w:rPr>
          <w:rFonts w:cs="David" w:hint="cs"/>
          <w:sz w:val="24"/>
          <w:szCs w:val="24"/>
          <w:highlight w:val="yellow"/>
          <w:rtl/>
        </w:rPr>
        <w:t xml:space="preserve"> </w:t>
      </w:r>
      <w:r w:rsidR="00CC1BEF" w:rsidRPr="002933C1">
        <w:rPr>
          <w:rFonts w:cs="David" w:hint="cs"/>
          <w:sz w:val="24"/>
          <w:szCs w:val="24"/>
          <w:rtl/>
        </w:rPr>
        <w:t xml:space="preserve">בהקשר זה הותר בעבר ייצוג נפרד לרבנות הראשית (בג"ץ 7120/07 </w:t>
      </w:r>
      <w:r w:rsidR="00CC1BEF" w:rsidRPr="002933C1">
        <w:rPr>
          <w:rFonts w:cs="David" w:hint="cs"/>
          <w:b/>
          <w:bCs/>
          <w:sz w:val="24"/>
          <w:szCs w:val="24"/>
          <w:rtl/>
        </w:rPr>
        <w:t xml:space="preserve">אסיף ינוב גידולים בע"מ נ' מועצת הרבנות הראשית לישראל, </w:t>
      </w:r>
      <w:r w:rsidR="00CC1BEF" w:rsidRPr="002933C1">
        <w:rPr>
          <w:rFonts w:cs="David" w:hint="cs"/>
          <w:sz w:val="24"/>
          <w:szCs w:val="24"/>
          <w:rtl/>
        </w:rPr>
        <w:t>הודעה מטעם היועץ המשפטי לממשלה מיום 9.9.2007) וכן ב</w:t>
      </w:r>
      <w:r w:rsidR="00CC1BEF" w:rsidRPr="002933C1">
        <w:rPr>
          <w:rFonts w:cs="David" w:hint="cs"/>
          <w:b/>
          <w:bCs/>
          <w:sz w:val="24"/>
          <w:szCs w:val="24"/>
          <w:rtl/>
        </w:rPr>
        <w:t>עניין גיני</w:t>
      </w:r>
      <w:r w:rsidR="00CC1BEF" w:rsidRPr="002933C1">
        <w:rPr>
          <w:rFonts w:cs="David" w:hint="cs"/>
          <w:sz w:val="24"/>
          <w:szCs w:val="24"/>
          <w:rtl/>
        </w:rPr>
        <w:t xml:space="preserve">) וכן לבית הדין השרעי לערעורים (דנג"ץ 5019/13 </w:t>
      </w:r>
      <w:r w:rsidR="00CC1BEF" w:rsidRPr="002933C1">
        <w:rPr>
          <w:rFonts w:cs="David" w:hint="cs"/>
          <w:b/>
          <w:bCs/>
          <w:sz w:val="24"/>
          <w:szCs w:val="24"/>
          <w:rtl/>
        </w:rPr>
        <w:t>בית הדין השרעי לערעורים בירושלים נ' פלונית</w:t>
      </w:r>
      <w:r w:rsidR="00CC1BEF" w:rsidRPr="002933C1">
        <w:rPr>
          <w:rFonts w:cs="David" w:hint="cs"/>
          <w:sz w:val="24"/>
          <w:szCs w:val="24"/>
          <w:rtl/>
        </w:rPr>
        <w:t xml:space="preserve"> (פ</w:t>
      </w:r>
      <w:r w:rsidR="006D0E86" w:rsidRPr="002933C1">
        <w:rPr>
          <w:rFonts w:cs="David" w:hint="cs"/>
          <w:sz w:val="24"/>
          <w:szCs w:val="24"/>
          <w:rtl/>
        </w:rPr>
        <w:t xml:space="preserve">ורסם בנבו, 14.8.2013). </w:t>
      </w:r>
      <w:r w:rsidR="007A78BC">
        <w:rPr>
          <w:rFonts w:cs="David" w:hint="cs"/>
          <w:sz w:val="24"/>
          <w:szCs w:val="24"/>
          <w:highlight w:val="yellow"/>
          <w:rtl/>
        </w:rPr>
        <w:t xml:space="preserve">ההכרעות בעניין התקבלו בכל מקרה לפי נסיבותיו, ויש לשאוף לגיבוש </w:t>
      </w:r>
      <w:r w:rsidRPr="00C2470F">
        <w:rPr>
          <w:rFonts w:cs="David" w:hint="cs"/>
          <w:sz w:val="24"/>
          <w:szCs w:val="24"/>
          <w:highlight w:val="yellow"/>
          <w:rtl/>
        </w:rPr>
        <w:t>אמת-מידה ברורה</w:t>
      </w:r>
      <w:r>
        <w:rPr>
          <w:rFonts w:cs="David" w:hint="cs"/>
          <w:sz w:val="24"/>
          <w:szCs w:val="24"/>
          <w:rtl/>
        </w:rPr>
        <w:t xml:space="preserve">]. </w:t>
      </w:r>
    </w:p>
    <w:p w:rsidR="00C22CC9" w:rsidRPr="00C22CC9" w:rsidRDefault="006D0E86" w:rsidP="00A35D8B">
      <w:pPr>
        <w:pStyle w:val="a8"/>
        <w:numPr>
          <w:ilvl w:val="0"/>
          <w:numId w:val="1"/>
        </w:numPr>
        <w:spacing w:line="360" w:lineRule="auto"/>
        <w:ind w:left="-23" w:hanging="378"/>
        <w:jc w:val="both"/>
        <w:rPr>
          <w:rFonts w:cs="David"/>
          <w:sz w:val="24"/>
          <w:szCs w:val="24"/>
        </w:rPr>
      </w:pPr>
      <w:r w:rsidRPr="006D0E86">
        <w:rPr>
          <w:rFonts w:cs="David" w:hint="cs"/>
          <w:sz w:val="24"/>
          <w:szCs w:val="24"/>
          <w:highlight w:val="yellow"/>
          <w:u w:val="single"/>
          <w:rtl/>
        </w:rPr>
        <w:t>[נסיבות אפשריות נוספות</w:t>
      </w:r>
      <w:r w:rsidRPr="006D0E86">
        <w:rPr>
          <w:rFonts w:cs="David" w:hint="cs"/>
          <w:sz w:val="24"/>
          <w:szCs w:val="24"/>
          <w:highlight w:val="yellow"/>
          <w:rtl/>
        </w:rPr>
        <w:t xml:space="preserve">: </w:t>
      </w:r>
      <w:r w:rsidR="00CC1BEF" w:rsidRPr="006D0E86">
        <w:rPr>
          <w:rFonts w:cs="David" w:hint="cs"/>
          <w:sz w:val="24"/>
          <w:szCs w:val="24"/>
          <w:highlight w:val="yellow"/>
          <w:rtl/>
        </w:rPr>
        <w:t>ב</w:t>
      </w:r>
      <w:r w:rsidRPr="006D0E86">
        <w:rPr>
          <w:rFonts w:cs="David" w:hint="cs"/>
          <w:b/>
          <w:bCs/>
          <w:sz w:val="24"/>
          <w:szCs w:val="24"/>
          <w:highlight w:val="yellow"/>
          <w:rtl/>
        </w:rPr>
        <w:t>עניין גיני</w:t>
      </w:r>
      <w:r w:rsidRPr="006D0E86">
        <w:rPr>
          <w:rFonts w:cs="David" w:hint="cs"/>
          <w:sz w:val="24"/>
          <w:szCs w:val="24"/>
          <w:highlight w:val="yellow"/>
          <w:rtl/>
        </w:rPr>
        <w:t xml:space="preserve"> </w:t>
      </w:r>
      <w:r w:rsidR="00CC1BEF" w:rsidRPr="006D0E86">
        <w:rPr>
          <w:rFonts w:cs="David" w:hint="cs"/>
          <w:sz w:val="24"/>
          <w:szCs w:val="24"/>
          <w:highlight w:val="yellow"/>
          <w:rtl/>
        </w:rPr>
        <w:t xml:space="preserve">ציין השופט סולברג כי ההצדקה ליתן ייצוג נפרד באותו מקרה קמה, בין היתר, לאור העובדה כי עמד על הפרק </w:t>
      </w:r>
      <w:r w:rsidR="00C90CBD" w:rsidRPr="006D0E86">
        <w:rPr>
          <w:rFonts w:cs="David" w:hint="cs"/>
          <w:sz w:val="24"/>
          <w:szCs w:val="24"/>
          <w:highlight w:val="yellow"/>
          <w:rtl/>
        </w:rPr>
        <w:t>"שינוי מן הנהוג ומן המקובל הלכה למעשה במשך עשרות שנים", בתפקיד שיוחד לרשות בחוק (שם, בפסקה 26)</w:t>
      </w:r>
      <w:r w:rsidR="00692F21" w:rsidRPr="006D0E86">
        <w:rPr>
          <w:rFonts w:cs="David" w:hint="cs"/>
          <w:sz w:val="24"/>
          <w:szCs w:val="24"/>
          <w:highlight w:val="yellow"/>
          <w:rtl/>
        </w:rPr>
        <w:t>.</w:t>
      </w:r>
      <w:r w:rsidRPr="006D0E86">
        <w:rPr>
          <w:rFonts w:cs="David" w:hint="cs"/>
          <w:sz w:val="24"/>
          <w:szCs w:val="24"/>
          <w:highlight w:val="yellow"/>
          <w:rtl/>
        </w:rPr>
        <w:t xml:space="preserve"> </w:t>
      </w:r>
      <w:r w:rsidR="00CC1BEF" w:rsidRPr="006D0E86">
        <w:rPr>
          <w:rFonts w:cs="David" w:hint="cs"/>
          <w:sz w:val="24"/>
          <w:szCs w:val="24"/>
          <w:highlight w:val="yellow"/>
          <w:rtl/>
        </w:rPr>
        <w:t>יש להכריע האם יש לקבוע זאת כאמת-מידה נוספת.</w:t>
      </w:r>
      <w:r w:rsidRPr="006D0E86">
        <w:rPr>
          <w:rFonts w:cs="David" w:hint="cs"/>
          <w:sz w:val="24"/>
          <w:szCs w:val="24"/>
          <w:highlight w:val="yellow"/>
          <w:rtl/>
        </w:rPr>
        <w:t xml:space="preserve"> </w:t>
      </w:r>
    </w:p>
    <w:p w:rsidR="00C22CC9" w:rsidRPr="00C22CC9" w:rsidRDefault="006D0E86" w:rsidP="00A35D8B">
      <w:pPr>
        <w:pStyle w:val="a8"/>
        <w:numPr>
          <w:ilvl w:val="0"/>
          <w:numId w:val="1"/>
        </w:numPr>
        <w:spacing w:line="360" w:lineRule="auto"/>
        <w:ind w:left="-23" w:hanging="378"/>
        <w:jc w:val="both"/>
        <w:rPr>
          <w:rFonts w:cs="David"/>
          <w:sz w:val="24"/>
          <w:szCs w:val="24"/>
        </w:rPr>
      </w:pPr>
      <w:r w:rsidRPr="006D0E86">
        <w:rPr>
          <w:rFonts w:cs="David" w:hint="cs"/>
          <w:sz w:val="24"/>
          <w:szCs w:val="24"/>
          <w:highlight w:val="yellow"/>
          <w:rtl/>
        </w:rPr>
        <w:t xml:space="preserve">בנוסף, </w:t>
      </w:r>
      <w:r w:rsidR="00C15FF4" w:rsidRPr="006D0E86">
        <w:rPr>
          <w:rFonts w:cs="David" w:hint="cs"/>
          <w:sz w:val="24"/>
          <w:szCs w:val="24"/>
          <w:highlight w:val="yellow"/>
          <w:rtl/>
        </w:rPr>
        <w:t>יתכן שיש מקום לחשיבה מחודשת ביחס לגופים שהופקדו על אינטרס ציבורי ייחודי, בפרט בתחום זכויות האדם, כדוגמת נציבות שוויון הזדמנויות בעבודה ונציבות שוויון זכויות לאנשים עם מוגבלויו</w:t>
      </w:r>
      <w:r w:rsidR="00692F21" w:rsidRPr="006D0E86">
        <w:rPr>
          <w:rFonts w:cs="David" w:hint="cs"/>
          <w:sz w:val="24"/>
          <w:szCs w:val="24"/>
          <w:highlight w:val="yellow"/>
          <w:rtl/>
        </w:rPr>
        <w:t>ת.</w:t>
      </w:r>
      <w:r w:rsidR="00C15FF4" w:rsidRPr="006D0E86">
        <w:rPr>
          <w:rFonts w:cs="David" w:hint="cs"/>
          <w:sz w:val="24"/>
          <w:szCs w:val="24"/>
          <w:highlight w:val="yellow"/>
          <w:rtl/>
        </w:rPr>
        <w:t xml:space="preserve"> </w:t>
      </w:r>
      <w:r w:rsidR="00A35D8B">
        <w:rPr>
          <w:rFonts w:cs="David" w:hint="cs"/>
          <w:sz w:val="24"/>
          <w:szCs w:val="24"/>
          <w:highlight w:val="yellow"/>
          <w:rtl/>
        </w:rPr>
        <w:t xml:space="preserve">ככלל, </w:t>
      </w:r>
      <w:r w:rsidR="00C15FF4" w:rsidRPr="006D0E86">
        <w:rPr>
          <w:rFonts w:cs="David" w:hint="cs"/>
          <w:sz w:val="24"/>
          <w:szCs w:val="24"/>
          <w:highlight w:val="yellow"/>
          <w:rtl/>
        </w:rPr>
        <w:t xml:space="preserve">ההכרעה שהתקבלה ביחס לשתי הנציבויות האמורות היא כי משמדובר ביחידות פנים ממשלתיות ולא בתאגידים בעלי אישיות משפטית נפרדת, הן נחשבות לאורגנים של המדינה, וככאלה </w:t>
      </w:r>
      <w:r w:rsidR="00C15FF4" w:rsidRPr="006D0E86">
        <w:rPr>
          <w:rFonts w:cs="David"/>
          <w:sz w:val="24"/>
          <w:szCs w:val="24"/>
          <w:highlight w:val="yellow"/>
          <w:rtl/>
        </w:rPr>
        <w:t>–</w:t>
      </w:r>
      <w:r w:rsidR="00CC1BEF" w:rsidRPr="006D0E86">
        <w:rPr>
          <w:rFonts w:cs="David" w:hint="cs"/>
          <w:sz w:val="24"/>
          <w:szCs w:val="24"/>
          <w:highlight w:val="yellow"/>
          <w:rtl/>
        </w:rPr>
        <w:t xml:space="preserve"> </w:t>
      </w:r>
      <w:r w:rsidR="00C15FF4" w:rsidRPr="006D0E86">
        <w:rPr>
          <w:rFonts w:cs="David" w:hint="cs"/>
          <w:sz w:val="24"/>
          <w:szCs w:val="24"/>
          <w:highlight w:val="yellow"/>
          <w:rtl/>
        </w:rPr>
        <w:t>כפופות להנחיות היועץ המשפטי לממשלה ומיוצגות על-ידיו (סיכום דיון בלשכת המשנה ליועץ המשפטי לממשלה (אזרחי) מיום 22.10.06 וסיכום דיון בלשכת המשנה ליועץ המשפ</w:t>
      </w:r>
      <w:r w:rsidRPr="006D0E86">
        <w:rPr>
          <w:rFonts w:cs="David" w:hint="cs"/>
          <w:sz w:val="24"/>
          <w:szCs w:val="24"/>
          <w:highlight w:val="yellow"/>
          <w:rtl/>
        </w:rPr>
        <w:t>טי לממשלה (חקיקה) מיום 1.3.09)</w:t>
      </w:r>
      <w:r w:rsidR="00970C21">
        <w:rPr>
          <w:rFonts w:cs="David" w:hint="cs"/>
          <w:sz w:val="24"/>
          <w:szCs w:val="24"/>
          <w:highlight w:val="yellow"/>
          <w:rtl/>
        </w:rPr>
        <w:t xml:space="preserve">. </w:t>
      </w:r>
    </w:p>
    <w:p w:rsidR="00C15FF4" w:rsidRPr="006D0E86" w:rsidRDefault="00970C21" w:rsidP="00A35D8B">
      <w:pPr>
        <w:pStyle w:val="a8"/>
        <w:numPr>
          <w:ilvl w:val="0"/>
          <w:numId w:val="1"/>
        </w:numPr>
        <w:spacing w:line="360" w:lineRule="auto"/>
        <w:ind w:left="-23" w:hanging="378"/>
        <w:jc w:val="both"/>
        <w:rPr>
          <w:rFonts w:cs="David"/>
          <w:sz w:val="24"/>
          <w:szCs w:val="24"/>
        </w:rPr>
      </w:pPr>
      <w:r>
        <w:rPr>
          <w:rFonts w:cs="David" w:hint="cs"/>
          <w:sz w:val="24"/>
          <w:szCs w:val="24"/>
          <w:highlight w:val="yellow"/>
          <w:rtl/>
        </w:rPr>
        <w:t>נושא נו</w:t>
      </w:r>
      <w:r w:rsidR="00330355">
        <w:rPr>
          <w:rFonts w:cs="David" w:hint="cs"/>
          <w:sz w:val="24"/>
          <w:szCs w:val="24"/>
          <w:highlight w:val="yellow"/>
          <w:rtl/>
        </w:rPr>
        <w:t>סף נוגע לשאלת האפשרות ל</w:t>
      </w:r>
      <w:r w:rsidR="00A35D8B">
        <w:rPr>
          <w:rFonts w:cs="David" w:hint="cs"/>
          <w:sz w:val="24"/>
          <w:szCs w:val="24"/>
          <w:highlight w:val="yellow"/>
          <w:rtl/>
        </w:rPr>
        <w:t xml:space="preserve">הבחין </w:t>
      </w:r>
      <w:r w:rsidR="00330355">
        <w:rPr>
          <w:rFonts w:cs="David" w:hint="cs"/>
          <w:sz w:val="24"/>
          <w:szCs w:val="24"/>
          <w:highlight w:val="yellow"/>
          <w:rtl/>
        </w:rPr>
        <w:t>בין ייצוג בעתירות התוקפות</w:t>
      </w:r>
      <w:r>
        <w:rPr>
          <w:rFonts w:cs="David" w:hint="cs"/>
          <w:sz w:val="24"/>
          <w:szCs w:val="24"/>
          <w:highlight w:val="yellow"/>
          <w:rtl/>
        </w:rPr>
        <w:t xml:space="preserve"> החלטות</w:t>
      </w:r>
      <w:r w:rsidR="00330355">
        <w:rPr>
          <w:rFonts w:cs="David" w:hint="cs"/>
          <w:sz w:val="24"/>
          <w:szCs w:val="24"/>
          <w:highlight w:val="yellow"/>
          <w:rtl/>
        </w:rPr>
        <w:t xml:space="preserve"> מינהליות לייצוג בעתירות התוקפות</w:t>
      </w:r>
      <w:r>
        <w:rPr>
          <w:rFonts w:cs="David" w:hint="cs"/>
          <w:sz w:val="24"/>
          <w:szCs w:val="24"/>
          <w:highlight w:val="yellow"/>
          <w:rtl/>
        </w:rPr>
        <w:t xml:space="preserve"> </w:t>
      </w:r>
      <w:r w:rsidR="00FC16D2">
        <w:rPr>
          <w:rFonts w:cs="David" w:hint="cs"/>
          <w:sz w:val="24"/>
          <w:szCs w:val="24"/>
          <w:highlight w:val="yellow"/>
          <w:rtl/>
        </w:rPr>
        <w:t xml:space="preserve">דברי </w:t>
      </w:r>
      <w:r>
        <w:rPr>
          <w:rFonts w:cs="David" w:hint="cs"/>
          <w:sz w:val="24"/>
          <w:szCs w:val="24"/>
          <w:highlight w:val="yellow"/>
          <w:rtl/>
        </w:rPr>
        <w:t>חקיקה. למעט ההתייחסות בדו"ח שמגר לצורך ב"פתיחות יתרה" ביחס לסוגיות חוקתיות (כאמור בציטוט לעיל), גם בהקשר זה נראה ש</w:t>
      </w:r>
      <w:r w:rsidR="00F505B6">
        <w:rPr>
          <w:rFonts w:cs="David" w:hint="cs"/>
          <w:sz w:val="24"/>
          <w:szCs w:val="24"/>
          <w:highlight w:val="yellow"/>
          <w:rtl/>
        </w:rPr>
        <w:t xml:space="preserve">טרם </w:t>
      </w:r>
      <w:r>
        <w:rPr>
          <w:rFonts w:cs="David" w:hint="cs"/>
          <w:sz w:val="24"/>
          <w:szCs w:val="24"/>
          <w:highlight w:val="yellow"/>
          <w:rtl/>
        </w:rPr>
        <w:t>גובשה מדיניות כוללת</w:t>
      </w:r>
      <w:r w:rsidR="006D0E86" w:rsidRPr="006D0E86">
        <w:rPr>
          <w:rFonts w:cs="David" w:hint="cs"/>
          <w:sz w:val="24"/>
          <w:szCs w:val="24"/>
          <w:highlight w:val="yellow"/>
          <w:rtl/>
        </w:rPr>
        <w:t>].</w:t>
      </w:r>
    </w:p>
    <w:p w:rsidR="006205EE" w:rsidRPr="00A06051" w:rsidRDefault="00374AC3" w:rsidP="00A06051">
      <w:pPr>
        <w:spacing w:after="0" w:line="360" w:lineRule="auto"/>
        <w:ind w:hanging="415"/>
        <w:jc w:val="both"/>
        <w:rPr>
          <w:rFonts w:cs="David"/>
          <w:b/>
          <w:bCs/>
          <w:sz w:val="24"/>
          <w:szCs w:val="24"/>
          <w:u w:val="single"/>
        </w:rPr>
      </w:pPr>
      <w:r w:rsidRPr="00A06051">
        <w:rPr>
          <w:rFonts w:cs="David" w:hint="cs"/>
          <w:b/>
          <w:bCs/>
          <w:sz w:val="24"/>
          <w:szCs w:val="24"/>
          <w:u w:val="single"/>
          <w:rtl/>
        </w:rPr>
        <w:t>סוגיות נוספות</w:t>
      </w:r>
    </w:p>
    <w:p w:rsidR="00A35D8B" w:rsidRDefault="002657BC" w:rsidP="00890E86">
      <w:pPr>
        <w:pStyle w:val="a8"/>
        <w:numPr>
          <w:ilvl w:val="0"/>
          <w:numId w:val="1"/>
        </w:numPr>
        <w:spacing w:line="360" w:lineRule="auto"/>
        <w:ind w:left="-23" w:hanging="378"/>
        <w:jc w:val="both"/>
        <w:rPr>
          <w:rFonts w:cs="David"/>
          <w:sz w:val="24"/>
          <w:szCs w:val="24"/>
        </w:rPr>
      </w:pPr>
      <w:r w:rsidRPr="00654E9C">
        <w:rPr>
          <w:rFonts w:cs="David" w:hint="cs"/>
          <w:sz w:val="24"/>
          <w:szCs w:val="24"/>
          <w:highlight w:val="yellow"/>
          <w:u w:val="single"/>
          <w:rtl/>
        </w:rPr>
        <w:t>"</w:t>
      </w:r>
      <w:r w:rsidR="00FC4D40" w:rsidRPr="00654E9C">
        <w:rPr>
          <w:rFonts w:cs="David" w:hint="cs"/>
          <w:sz w:val="24"/>
          <w:szCs w:val="24"/>
          <w:highlight w:val="yellow"/>
          <w:u w:val="single"/>
          <w:rtl/>
        </w:rPr>
        <w:t>ייצוג נפרד</w:t>
      </w:r>
      <w:r w:rsidRPr="00654E9C">
        <w:rPr>
          <w:rFonts w:cs="David" w:hint="cs"/>
          <w:sz w:val="24"/>
          <w:szCs w:val="24"/>
          <w:highlight w:val="yellow"/>
          <w:u w:val="single"/>
          <w:rtl/>
        </w:rPr>
        <w:t>"</w:t>
      </w:r>
      <w:r w:rsidR="00FC4D40" w:rsidRPr="00654E9C">
        <w:rPr>
          <w:rFonts w:cs="David" w:hint="cs"/>
          <w:sz w:val="24"/>
          <w:szCs w:val="24"/>
          <w:highlight w:val="yellow"/>
          <w:u w:val="single"/>
          <w:rtl/>
        </w:rPr>
        <w:t xml:space="preserve"> </w:t>
      </w:r>
      <w:r w:rsidR="00FC4D40" w:rsidRPr="00654E9C">
        <w:rPr>
          <w:rFonts w:cs="David"/>
          <w:sz w:val="24"/>
          <w:szCs w:val="24"/>
          <w:highlight w:val="yellow"/>
          <w:u w:val="single"/>
          <w:rtl/>
        </w:rPr>
        <w:t>–</w:t>
      </w:r>
      <w:r w:rsidRPr="00654E9C">
        <w:rPr>
          <w:rFonts w:cs="David" w:hint="cs"/>
          <w:sz w:val="24"/>
          <w:szCs w:val="24"/>
          <w:highlight w:val="yellow"/>
          <w:u w:val="single"/>
          <w:rtl/>
        </w:rPr>
        <w:t xml:space="preserve"> </w:t>
      </w:r>
      <w:r w:rsidR="00FC4D40" w:rsidRPr="00654E9C">
        <w:rPr>
          <w:rFonts w:cs="David" w:hint="cs"/>
          <w:sz w:val="24"/>
          <w:szCs w:val="24"/>
          <w:highlight w:val="yellow"/>
          <w:u w:val="single"/>
          <w:rtl/>
        </w:rPr>
        <w:t>כיצד?</w:t>
      </w:r>
      <w:r w:rsidR="00FC4D40" w:rsidRPr="006D0E86">
        <w:rPr>
          <w:rFonts w:cs="David" w:hint="cs"/>
          <w:sz w:val="24"/>
          <w:szCs w:val="24"/>
          <w:rtl/>
        </w:rPr>
        <w:t xml:space="preserve"> </w:t>
      </w:r>
      <w:r w:rsidRPr="006D0E86">
        <w:rPr>
          <w:rFonts w:cs="David" w:hint="cs"/>
          <w:sz w:val="24"/>
          <w:szCs w:val="24"/>
          <w:rtl/>
        </w:rPr>
        <w:t xml:space="preserve">על-פי דו"ח </w:t>
      </w:r>
      <w:r w:rsidR="00EC77F3">
        <w:rPr>
          <w:rFonts w:cs="David" w:hint="cs"/>
          <w:sz w:val="24"/>
          <w:szCs w:val="24"/>
          <w:rtl/>
        </w:rPr>
        <w:t xml:space="preserve">ועדת שמגר, באותם מקרים שבהם </w:t>
      </w:r>
      <w:r w:rsidRPr="006D0E86">
        <w:rPr>
          <w:rFonts w:cs="David" w:hint="cs"/>
          <w:sz w:val="24"/>
          <w:szCs w:val="24"/>
          <w:rtl/>
        </w:rPr>
        <w:t xml:space="preserve">היועץ המשפטי לממשלה </w:t>
      </w:r>
      <w:r w:rsidR="00EC77F3">
        <w:rPr>
          <w:rFonts w:cs="David" w:hint="cs"/>
          <w:sz w:val="24"/>
          <w:szCs w:val="24"/>
          <w:rtl/>
        </w:rPr>
        <w:t xml:space="preserve">מצא </w:t>
      </w:r>
      <w:r w:rsidRPr="006D0E86">
        <w:rPr>
          <w:rFonts w:cs="David" w:hint="cs"/>
          <w:sz w:val="24"/>
          <w:szCs w:val="24"/>
          <w:rtl/>
        </w:rPr>
        <w:t xml:space="preserve">כי יש מקום להתיר לרשות ממלכתית </w:t>
      </w:r>
      <w:r w:rsidR="006205EE" w:rsidRPr="006D0E86">
        <w:rPr>
          <w:rFonts w:cs="David" w:hint="cs"/>
          <w:sz w:val="24"/>
          <w:szCs w:val="24"/>
          <w:rtl/>
        </w:rPr>
        <w:t xml:space="preserve">להציג עמדה </w:t>
      </w:r>
      <w:r w:rsidRPr="006D0E86">
        <w:rPr>
          <w:rFonts w:cs="David" w:hint="cs"/>
          <w:sz w:val="24"/>
          <w:szCs w:val="24"/>
          <w:rtl/>
        </w:rPr>
        <w:t>החולקת על דעתו</w:t>
      </w:r>
      <w:r w:rsidR="006205EE" w:rsidRPr="006D0E86">
        <w:rPr>
          <w:rFonts w:cs="David" w:hint="cs"/>
          <w:sz w:val="24"/>
          <w:szCs w:val="24"/>
          <w:rtl/>
        </w:rPr>
        <w:t>, רשאי הוא לנקוט ב"צעד ראוי כדי שגם עמדתה החולקת של הרשות השלטונית הנוגעת בדבר תובא לידיעת בית המשפט" (שם, בפסקה 64(ד)). צעד ראוי כאמור יכול להיות באמצעות הבאה לידיעת בית המשפט של עמדה חולקת כתובה, כפי שנעשה בפרשות דרעי ופנחסי, אך ניתן לבחור, באישור היועץ, גם בדרכים אחרות.</w:t>
      </w:r>
      <w:r w:rsidRPr="006D0E86">
        <w:rPr>
          <w:rFonts w:cs="David" w:hint="cs"/>
          <w:sz w:val="24"/>
          <w:szCs w:val="24"/>
          <w:rtl/>
        </w:rPr>
        <w:t xml:space="preserve"> </w:t>
      </w:r>
      <w:r w:rsidR="006205EE" w:rsidRPr="006D0E86">
        <w:rPr>
          <w:rFonts w:cs="David" w:hint="cs"/>
          <w:sz w:val="24"/>
          <w:szCs w:val="24"/>
          <w:rtl/>
        </w:rPr>
        <w:t xml:space="preserve">בכלל זאת, יכול היועץ לקבוע כי עמדה חולקת כאמור תוצג "על ידי היועץ המשפטי עצמו או על ידי משפטן אחר מן המגזר הציבורי או הפרטי שייבחר על ידי הרשות ויאושר על ידי היועץ המשפטי", אשר </w:t>
      </w:r>
      <w:r w:rsidR="00EC77F3">
        <w:rPr>
          <w:rFonts w:cs="David" w:hint="cs"/>
          <w:sz w:val="24"/>
          <w:szCs w:val="24"/>
          <w:rtl/>
        </w:rPr>
        <w:t xml:space="preserve">יהיה </w:t>
      </w:r>
      <w:r w:rsidR="006205EE" w:rsidRPr="006D0E86">
        <w:rPr>
          <w:rFonts w:cs="David" w:hint="cs"/>
          <w:sz w:val="24"/>
          <w:szCs w:val="24"/>
          <w:rtl/>
        </w:rPr>
        <w:t>"</w:t>
      </w:r>
      <w:r w:rsidRPr="006D0E86">
        <w:rPr>
          <w:rFonts w:cs="David" w:hint="cs"/>
          <w:sz w:val="24"/>
          <w:szCs w:val="24"/>
          <w:rtl/>
        </w:rPr>
        <w:t>נכון להצ</w:t>
      </w:r>
      <w:r w:rsidR="006205EE" w:rsidRPr="006D0E86">
        <w:rPr>
          <w:rFonts w:cs="David" w:hint="cs"/>
          <w:sz w:val="24"/>
          <w:szCs w:val="24"/>
          <w:rtl/>
        </w:rPr>
        <w:t xml:space="preserve">יג </w:t>
      </w:r>
      <w:r w:rsidRPr="006D0E86">
        <w:rPr>
          <w:rFonts w:cs="David" w:hint="cs"/>
          <w:sz w:val="24"/>
          <w:szCs w:val="24"/>
          <w:rtl/>
        </w:rPr>
        <w:t>טעמי</w:t>
      </w:r>
      <w:r w:rsidR="006205EE" w:rsidRPr="006D0E86">
        <w:rPr>
          <w:rFonts w:cs="David" w:hint="cs"/>
          <w:sz w:val="24"/>
          <w:szCs w:val="24"/>
          <w:rtl/>
        </w:rPr>
        <w:t>ה</w:t>
      </w:r>
      <w:r w:rsidRPr="006D0E86">
        <w:rPr>
          <w:rFonts w:cs="David" w:hint="cs"/>
          <w:sz w:val="24"/>
          <w:szCs w:val="24"/>
          <w:rtl/>
        </w:rPr>
        <w:t xml:space="preserve"> של הרשות הממלכתית בפני בית המשפט" (שם, בפסק</w:t>
      </w:r>
      <w:r w:rsidR="006205EE" w:rsidRPr="006D0E86">
        <w:rPr>
          <w:rFonts w:cs="David" w:hint="cs"/>
          <w:sz w:val="24"/>
          <w:szCs w:val="24"/>
          <w:rtl/>
        </w:rPr>
        <w:t>אות 45(ב) ו-</w:t>
      </w:r>
      <w:r w:rsidRPr="006D0E86">
        <w:rPr>
          <w:rFonts w:cs="David" w:hint="cs"/>
          <w:sz w:val="24"/>
          <w:szCs w:val="24"/>
          <w:rtl/>
        </w:rPr>
        <w:t>65(ג)</w:t>
      </w:r>
      <w:r w:rsidR="006205EE" w:rsidRPr="006D0E86">
        <w:rPr>
          <w:rFonts w:cs="David" w:hint="cs"/>
          <w:sz w:val="24"/>
          <w:szCs w:val="24"/>
          <w:rtl/>
        </w:rPr>
        <w:t>, בהתאמה</w:t>
      </w:r>
      <w:r w:rsidRPr="006D0E86">
        <w:rPr>
          <w:rFonts w:cs="David" w:hint="cs"/>
          <w:sz w:val="24"/>
          <w:szCs w:val="24"/>
          <w:rtl/>
        </w:rPr>
        <w:t>).</w:t>
      </w:r>
      <w:r w:rsidR="00EC77F3">
        <w:rPr>
          <w:rFonts w:cs="David" w:hint="cs"/>
          <w:sz w:val="24"/>
          <w:szCs w:val="24"/>
          <w:rtl/>
        </w:rPr>
        <w:t xml:space="preserve"> </w:t>
      </w:r>
    </w:p>
    <w:p w:rsidR="00654E9C" w:rsidRPr="00654E9C" w:rsidRDefault="002933C1" w:rsidP="00220B06">
      <w:pPr>
        <w:pStyle w:val="a8"/>
        <w:numPr>
          <w:ilvl w:val="0"/>
          <w:numId w:val="1"/>
        </w:numPr>
        <w:spacing w:line="360" w:lineRule="auto"/>
        <w:ind w:left="-23" w:hanging="378"/>
        <w:jc w:val="both"/>
        <w:rPr>
          <w:rFonts w:cs="David"/>
          <w:sz w:val="24"/>
          <w:szCs w:val="24"/>
        </w:rPr>
      </w:pPr>
      <w:r w:rsidRPr="00654E9C">
        <w:rPr>
          <w:rFonts w:cs="David" w:hint="cs"/>
          <w:sz w:val="24"/>
          <w:szCs w:val="24"/>
          <w:highlight w:val="yellow"/>
          <w:rtl/>
        </w:rPr>
        <w:t xml:space="preserve">טרם </w:t>
      </w:r>
      <w:r w:rsidR="00CA7C46" w:rsidRPr="00654E9C">
        <w:rPr>
          <w:rFonts w:cs="David" w:hint="cs"/>
          <w:sz w:val="24"/>
          <w:szCs w:val="24"/>
          <w:highlight w:val="yellow"/>
          <w:rtl/>
        </w:rPr>
        <w:t xml:space="preserve">נקבעה </w:t>
      </w:r>
      <w:r w:rsidR="00EC77F3" w:rsidRPr="00654E9C">
        <w:rPr>
          <w:rFonts w:cs="David" w:hint="cs"/>
          <w:sz w:val="24"/>
          <w:szCs w:val="24"/>
          <w:highlight w:val="yellow"/>
          <w:rtl/>
        </w:rPr>
        <w:t xml:space="preserve">מדיניות </w:t>
      </w:r>
      <w:r w:rsidRPr="00654E9C">
        <w:rPr>
          <w:rFonts w:cs="David" w:hint="cs"/>
          <w:sz w:val="24"/>
          <w:szCs w:val="24"/>
          <w:highlight w:val="yellow"/>
          <w:rtl/>
        </w:rPr>
        <w:t xml:space="preserve">סדורה </w:t>
      </w:r>
      <w:r w:rsidR="00EC77F3" w:rsidRPr="00654E9C">
        <w:rPr>
          <w:rFonts w:cs="David" w:hint="cs"/>
          <w:sz w:val="24"/>
          <w:szCs w:val="24"/>
          <w:highlight w:val="yellow"/>
          <w:rtl/>
        </w:rPr>
        <w:t xml:space="preserve">בשאלה </w:t>
      </w:r>
      <w:r w:rsidRPr="00220B06">
        <w:rPr>
          <w:rFonts w:cs="David" w:hint="cs"/>
          <w:b/>
          <w:bCs/>
          <w:sz w:val="24"/>
          <w:szCs w:val="24"/>
          <w:highlight w:val="yellow"/>
          <w:rtl/>
        </w:rPr>
        <w:t>כיצד נכון לאפשר ייצוג נפרד</w:t>
      </w:r>
      <w:r w:rsidRPr="00654E9C">
        <w:rPr>
          <w:rFonts w:cs="David" w:hint="cs"/>
          <w:sz w:val="24"/>
          <w:szCs w:val="24"/>
          <w:highlight w:val="yellow"/>
          <w:rtl/>
        </w:rPr>
        <w:t xml:space="preserve">, במקרים שבהם הוחלט לעשות כן, ובכלל זאת: </w:t>
      </w:r>
      <w:r w:rsidR="00EC77F3" w:rsidRPr="00654E9C">
        <w:rPr>
          <w:rFonts w:cs="David" w:hint="cs"/>
          <w:sz w:val="24"/>
          <w:szCs w:val="24"/>
          <w:highlight w:val="yellow"/>
          <w:rtl/>
        </w:rPr>
        <w:t>האם הייצ</w:t>
      </w:r>
      <w:r w:rsidR="00CA7C46" w:rsidRPr="00654E9C">
        <w:rPr>
          <w:rFonts w:cs="David" w:hint="cs"/>
          <w:sz w:val="24"/>
          <w:szCs w:val="24"/>
          <w:highlight w:val="yellow"/>
          <w:rtl/>
        </w:rPr>
        <w:t xml:space="preserve">וג יהיה על-ידי עורך דין פרטי או על-ידי משפטן משירות המדינה (כגון: היועץ המשפטי של המשרד הרלוונטי); </w:t>
      </w:r>
      <w:r w:rsidR="00EC77F3" w:rsidRPr="00654E9C">
        <w:rPr>
          <w:rFonts w:cs="David" w:hint="cs"/>
          <w:sz w:val="24"/>
          <w:szCs w:val="24"/>
          <w:highlight w:val="yellow"/>
          <w:rtl/>
        </w:rPr>
        <w:t>מתי יהיה מקום לנקוט ב</w:t>
      </w:r>
      <w:r w:rsidR="00FC16D2" w:rsidRPr="00654E9C">
        <w:rPr>
          <w:rFonts w:cs="David" w:hint="cs"/>
          <w:sz w:val="24"/>
          <w:szCs w:val="24"/>
          <w:highlight w:val="yellow"/>
          <w:rtl/>
        </w:rPr>
        <w:t>"</w:t>
      </w:r>
      <w:r w:rsidR="00EC77F3" w:rsidRPr="00654E9C">
        <w:rPr>
          <w:rFonts w:cs="David" w:hint="cs"/>
          <w:sz w:val="24"/>
          <w:szCs w:val="24"/>
          <w:highlight w:val="yellow"/>
          <w:rtl/>
        </w:rPr>
        <w:t>דרך-ביניים</w:t>
      </w:r>
      <w:r w:rsidR="00FC16D2" w:rsidRPr="00654E9C">
        <w:rPr>
          <w:rFonts w:cs="David" w:hint="cs"/>
          <w:sz w:val="24"/>
          <w:szCs w:val="24"/>
          <w:highlight w:val="yellow"/>
          <w:rtl/>
        </w:rPr>
        <w:t>"</w:t>
      </w:r>
      <w:r w:rsidR="00EC77F3" w:rsidRPr="00654E9C">
        <w:rPr>
          <w:rFonts w:cs="David" w:hint="cs"/>
          <w:sz w:val="24"/>
          <w:szCs w:val="24"/>
          <w:highlight w:val="yellow"/>
          <w:rtl/>
        </w:rPr>
        <w:t xml:space="preserve"> של מתן ביטוי לעמדת הרשות החולקת במסגרת העמדה המוגשת על-ידי היועץ המשפטי לממשלה</w:t>
      </w:r>
      <w:r w:rsidR="00220B06">
        <w:rPr>
          <w:rFonts w:cs="David" w:hint="cs"/>
          <w:sz w:val="24"/>
          <w:szCs w:val="24"/>
          <w:highlight w:val="yellow"/>
          <w:rtl/>
        </w:rPr>
        <w:t>;</w:t>
      </w:r>
      <w:r w:rsidR="00EC77F3" w:rsidRPr="00654E9C">
        <w:rPr>
          <w:rFonts w:cs="David" w:hint="cs"/>
          <w:sz w:val="24"/>
          <w:szCs w:val="24"/>
          <w:highlight w:val="yellow"/>
          <w:rtl/>
        </w:rPr>
        <w:t xml:space="preserve"> ובמקרה </w:t>
      </w:r>
      <w:r w:rsidR="00CA7C46" w:rsidRPr="00654E9C">
        <w:rPr>
          <w:rFonts w:cs="David" w:hint="cs"/>
          <w:sz w:val="24"/>
          <w:szCs w:val="24"/>
          <w:highlight w:val="yellow"/>
          <w:rtl/>
        </w:rPr>
        <w:t>כ</w:t>
      </w:r>
      <w:r w:rsidR="00EC77F3" w:rsidRPr="00654E9C">
        <w:rPr>
          <w:rFonts w:cs="David" w:hint="cs"/>
          <w:sz w:val="24"/>
          <w:szCs w:val="24"/>
          <w:highlight w:val="yellow"/>
          <w:rtl/>
        </w:rPr>
        <w:t xml:space="preserve">זה </w:t>
      </w:r>
      <w:r w:rsidR="00EC77F3" w:rsidRPr="00654E9C">
        <w:rPr>
          <w:rFonts w:cs="David"/>
          <w:sz w:val="24"/>
          <w:szCs w:val="24"/>
          <w:highlight w:val="yellow"/>
          <w:rtl/>
        </w:rPr>
        <w:t>–</w:t>
      </w:r>
      <w:r w:rsidR="00EC77F3" w:rsidRPr="00654E9C">
        <w:rPr>
          <w:rFonts w:cs="David" w:hint="cs"/>
          <w:sz w:val="24"/>
          <w:szCs w:val="24"/>
          <w:highlight w:val="yellow"/>
          <w:rtl/>
        </w:rPr>
        <w:t xml:space="preserve"> האם יש לעשות</w:t>
      </w:r>
      <w:r w:rsidR="00CA7C46" w:rsidRPr="00654E9C">
        <w:rPr>
          <w:rFonts w:cs="David" w:hint="cs"/>
          <w:sz w:val="24"/>
          <w:szCs w:val="24"/>
          <w:highlight w:val="yellow"/>
          <w:rtl/>
        </w:rPr>
        <w:t xml:space="preserve"> זאת ב</w:t>
      </w:r>
      <w:r w:rsidR="00CA7C46" w:rsidRPr="00654E9C">
        <w:rPr>
          <w:rFonts w:cs="David" w:hint="cs"/>
          <w:b/>
          <w:bCs/>
          <w:sz w:val="24"/>
          <w:szCs w:val="24"/>
          <w:highlight w:val="yellow"/>
          <w:rtl/>
        </w:rPr>
        <w:t xml:space="preserve">גוף העמדה </w:t>
      </w:r>
      <w:r w:rsidR="00CA7C46" w:rsidRPr="00654E9C">
        <w:rPr>
          <w:rFonts w:cs="David" w:hint="cs"/>
          <w:sz w:val="24"/>
          <w:szCs w:val="24"/>
          <w:highlight w:val="yellow"/>
          <w:rtl/>
        </w:rPr>
        <w:t xml:space="preserve">או </w:t>
      </w:r>
      <w:r w:rsidR="00CA7C46" w:rsidRPr="00654E9C">
        <w:rPr>
          <w:rFonts w:cs="David" w:hint="cs"/>
          <w:b/>
          <w:bCs/>
          <w:sz w:val="24"/>
          <w:szCs w:val="24"/>
          <w:highlight w:val="yellow"/>
          <w:rtl/>
        </w:rPr>
        <w:t>במסמך נלווה</w:t>
      </w:r>
      <w:r w:rsidR="00CA7C46" w:rsidRPr="00654E9C">
        <w:rPr>
          <w:rFonts w:cs="David" w:hint="cs"/>
          <w:sz w:val="24"/>
          <w:szCs w:val="24"/>
          <w:highlight w:val="yellow"/>
          <w:rtl/>
        </w:rPr>
        <w:t xml:space="preserve"> (</w:t>
      </w:r>
      <w:r w:rsidR="00EC77F3" w:rsidRPr="00654E9C">
        <w:rPr>
          <w:rFonts w:cs="David" w:hint="cs"/>
          <w:sz w:val="24"/>
          <w:szCs w:val="24"/>
          <w:highlight w:val="yellow"/>
          <w:rtl/>
        </w:rPr>
        <w:t xml:space="preserve">תוך הבהרה כי </w:t>
      </w:r>
      <w:r w:rsidR="00C15FF4" w:rsidRPr="00654E9C">
        <w:rPr>
          <w:rFonts w:cs="David" w:hint="cs"/>
          <w:sz w:val="24"/>
          <w:szCs w:val="24"/>
          <w:highlight w:val="yellow"/>
          <w:rtl/>
        </w:rPr>
        <w:t>עמדת היועץ המשפטי לממשלה היא העמדה המשפטית המחייבת, בהיותו הפרשן המוסמך של הדין כלפי הרשות המבצעת</w:t>
      </w:r>
      <w:r w:rsidR="00CA7C46" w:rsidRPr="00654E9C">
        <w:rPr>
          <w:rFonts w:cs="David" w:hint="cs"/>
          <w:sz w:val="24"/>
          <w:szCs w:val="24"/>
          <w:highlight w:val="yellow"/>
          <w:rtl/>
        </w:rPr>
        <w:t>)</w:t>
      </w:r>
      <w:r w:rsidRPr="00654E9C">
        <w:rPr>
          <w:rFonts w:cs="David" w:hint="cs"/>
          <w:sz w:val="24"/>
          <w:szCs w:val="24"/>
          <w:highlight w:val="yellow"/>
          <w:rtl/>
        </w:rPr>
        <w:t>, ו</w:t>
      </w:r>
      <w:r w:rsidR="007E41AD" w:rsidRPr="00654E9C">
        <w:rPr>
          <w:rFonts w:cs="David" w:hint="cs"/>
          <w:sz w:val="24"/>
          <w:szCs w:val="24"/>
          <w:highlight w:val="yellow"/>
          <w:rtl/>
        </w:rPr>
        <w:t xml:space="preserve">כן </w:t>
      </w:r>
      <w:r w:rsidR="007E41AD" w:rsidRPr="00654E9C">
        <w:rPr>
          <w:rFonts w:cs="David"/>
          <w:sz w:val="24"/>
          <w:szCs w:val="24"/>
          <w:highlight w:val="yellow"/>
          <w:rtl/>
        </w:rPr>
        <w:t>–</w:t>
      </w:r>
      <w:r w:rsidR="007E41AD" w:rsidRPr="00654E9C">
        <w:rPr>
          <w:rFonts w:cs="David" w:hint="cs"/>
          <w:sz w:val="24"/>
          <w:szCs w:val="24"/>
          <w:highlight w:val="yellow"/>
          <w:rtl/>
        </w:rPr>
        <w:t xml:space="preserve"> </w:t>
      </w:r>
      <w:r w:rsidRPr="00654E9C">
        <w:rPr>
          <w:rFonts w:cs="David" w:hint="cs"/>
          <w:sz w:val="24"/>
          <w:szCs w:val="24"/>
          <w:highlight w:val="yellow"/>
          <w:rtl/>
        </w:rPr>
        <w:t>האם יש לאפשר לכותב העמדה החולקת, להציג את עמדתו בע"פ במסגרת הדיון בבית המשפט</w:t>
      </w:r>
      <w:r w:rsidR="00C15FF4" w:rsidRPr="00654E9C">
        <w:rPr>
          <w:rFonts w:cs="David" w:hint="cs"/>
          <w:sz w:val="24"/>
          <w:szCs w:val="24"/>
          <w:highlight w:val="yellow"/>
          <w:rtl/>
        </w:rPr>
        <w:t>.</w:t>
      </w:r>
      <w:r w:rsidR="00CA7C46" w:rsidRPr="00654E9C">
        <w:rPr>
          <w:rFonts w:cs="David" w:hint="cs"/>
          <w:sz w:val="24"/>
          <w:szCs w:val="24"/>
          <w:highlight w:val="yellow"/>
          <w:rtl/>
        </w:rPr>
        <w:t xml:space="preserve"> ב</w:t>
      </w:r>
      <w:r w:rsidRPr="00654E9C">
        <w:rPr>
          <w:rFonts w:cs="David" w:hint="cs"/>
          <w:sz w:val="24"/>
          <w:szCs w:val="24"/>
          <w:highlight w:val="yellow"/>
          <w:rtl/>
        </w:rPr>
        <w:t xml:space="preserve">נושא </w:t>
      </w:r>
      <w:r w:rsidR="00CA7C46" w:rsidRPr="00654E9C">
        <w:rPr>
          <w:rFonts w:cs="David" w:hint="cs"/>
          <w:sz w:val="24"/>
          <w:szCs w:val="24"/>
          <w:highlight w:val="yellow"/>
          <w:rtl/>
        </w:rPr>
        <w:t>זה ניתן להעלות שיקולים לכאן ולכאן, ו</w:t>
      </w:r>
      <w:r w:rsidR="00220B06">
        <w:rPr>
          <w:rFonts w:cs="David" w:hint="cs"/>
          <w:sz w:val="24"/>
          <w:szCs w:val="24"/>
          <w:highlight w:val="yellow"/>
          <w:rtl/>
        </w:rPr>
        <w:t>בהם אלו</w:t>
      </w:r>
      <w:r w:rsidR="00CA7C46" w:rsidRPr="00654E9C">
        <w:rPr>
          <w:rFonts w:cs="David" w:hint="cs"/>
          <w:sz w:val="24"/>
          <w:szCs w:val="24"/>
          <w:highlight w:val="yellow"/>
          <w:rtl/>
        </w:rPr>
        <w:t xml:space="preserve">: </w:t>
      </w:r>
    </w:p>
    <w:p w:rsidR="00654E9C" w:rsidRPr="00654E9C" w:rsidRDefault="00654E9C" w:rsidP="00220B06">
      <w:pPr>
        <w:pStyle w:val="a8"/>
        <w:spacing w:line="360" w:lineRule="auto"/>
        <w:ind w:left="-23"/>
        <w:jc w:val="both"/>
        <w:rPr>
          <w:rFonts w:cs="David"/>
          <w:sz w:val="24"/>
          <w:szCs w:val="24"/>
        </w:rPr>
      </w:pPr>
      <w:r>
        <w:rPr>
          <w:rFonts w:cs="David" w:hint="cs"/>
          <w:sz w:val="24"/>
          <w:szCs w:val="24"/>
          <w:highlight w:val="yellow"/>
          <w:rtl/>
        </w:rPr>
        <w:t xml:space="preserve">1) </w:t>
      </w:r>
      <w:r w:rsidR="00CA7C46" w:rsidRPr="00654E9C">
        <w:rPr>
          <w:rFonts w:cs="David" w:hint="cs"/>
          <w:sz w:val="24"/>
          <w:szCs w:val="24"/>
          <w:highlight w:val="yellow"/>
          <w:rtl/>
        </w:rPr>
        <w:t>ייצוג נפרד</w:t>
      </w:r>
      <w:r w:rsidR="00C2470F" w:rsidRPr="00654E9C">
        <w:rPr>
          <w:rFonts w:cs="David" w:hint="cs"/>
          <w:sz w:val="24"/>
          <w:szCs w:val="24"/>
          <w:highlight w:val="yellow"/>
          <w:rtl/>
        </w:rPr>
        <w:t xml:space="preserve"> </w:t>
      </w:r>
      <w:r w:rsidRPr="00654E9C">
        <w:rPr>
          <w:rFonts w:cs="David" w:hint="cs"/>
          <w:sz w:val="24"/>
          <w:szCs w:val="24"/>
          <w:highlight w:val="yellow"/>
          <w:rtl/>
        </w:rPr>
        <w:t xml:space="preserve">"מלא" </w:t>
      </w:r>
      <w:r w:rsidR="00C2470F" w:rsidRPr="00654E9C">
        <w:rPr>
          <w:rFonts w:cs="David" w:hint="cs"/>
          <w:sz w:val="24"/>
          <w:szCs w:val="24"/>
          <w:highlight w:val="yellow"/>
          <w:rtl/>
        </w:rPr>
        <w:t>בבית המשפט</w:t>
      </w:r>
      <w:r w:rsidR="00CA7C46" w:rsidRPr="00654E9C">
        <w:rPr>
          <w:rFonts w:cs="David" w:hint="cs"/>
          <w:sz w:val="24"/>
          <w:szCs w:val="24"/>
          <w:highlight w:val="yellow"/>
          <w:rtl/>
        </w:rPr>
        <w:t xml:space="preserve">, בשונה מהבאת עמדה חולקת כתובה, עלול לייצר התנגשות חזיתית </w:t>
      </w:r>
      <w:r w:rsidR="00C2470F" w:rsidRPr="00654E9C">
        <w:rPr>
          <w:rFonts w:cs="David" w:hint="cs"/>
          <w:sz w:val="24"/>
          <w:szCs w:val="24"/>
          <w:highlight w:val="yellow"/>
          <w:rtl/>
        </w:rPr>
        <w:t xml:space="preserve">(או קרע בוטה יותר) </w:t>
      </w:r>
      <w:r w:rsidR="00CA7C46" w:rsidRPr="00654E9C">
        <w:rPr>
          <w:rFonts w:cs="David" w:hint="cs"/>
          <w:sz w:val="24"/>
          <w:szCs w:val="24"/>
          <w:highlight w:val="yellow"/>
          <w:rtl/>
        </w:rPr>
        <w:t>בין העמד</w:t>
      </w:r>
      <w:r w:rsidR="001638BC" w:rsidRPr="00654E9C">
        <w:rPr>
          <w:rFonts w:cs="David" w:hint="cs"/>
          <w:sz w:val="24"/>
          <w:szCs w:val="24"/>
          <w:highlight w:val="yellow"/>
          <w:rtl/>
        </w:rPr>
        <w:t>ות השונות</w:t>
      </w:r>
      <w:r w:rsidR="00C2470F" w:rsidRPr="00654E9C">
        <w:rPr>
          <w:rFonts w:cs="David" w:hint="cs"/>
          <w:sz w:val="24"/>
          <w:szCs w:val="24"/>
          <w:highlight w:val="yellow"/>
          <w:rtl/>
        </w:rPr>
        <w:t xml:space="preserve"> בקרב הרשות המבצעת</w:t>
      </w:r>
      <w:r w:rsidR="001638BC" w:rsidRPr="00654E9C">
        <w:rPr>
          <w:rFonts w:cs="David" w:hint="cs"/>
          <w:sz w:val="24"/>
          <w:szCs w:val="24"/>
          <w:highlight w:val="yellow"/>
          <w:rtl/>
        </w:rPr>
        <w:t>, ו</w:t>
      </w:r>
      <w:r w:rsidR="00C2470F" w:rsidRPr="00654E9C">
        <w:rPr>
          <w:rFonts w:cs="David" w:hint="cs"/>
          <w:sz w:val="24"/>
          <w:szCs w:val="24"/>
          <w:highlight w:val="yellow"/>
          <w:rtl/>
        </w:rPr>
        <w:t xml:space="preserve">גם </w:t>
      </w:r>
      <w:r w:rsidR="001638BC" w:rsidRPr="00654E9C">
        <w:rPr>
          <w:rFonts w:cs="David" w:hint="cs"/>
          <w:sz w:val="24"/>
          <w:szCs w:val="24"/>
          <w:highlight w:val="yellow"/>
          <w:rtl/>
        </w:rPr>
        <w:t>אינו מאפשר ליועץ "</w:t>
      </w:r>
      <w:r w:rsidR="00CA7C46" w:rsidRPr="00654E9C">
        <w:rPr>
          <w:rFonts w:cs="David" w:hint="cs"/>
          <w:sz w:val="24"/>
          <w:szCs w:val="24"/>
          <w:highlight w:val="yellow"/>
          <w:rtl/>
        </w:rPr>
        <w:t>שליטה</w:t>
      </w:r>
      <w:r w:rsidR="001638BC" w:rsidRPr="00654E9C">
        <w:rPr>
          <w:rFonts w:cs="David" w:hint="cs"/>
          <w:sz w:val="24"/>
          <w:szCs w:val="24"/>
          <w:highlight w:val="yellow"/>
          <w:rtl/>
        </w:rPr>
        <w:t>"</w:t>
      </w:r>
      <w:r w:rsidR="00CA7C46" w:rsidRPr="00654E9C">
        <w:rPr>
          <w:rFonts w:cs="David" w:hint="cs"/>
          <w:sz w:val="24"/>
          <w:szCs w:val="24"/>
          <w:highlight w:val="yellow"/>
          <w:rtl/>
        </w:rPr>
        <w:t xml:space="preserve"> </w:t>
      </w:r>
      <w:r w:rsidR="00C2470F" w:rsidRPr="00654E9C">
        <w:rPr>
          <w:rFonts w:cs="David" w:hint="cs"/>
          <w:sz w:val="24"/>
          <w:szCs w:val="24"/>
          <w:highlight w:val="yellow"/>
          <w:rtl/>
        </w:rPr>
        <w:t xml:space="preserve">מלאה (או שליטה בכלל) </w:t>
      </w:r>
      <w:r w:rsidR="00CA7C46" w:rsidRPr="00654E9C">
        <w:rPr>
          <w:rFonts w:cs="David" w:hint="cs"/>
          <w:sz w:val="24"/>
          <w:szCs w:val="24"/>
          <w:highlight w:val="yellow"/>
          <w:rtl/>
        </w:rPr>
        <w:t>על אופן הייצוג ו</w:t>
      </w:r>
      <w:r w:rsidR="001638BC" w:rsidRPr="00654E9C">
        <w:rPr>
          <w:rFonts w:cs="David" w:hint="cs"/>
          <w:sz w:val="24"/>
          <w:szCs w:val="24"/>
          <w:highlight w:val="yellow"/>
          <w:rtl/>
        </w:rPr>
        <w:t xml:space="preserve">על </w:t>
      </w:r>
      <w:r w:rsidR="00CA7C46" w:rsidRPr="00654E9C">
        <w:rPr>
          <w:rFonts w:cs="David" w:hint="cs"/>
          <w:sz w:val="24"/>
          <w:szCs w:val="24"/>
          <w:highlight w:val="yellow"/>
          <w:rtl/>
        </w:rPr>
        <w:t xml:space="preserve">תוכן העמדה, בפרט כאשר הוא נעשה על-ידי עורך דין פרטי. מנגד, הוא ימנע </w:t>
      </w:r>
      <w:r w:rsidR="00C2470F" w:rsidRPr="00654E9C">
        <w:rPr>
          <w:rFonts w:cs="David" w:hint="cs"/>
          <w:sz w:val="24"/>
          <w:szCs w:val="24"/>
          <w:highlight w:val="yellow"/>
          <w:rtl/>
        </w:rPr>
        <w:t>אפשרות ל</w:t>
      </w:r>
      <w:r w:rsidR="00CA7C46" w:rsidRPr="00654E9C">
        <w:rPr>
          <w:rFonts w:cs="David" w:hint="cs"/>
          <w:sz w:val="24"/>
          <w:szCs w:val="24"/>
          <w:highlight w:val="yellow"/>
          <w:rtl/>
        </w:rPr>
        <w:t>טענות של הרשות החולקת על</w:t>
      </w:r>
      <w:r w:rsidR="001638BC" w:rsidRPr="00654E9C">
        <w:rPr>
          <w:rFonts w:cs="David" w:hint="cs"/>
          <w:sz w:val="24"/>
          <w:szCs w:val="24"/>
          <w:highlight w:val="yellow"/>
          <w:rtl/>
        </w:rPr>
        <w:t xml:space="preserve"> כך שלא ניתן לה יומה </w:t>
      </w:r>
      <w:r w:rsidR="00C2470F" w:rsidRPr="00654E9C">
        <w:rPr>
          <w:rFonts w:cs="David" w:hint="cs"/>
          <w:sz w:val="24"/>
          <w:szCs w:val="24"/>
          <w:highlight w:val="yellow"/>
          <w:rtl/>
        </w:rPr>
        <w:t xml:space="preserve">כראוי </w:t>
      </w:r>
      <w:r w:rsidR="001638BC" w:rsidRPr="00654E9C">
        <w:rPr>
          <w:rFonts w:cs="David" w:hint="cs"/>
          <w:sz w:val="24"/>
          <w:szCs w:val="24"/>
          <w:highlight w:val="yellow"/>
          <w:rtl/>
        </w:rPr>
        <w:t>בבית המשפט</w:t>
      </w:r>
      <w:r w:rsidR="00C2470F" w:rsidRPr="00654E9C">
        <w:rPr>
          <w:rFonts w:cs="David" w:hint="cs"/>
          <w:sz w:val="24"/>
          <w:szCs w:val="24"/>
          <w:highlight w:val="yellow"/>
          <w:rtl/>
        </w:rPr>
        <w:t xml:space="preserve"> (או שניתן לה באופן חלקי בלבד</w:t>
      </w:r>
      <w:r w:rsidR="00C2470F" w:rsidRPr="00220B06">
        <w:rPr>
          <w:rFonts w:cs="David" w:hint="cs"/>
          <w:sz w:val="24"/>
          <w:szCs w:val="24"/>
          <w:highlight w:val="yellow"/>
          <w:rtl/>
        </w:rPr>
        <w:t>)</w:t>
      </w:r>
      <w:r w:rsidR="001638BC" w:rsidRPr="00220B06">
        <w:rPr>
          <w:rFonts w:cs="David" w:hint="cs"/>
          <w:sz w:val="24"/>
          <w:szCs w:val="24"/>
          <w:highlight w:val="yellow"/>
          <w:rtl/>
        </w:rPr>
        <w:t xml:space="preserve">. </w:t>
      </w:r>
      <w:r w:rsidR="00220B06" w:rsidRPr="00220B06">
        <w:rPr>
          <w:rFonts w:cs="David" w:hint="cs"/>
          <w:sz w:val="24"/>
          <w:szCs w:val="24"/>
          <w:highlight w:val="yellow"/>
          <w:rtl/>
        </w:rPr>
        <w:t>מקום בו אושר לגורם חולק להביא את עמדתו בכתב, יש קושי מובנה "למנוע" ממנו להסביר את העמדה גם בעל-פה בפני בית המשפט, בפרט בשים לב לכך שבית המשפט עצמו עשוי לבקש להציג בפניו שאלות.</w:t>
      </w:r>
      <w:r w:rsidR="00220B06">
        <w:rPr>
          <w:rFonts w:cs="David" w:hint="cs"/>
          <w:sz w:val="24"/>
          <w:szCs w:val="24"/>
          <w:rtl/>
        </w:rPr>
        <w:t xml:space="preserve"> </w:t>
      </w:r>
    </w:p>
    <w:p w:rsidR="007A78BC" w:rsidRPr="00654E9C" w:rsidRDefault="00654E9C" w:rsidP="00654E9C">
      <w:pPr>
        <w:pStyle w:val="a8"/>
        <w:spacing w:line="360" w:lineRule="auto"/>
        <w:ind w:left="-23"/>
        <w:jc w:val="both"/>
        <w:rPr>
          <w:rFonts w:cs="David"/>
          <w:sz w:val="24"/>
          <w:szCs w:val="24"/>
        </w:rPr>
      </w:pPr>
      <w:r w:rsidRPr="00654E9C">
        <w:rPr>
          <w:rFonts w:cs="David" w:hint="cs"/>
          <w:sz w:val="24"/>
          <w:szCs w:val="24"/>
          <w:highlight w:val="yellow"/>
          <w:rtl/>
        </w:rPr>
        <w:t xml:space="preserve">2) </w:t>
      </w:r>
      <w:r w:rsidR="001638BC" w:rsidRPr="00654E9C">
        <w:rPr>
          <w:rFonts w:cs="David" w:hint="cs"/>
          <w:sz w:val="24"/>
          <w:szCs w:val="24"/>
          <w:highlight w:val="yellow"/>
          <w:rtl/>
        </w:rPr>
        <w:t xml:space="preserve">לעניין האפשרות של </w:t>
      </w:r>
      <w:r w:rsidR="00CA7C46" w:rsidRPr="00654E9C">
        <w:rPr>
          <w:rFonts w:cs="David" w:hint="cs"/>
          <w:b/>
          <w:bCs/>
          <w:sz w:val="24"/>
          <w:szCs w:val="24"/>
          <w:highlight w:val="yellow"/>
          <w:rtl/>
        </w:rPr>
        <w:t>ייצוג על-ידי משפטן מהשירות הציבורי</w:t>
      </w:r>
      <w:r w:rsidR="001638BC" w:rsidRPr="00654E9C">
        <w:rPr>
          <w:rFonts w:cs="David" w:hint="cs"/>
          <w:sz w:val="24"/>
          <w:szCs w:val="24"/>
          <w:highlight w:val="yellow"/>
          <w:rtl/>
        </w:rPr>
        <w:t xml:space="preserve"> (</w:t>
      </w:r>
      <w:r w:rsidR="00CA7C46" w:rsidRPr="00654E9C">
        <w:rPr>
          <w:rFonts w:cs="David" w:hint="cs"/>
          <w:sz w:val="24"/>
          <w:szCs w:val="24"/>
          <w:highlight w:val="yellow"/>
          <w:rtl/>
        </w:rPr>
        <w:t>ובפרט</w:t>
      </w:r>
      <w:r w:rsidR="00C2470F" w:rsidRPr="00654E9C">
        <w:rPr>
          <w:rFonts w:cs="David" w:hint="cs"/>
          <w:sz w:val="24"/>
          <w:szCs w:val="24"/>
          <w:highlight w:val="yellow"/>
          <w:rtl/>
        </w:rPr>
        <w:t xml:space="preserve">, </w:t>
      </w:r>
      <w:r w:rsidR="00CA7C46" w:rsidRPr="00654E9C">
        <w:rPr>
          <w:rFonts w:cs="David" w:hint="cs"/>
          <w:sz w:val="24"/>
          <w:szCs w:val="24"/>
          <w:highlight w:val="yellow"/>
          <w:rtl/>
        </w:rPr>
        <w:t>היועץ המשפטי של המשרד הרלוונטי</w:t>
      </w:r>
      <w:r w:rsidR="001638BC" w:rsidRPr="00654E9C">
        <w:rPr>
          <w:rFonts w:cs="David" w:hint="cs"/>
          <w:sz w:val="24"/>
          <w:szCs w:val="24"/>
          <w:highlight w:val="yellow"/>
          <w:rtl/>
        </w:rPr>
        <w:t>)</w:t>
      </w:r>
      <w:r w:rsidR="00CA7C46" w:rsidRPr="00654E9C">
        <w:rPr>
          <w:rFonts w:cs="David" w:hint="cs"/>
          <w:sz w:val="24"/>
          <w:szCs w:val="24"/>
          <w:highlight w:val="yellow"/>
          <w:rtl/>
        </w:rPr>
        <w:t xml:space="preserve"> </w:t>
      </w:r>
      <w:r w:rsidR="00CA7C46" w:rsidRPr="00146F82">
        <w:rPr>
          <w:rFonts w:cs="David"/>
          <w:sz w:val="24"/>
          <w:szCs w:val="24"/>
          <w:highlight w:val="yellow"/>
          <w:rtl/>
        </w:rPr>
        <w:t>–</w:t>
      </w:r>
      <w:r w:rsidR="00CA7C46" w:rsidRPr="00146F82">
        <w:rPr>
          <w:rFonts w:cs="David" w:hint="cs"/>
          <w:sz w:val="24"/>
          <w:szCs w:val="24"/>
          <w:highlight w:val="yellow"/>
          <w:rtl/>
        </w:rPr>
        <w:t xml:space="preserve"> </w:t>
      </w:r>
      <w:r w:rsidR="001638BC" w:rsidRPr="00146F82">
        <w:rPr>
          <w:rFonts w:cs="David" w:hint="cs"/>
          <w:sz w:val="24"/>
          <w:szCs w:val="24"/>
          <w:highlight w:val="yellow"/>
          <w:rtl/>
        </w:rPr>
        <w:t xml:space="preserve">באפשרות זו יש כדי לערער על אחריותו המקצועית של היועץ המשפטי לממשלה למערך הייעוץ המשפטי הציבורי, ולפיכך גם </w:t>
      </w:r>
      <w:r w:rsidR="00C2470F">
        <w:rPr>
          <w:rFonts w:cs="David" w:hint="cs"/>
          <w:sz w:val="24"/>
          <w:szCs w:val="24"/>
          <w:highlight w:val="yellow"/>
          <w:rtl/>
        </w:rPr>
        <w:t xml:space="preserve">כדי </w:t>
      </w:r>
      <w:r w:rsidR="001638BC" w:rsidRPr="00146F82">
        <w:rPr>
          <w:rFonts w:cs="David" w:hint="cs"/>
          <w:sz w:val="24"/>
          <w:szCs w:val="24"/>
          <w:highlight w:val="yellow"/>
          <w:rtl/>
        </w:rPr>
        <w:t>להחליש את מוסכמת כפיפותו המקצועית של המערך כולו ליועץ. כידוע, כפיפות זו חשובה הן להבטחת הרמה המקצועית של הייעוץ המשפטי למשרדי הממשלה והן לשימור יכולתם של היועצים המשפטיים לשמש "שומרי סף" שמתפקידם להבטיח כי פעיל</w:t>
      </w:r>
      <w:r w:rsidR="00C22CC9">
        <w:rPr>
          <w:rFonts w:cs="David" w:hint="cs"/>
          <w:sz w:val="24"/>
          <w:szCs w:val="24"/>
          <w:highlight w:val="yellow"/>
          <w:rtl/>
        </w:rPr>
        <w:t xml:space="preserve">ות המשרד מתבצעת בהתאם לדין ולכללי </w:t>
      </w:r>
      <w:r w:rsidR="001638BC" w:rsidRPr="00146F82">
        <w:rPr>
          <w:rFonts w:cs="David" w:hint="cs"/>
          <w:sz w:val="24"/>
          <w:szCs w:val="24"/>
          <w:highlight w:val="yellow"/>
          <w:rtl/>
        </w:rPr>
        <w:t xml:space="preserve">מינהל תקינים. בנוסף, הדבר </w:t>
      </w:r>
      <w:r w:rsidR="00CA7C46" w:rsidRPr="00146F82">
        <w:rPr>
          <w:rFonts w:cs="David" w:hint="cs"/>
          <w:sz w:val="24"/>
          <w:szCs w:val="24"/>
          <w:highlight w:val="yellow"/>
          <w:rtl/>
        </w:rPr>
        <w:t>עלול ל</w:t>
      </w:r>
      <w:r w:rsidR="001638BC" w:rsidRPr="00146F82">
        <w:rPr>
          <w:rFonts w:cs="David" w:hint="cs"/>
          <w:sz w:val="24"/>
          <w:szCs w:val="24"/>
          <w:highlight w:val="yellow"/>
          <w:rtl/>
        </w:rPr>
        <w:t xml:space="preserve">העמיד את היועץ המשפטי של המשרד בסיטואציה מוקשית בין הצדדים החלוקים, וגם זה שיקול שיש להביאו בחשבון. </w:t>
      </w:r>
    </w:p>
    <w:p w:rsidR="009F188F" w:rsidRDefault="00654E9C" w:rsidP="0006105C">
      <w:pPr>
        <w:pStyle w:val="a8"/>
        <w:spacing w:line="360" w:lineRule="auto"/>
        <w:ind w:left="-23"/>
        <w:jc w:val="both"/>
        <w:rPr>
          <w:rFonts w:cs="David"/>
          <w:sz w:val="24"/>
          <w:szCs w:val="24"/>
          <w:highlight w:val="yellow"/>
          <w:rtl/>
        </w:rPr>
      </w:pPr>
      <w:r w:rsidRPr="00654E9C">
        <w:rPr>
          <w:rFonts w:cs="David" w:hint="cs"/>
          <w:sz w:val="24"/>
          <w:szCs w:val="24"/>
          <w:highlight w:val="yellow"/>
          <w:rtl/>
        </w:rPr>
        <w:t xml:space="preserve">3) לעניין האפשרות של </w:t>
      </w:r>
      <w:r w:rsidRPr="009F188F">
        <w:rPr>
          <w:rFonts w:cs="David" w:hint="cs"/>
          <w:b/>
          <w:bCs/>
          <w:sz w:val="24"/>
          <w:szCs w:val="24"/>
          <w:highlight w:val="yellow"/>
          <w:rtl/>
        </w:rPr>
        <w:t>ייצוג על-ידי עורכי דין פרטיים</w:t>
      </w:r>
      <w:r w:rsidRPr="00654E9C">
        <w:rPr>
          <w:rFonts w:cs="David" w:hint="cs"/>
          <w:sz w:val="24"/>
          <w:szCs w:val="24"/>
          <w:highlight w:val="yellow"/>
          <w:rtl/>
        </w:rPr>
        <w:t xml:space="preserve"> </w:t>
      </w:r>
      <w:r w:rsidRPr="00654E9C">
        <w:rPr>
          <w:rFonts w:cs="David"/>
          <w:sz w:val="24"/>
          <w:szCs w:val="24"/>
          <w:highlight w:val="yellow"/>
          <w:rtl/>
        </w:rPr>
        <w:t>–</w:t>
      </w:r>
      <w:r>
        <w:rPr>
          <w:rFonts w:cs="David" w:hint="cs"/>
          <w:sz w:val="24"/>
          <w:szCs w:val="24"/>
          <w:highlight w:val="yellow"/>
          <w:rtl/>
        </w:rPr>
        <w:t xml:space="preserve"> </w:t>
      </w:r>
      <w:r w:rsidRPr="00654E9C">
        <w:rPr>
          <w:rFonts w:cs="David" w:hint="cs"/>
          <w:sz w:val="24"/>
          <w:szCs w:val="24"/>
          <w:highlight w:val="yellow"/>
          <w:rtl/>
        </w:rPr>
        <w:t>יש לזכור כי אלה אינם כפופים לדינים ייחודיים שונים החלים על עובדי ציבור, כדוגמת דיני משמעת ייחודיים, איסור קבלת מתנות, נהלי סיווג ביטחוני ואבטחת מידע, וכדומה. בכך יש כדי להקשות על האפשרות להבטיח כי אלו יעמדו בסטנדרטים המצופים</w:t>
      </w:r>
      <w:r w:rsidR="0006105C">
        <w:rPr>
          <w:rFonts w:cs="David" w:hint="cs"/>
          <w:sz w:val="24"/>
          <w:szCs w:val="24"/>
          <w:highlight w:val="yellow"/>
          <w:rtl/>
        </w:rPr>
        <w:t xml:space="preserve"> </w:t>
      </w:r>
      <w:r w:rsidRPr="00654E9C">
        <w:rPr>
          <w:rFonts w:cs="David" w:hint="cs"/>
          <w:sz w:val="24"/>
          <w:szCs w:val="24"/>
          <w:highlight w:val="yellow"/>
          <w:rtl/>
        </w:rPr>
        <w:t xml:space="preserve">ממי שנושאים באחריות הכבדה לייצוג המדינה בערכאות. מטבע הדברים, הדבר אף יקשה על שקילת היבטים רוחביים אשר חורגים מעניינו של ההליך הקונקרטי. </w:t>
      </w:r>
      <w:r w:rsidRPr="00654E9C">
        <w:rPr>
          <w:rFonts w:cs="David" w:hint="cs"/>
          <w:sz w:val="24"/>
          <w:szCs w:val="24"/>
          <w:rtl/>
        </w:rPr>
        <w:t xml:space="preserve"> </w:t>
      </w:r>
    </w:p>
    <w:p w:rsidR="00EC77F3" w:rsidRPr="00654E9C" w:rsidRDefault="009F188F" w:rsidP="0006105C">
      <w:pPr>
        <w:pStyle w:val="a8"/>
        <w:spacing w:line="360" w:lineRule="auto"/>
        <w:ind w:left="-23"/>
        <w:jc w:val="both"/>
        <w:rPr>
          <w:rFonts w:cs="David"/>
          <w:sz w:val="24"/>
          <w:szCs w:val="24"/>
        </w:rPr>
      </w:pPr>
      <w:r>
        <w:rPr>
          <w:rFonts w:cs="David" w:hint="cs"/>
          <w:sz w:val="24"/>
          <w:szCs w:val="24"/>
          <w:highlight w:val="yellow"/>
          <w:rtl/>
        </w:rPr>
        <w:t xml:space="preserve">4) בנוסף, </w:t>
      </w:r>
      <w:r w:rsidR="001638BC" w:rsidRPr="00654E9C">
        <w:rPr>
          <w:rFonts w:cs="David" w:hint="cs"/>
          <w:sz w:val="24"/>
          <w:szCs w:val="24"/>
          <w:highlight w:val="yellow"/>
          <w:rtl/>
        </w:rPr>
        <w:t xml:space="preserve">יוזכר כי כאמור, על-פי דו"ח ועדת שמגר, במקרה </w:t>
      </w:r>
      <w:r>
        <w:rPr>
          <w:rFonts w:cs="David" w:hint="cs"/>
          <w:sz w:val="24"/>
          <w:szCs w:val="24"/>
          <w:highlight w:val="yellow"/>
          <w:rtl/>
        </w:rPr>
        <w:t xml:space="preserve">של ייצוג על-ידי עורך דין פרטי, </w:t>
      </w:r>
      <w:r w:rsidR="001638BC" w:rsidRPr="00654E9C">
        <w:rPr>
          <w:rFonts w:cs="David" w:hint="cs"/>
          <w:sz w:val="24"/>
          <w:szCs w:val="24"/>
          <w:highlight w:val="yellow"/>
          <w:rtl/>
        </w:rPr>
        <w:t xml:space="preserve">עורך הדין </w:t>
      </w:r>
      <w:r>
        <w:rPr>
          <w:rFonts w:cs="David" w:hint="cs"/>
          <w:sz w:val="24"/>
          <w:szCs w:val="24"/>
          <w:highlight w:val="yellow"/>
          <w:rtl/>
        </w:rPr>
        <w:t xml:space="preserve">ייבחר </w:t>
      </w:r>
      <w:r w:rsidR="001638BC" w:rsidRPr="00654E9C">
        <w:rPr>
          <w:rFonts w:cs="David" w:hint="cs"/>
          <w:sz w:val="24"/>
          <w:szCs w:val="24"/>
          <w:highlight w:val="yellow"/>
          <w:rtl/>
        </w:rPr>
        <w:t xml:space="preserve">על-ידי הרשות ויאושר על-ידי היועץ. יש לבחון את השאלה מה טיבו של האישור האמור </w:t>
      </w:r>
      <w:r w:rsidR="00C2470F" w:rsidRPr="00654E9C">
        <w:rPr>
          <w:rFonts w:cs="David" w:hint="cs"/>
          <w:sz w:val="24"/>
          <w:szCs w:val="24"/>
          <w:highlight w:val="yellow"/>
          <w:rtl/>
        </w:rPr>
        <w:t>והאם יש להכפיף את ההתקשרות עם עורך דין כאמור</w:t>
      </w:r>
      <w:r w:rsidR="001638BC" w:rsidRPr="00654E9C">
        <w:rPr>
          <w:rFonts w:cs="David" w:hint="cs"/>
          <w:sz w:val="24"/>
          <w:szCs w:val="24"/>
          <w:highlight w:val="yellow"/>
          <w:rtl/>
        </w:rPr>
        <w:t xml:space="preserve"> להנחיית היועץ מס' 9.1001 בעניין "רכישות שירותים משפטיים חיצוניים על ידי משרדי הממשלה", או</w:t>
      </w:r>
      <w:r w:rsidR="00C2470F" w:rsidRPr="00654E9C">
        <w:rPr>
          <w:rFonts w:cs="David" w:hint="cs"/>
          <w:sz w:val="24"/>
          <w:szCs w:val="24"/>
          <w:highlight w:val="yellow"/>
          <w:rtl/>
        </w:rPr>
        <w:t>,</w:t>
      </w:r>
      <w:r w:rsidR="001638BC" w:rsidRPr="00654E9C">
        <w:rPr>
          <w:rFonts w:cs="David" w:hint="cs"/>
          <w:sz w:val="24"/>
          <w:szCs w:val="24"/>
          <w:highlight w:val="yellow"/>
          <w:rtl/>
        </w:rPr>
        <w:t xml:space="preserve"> למצער</w:t>
      </w:r>
      <w:r w:rsidR="00C2470F" w:rsidRPr="00654E9C">
        <w:rPr>
          <w:rFonts w:cs="David" w:hint="cs"/>
          <w:sz w:val="24"/>
          <w:szCs w:val="24"/>
          <w:highlight w:val="yellow"/>
          <w:rtl/>
        </w:rPr>
        <w:t>,</w:t>
      </w:r>
      <w:r w:rsidR="001638BC" w:rsidRPr="00654E9C">
        <w:rPr>
          <w:rFonts w:cs="David" w:hint="cs"/>
          <w:sz w:val="24"/>
          <w:szCs w:val="24"/>
          <w:highlight w:val="yellow"/>
          <w:rtl/>
        </w:rPr>
        <w:t xml:space="preserve"> לבדיקה של היבטי טוהר-מידות</w:t>
      </w:r>
      <w:r>
        <w:rPr>
          <w:rFonts w:cs="David" w:hint="cs"/>
          <w:sz w:val="24"/>
          <w:szCs w:val="24"/>
          <w:highlight w:val="yellow"/>
          <w:rtl/>
        </w:rPr>
        <w:t xml:space="preserve"> וניגוד עניינים </w:t>
      </w:r>
      <w:r w:rsidR="001638BC" w:rsidRPr="00654E9C">
        <w:rPr>
          <w:rFonts w:cs="David" w:hint="cs"/>
          <w:sz w:val="24"/>
          <w:szCs w:val="24"/>
          <w:highlight w:val="yellow"/>
          <w:rtl/>
        </w:rPr>
        <w:t>(כך שלמשל, לא תאושר התקשרות עם עורך דין</w:t>
      </w:r>
      <w:r w:rsidR="00C2470F" w:rsidRPr="00654E9C">
        <w:rPr>
          <w:rFonts w:cs="David" w:hint="cs"/>
          <w:sz w:val="24"/>
          <w:szCs w:val="24"/>
          <w:highlight w:val="yellow"/>
          <w:rtl/>
        </w:rPr>
        <w:t xml:space="preserve"> ש</w:t>
      </w:r>
      <w:r>
        <w:rPr>
          <w:rFonts w:cs="David" w:hint="cs"/>
          <w:sz w:val="24"/>
          <w:szCs w:val="24"/>
          <w:highlight w:val="yellow"/>
          <w:rtl/>
        </w:rPr>
        <w:t xml:space="preserve">תלוי ועומד נגדו כתב אישום, </w:t>
      </w:r>
      <w:r w:rsidR="0006105C">
        <w:rPr>
          <w:rFonts w:cs="David" w:hint="cs"/>
          <w:sz w:val="24"/>
          <w:szCs w:val="24"/>
          <w:highlight w:val="yellow"/>
          <w:rtl/>
        </w:rPr>
        <w:t xml:space="preserve">מתנהלת נגדו </w:t>
      </w:r>
      <w:r w:rsidR="00C2470F" w:rsidRPr="00654E9C">
        <w:rPr>
          <w:rFonts w:cs="David" w:hint="cs"/>
          <w:sz w:val="24"/>
          <w:szCs w:val="24"/>
          <w:highlight w:val="yellow"/>
          <w:rtl/>
        </w:rPr>
        <w:t>חקירה פלילית</w:t>
      </w:r>
      <w:r>
        <w:rPr>
          <w:rFonts w:cs="David" w:hint="cs"/>
          <w:sz w:val="24"/>
          <w:szCs w:val="24"/>
          <w:highlight w:val="yellow"/>
          <w:rtl/>
        </w:rPr>
        <w:t xml:space="preserve">, וכו'). </w:t>
      </w:r>
      <w:r w:rsidR="00AC63FE" w:rsidRPr="00654E9C">
        <w:rPr>
          <w:rFonts w:cs="David" w:hint="cs"/>
          <w:sz w:val="24"/>
          <w:szCs w:val="24"/>
          <w:highlight w:val="yellow"/>
          <w:rtl/>
        </w:rPr>
        <w:t xml:space="preserve"> </w:t>
      </w:r>
    </w:p>
    <w:p w:rsidR="00CC1BEF" w:rsidRPr="006D0E86" w:rsidRDefault="00C90CBD" w:rsidP="00A06051">
      <w:pPr>
        <w:pStyle w:val="a8"/>
        <w:numPr>
          <w:ilvl w:val="0"/>
          <w:numId w:val="1"/>
        </w:numPr>
        <w:spacing w:line="360" w:lineRule="auto"/>
        <w:ind w:left="-23" w:hanging="378"/>
        <w:jc w:val="both"/>
        <w:rPr>
          <w:rFonts w:cs="David"/>
          <w:sz w:val="24"/>
          <w:szCs w:val="24"/>
        </w:rPr>
      </w:pPr>
      <w:r w:rsidRPr="006D0E86">
        <w:rPr>
          <w:rFonts w:cs="David" w:hint="cs"/>
          <w:sz w:val="24"/>
          <w:szCs w:val="24"/>
          <w:rtl/>
        </w:rPr>
        <w:t>ככלל, לעניין ההכרעה האם יש מקום</w:t>
      </w:r>
      <w:bookmarkStart w:id="0" w:name="_GoBack"/>
      <w:bookmarkEnd w:id="0"/>
      <w:r w:rsidRPr="006D0E86">
        <w:rPr>
          <w:rFonts w:cs="David" w:hint="cs"/>
          <w:sz w:val="24"/>
          <w:szCs w:val="24"/>
          <w:rtl/>
        </w:rPr>
        <w:t xml:space="preserve"> ליתן לרשות חולקת ייצוג נפרד, אין רלוונטיות לשאלה אם העותרים בחרו לרשום כמשיבים לעתירה משרדי ממשלה אלו או אחרים. זאת, שכן ככלל ובמהות, יש לראות את כל הממשלה כמשיבה (</w:t>
      </w:r>
      <w:r w:rsidRPr="006D0E86">
        <w:rPr>
          <w:rFonts w:cs="David" w:hint="cs"/>
          <w:b/>
          <w:bCs/>
          <w:sz w:val="24"/>
          <w:szCs w:val="24"/>
          <w:rtl/>
        </w:rPr>
        <w:t>עניין אדם טבע ודין</w:t>
      </w:r>
      <w:r w:rsidRPr="006D0E86">
        <w:rPr>
          <w:rFonts w:cs="David" w:hint="cs"/>
          <w:sz w:val="24"/>
          <w:szCs w:val="24"/>
          <w:rtl/>
        </w:rPr>
        <w:t>, בפסקה ז).</w:t>
      </w:r>
    </w:p>
    <w:p w:rsidR="00C90CBD" w:rsidRPr="006D0E86" w:rsidRDefault="00771B26" w:rsidP="00A56A0E">
      <w:pPr>
        <w:pStyle w:val="a8"/>
        <w:numPr>
          <w:ilvl w:val="0"/>
          <w:numId w:val="1"/>
        </w:numPr>
        <w:spacing w:line="360" w:lineRule="auto"/>
        <w:ind w:left="-23" w:hanging="378"/>
        <w:jc w:val="both"/>
        <w:rPr>
          <w:rFonts w:cs="David"/>
          <w:sz w:val="24"/>
          <w:szCs w:val="24"/>
          <w:rtl/>
        </w:rPr>
      </w:pPr>
      <w:r>
        <w:rPr>
          <w:rFonts w:cs="David" w:hint="cs"/>
          <w:sz w:val="24"/>
          <w:szCs w:val="24"/>
          <w:rtl/>
        </w:rPr>
        <w:t xml:space="preserve">על-פי הפסיקה, ככלל, </w:t>
      </w:r>
      <w:r w:rsidR="00C90CBD" w:rsidRPr="006D0E86">
        <w:rPr>
          <w:rFonts w:cs="David" w:hint="cs"/>
          <w:sz w:val="24"/>
          <w:szCs w:val="24"/>
          <w:rtl/>
        </w:rPr>
        <w:t xml:space="preserve">אין </w:t>
      </w:r>
      <w:r w:rsidR="00C90CBD" w:rsidRPr="00771B26">
        <w:rPr>
          <w:rFonts w:cs="David" w:hint="cs"/>
          <w:b/>
          <w:bCs/>
          <w:sz w:val="24"/>
          <w:szCs w:val="24"/>
          <w:rtl/>
        </w:rPr>
        <w:t xml:space="preserve">חובה </w:t>
      </w:r>
      <w:r w:rsidR="00C90CBD" w:rsidRPr="006D0E86">
        <w:rPr>
          <w:rFonts w:cs="David" w:hint="cs"/>
          <w:sz w:val="24"/>
          <w:szCs w:val="24"/>
          <w:rtl/>
        </w:rPr>
        <w:t xml:space="preserve">על המדינה לפרט בחוות-דעתה את </w:t>
      </w:r>
      <w:r>
        <w:rPr>
          <w:rFonts w:cs="David" w:hint="cs"/>
          <w:sz w:val="24"/>
          <w:szCs w:val="24"/>
          <w:rtl/>
        </w:rPr>
        <w:t xml:space="preserve">כלל העמדות </w:t>
      </w:r>
      <w:r w:rsidR="00C90CBD" w:rsidRPr="006D0E86">
        <w:rPr>
          <w:rFonts w:cs="David" w:hint="cs"/>
          <w:sz w:val="24"/>
          <w:szCs w:val="24"/>
          <w:rtl/>
        </w:rPr>
        <w:t>שה</w:t>
      </w:r>
      <w:r>
        <w:rPr>
          <w:rFonts w:cs="David" w:hint="cs"/>
          <w:sz w:val="24"/>
          <w:szCs w:val="24"/>
          <w:rtl/>
        </w:rPr>
        <w:t>וצגו על-ידי גורמי</w:t>
      </w:r>
      <w:r w:rsidR="00C90CBD" w:rsidRPr="006D0E86">
        <w:rPr>
          <w:rFonts w:cs="David" w:hint="cs"/>
          <w:sz w:val="24"/>
          <w:szCs w:val="24"/>
          <w:rtl/>
        </w:rPr>
        <w:t xml:space="preserve"> המדינה השונים במסגרת </w:t>
      </w:r>
      <w:r>
        <w:rPr>
          <w:rFonts w:cs="David" w:hint="cs"/>
          <w:sz w:val="24"/>
          <w:szCs w:val="24"/>
          <w:rtl/>
        </w:rPr>
        <w:t xml:space="preserve">תהליך </w:t>
      </w:r>
      <w:r w:rsidR="00C90CBD" w:rsidRPr="006D0E86">
        <w:rPr>
          <w:rFonts w:cs="David" w:hint="cs"/>
          <w:sz w:val="24"/>
          <w:szCs w:val="24"/>
          <w:rtl/>
        </w:rPr>
        <w:t xml:space="preserve">גיבוש </w:t>
      </w:r>
      <w:r>
        <w:rPr>
          <w:rFonts w:cs="David" w:hint="cs"/>
          <w:sz w:val="24"/>
          <w:szCs w:val="24"/>
          <w:rtl/>
        </w:rPr>
        <w:t>העמד</w:t>
      </w:r>
      <w:r w:rsidR="00C90CBD" w:rsidRPr="006D0E86">
        <w:rPr>
          <w:rFonts w:cs="David" w:hint="cs"/>
          <w:sz w:val="24"/>
          <w:szCs w:val="24"/>
          <w:rtl/>
        </w:rPr>
        <w:t>ה. "</w:t>
      </w:r>
      <w:r w:rsidR="00C90CBD" w:rsidRPr="006D0E86">
        <w:rPr>
          <w:rFonts w:cs="David" w:hint="cs"/>
          <w:b/>
          <w:bCs/>
          <w:sz w:val="24"/>
          <w:szCs w:val="24"/>
          <w:rtl/>
        </w:rPr>
        <w:t>המדינה, על שלל גופיה, אחת היא, ועליה להציג בפני בית המשפט עמדה אחת. ... כאשר בית המשפט מבקש את חוות דעתו של היועץ המשפטי לממשלה, ראוי כי תוצג חוות דעת מפורטת, המתמודדת עם סוגיות שונות אשר מתעוררות בתיק, באופן שיש בו כדי להביא את התמונה המלאה בפני בית המשפט בבואו להכריע בסוגיה נתונה</w:t>
      </w:r>
      <w:r w:rsidR="00C90CBD" w:rsidRPr="006D0E86">
        <w:rPr>
          <w:rFonts w:cs="David" w:hint="cs"/>
          <w:sz w:val="24"/>
          <w:szCs w:val="24"/>
          <w:rtl/>
        </w:rPr>
        <w:t>" (</w:t>
      </w:r>
      <w:r w:rsidR="00C90CBD" w:rsidRPr="00CA7C46">
        <w:rPr>
          <w:rFonts w:cs="David" w:hint="cs"/>
          <w:b/>
          <w:bCs/>
          <w:sz w:val="24"/>
          <w:szCs w:val="24"/>
          <w:rtl/>
        </w:rPr>
        <w:t>עניין צמח</w:t>
      </w:r>
      <w:r w:rsidR="00C90CBD" w:rsidRPr="006D0E86">
        <w:rPr>
          <w:rFonts w:cs="David" w:hint="cs"/>
          <w:sz w:val="24"/>
          <w:szCs w:val="24"/>
          <w:rtl/>
        </w:rPr>
        <w:t>, פסקאות ל"ז-ל"ח לפסק דינו של השופט רובינשטיין)</w:t>
      </w:r>
      <w:r w:rsidR="00B234C5">
        <w:rPr>
          <w:rFonts w:cs="David" w:hint="cs"/>
          <w:sz w:val="24"/>
          <w:szCs w:val="24"/>
          <w:rtl/>
        </w:rPr>
        <w:t>.</w:t>
      </w:r>
      <w:r w:rsidR="00F505B6">
        <w:rPr>
          <w:rFonts w:cs="David" w:hint="cs"/>
          <w:sz w:val="24"/>
          <w:szCs w:val="24"/>
          <w:rtl/>
        </w:rPr>
        <w:t xml:space="preserve"> [</w:t>
      </w:r>
      <w:r w:rsidR="00C22CC9">
        <w:rPr>
          <w:rFonts w:cs="David" w:hint="cs"/>
          <w:sz w:val="24"/>
          <w:szCs w:val="24"/>
          <w:highlight w:val="yellow"/>
          <w:rtl/>
        </w:rPr>
        <w:t xml:space="preserve">ראוי </w:t>
      </w:r>
      <w:r w:rsidR="00F505B6" w:rsidRPr="00F505B6">
        <w:rPr>
          <w:rFonts w:cs="David" w:hint="cs"/>
          <w:sz w:val="24"/>
          <w:szCs w:val="24"/>
          <w:highlight w:val="yellow"/>
          <w:rtl/>
        </w:rPr>
        <w:t xml:space="preserve">לשקול חידוד המדיניות בהקשר זה, והדבר מתקשר גם להמלצות שאמורות להיות מגובשות </w:t>
      </w:r>
      <w:r w:rsidR="00A56A0E">
        <w:rPr>
          <w:rFonts w:cs="David" w:hint="cs"/>
          <w:sz w:val="24"/>
          <w:szCs w:val="24"/>
          <w:highlight w:val="yellow"/>
          <w:rtl/>
        </w:rPr>
        <w:t xml:space="preserve">לכדי הנחיית יועץ </w:t>
      </w:r>
      <w:r w:rsidR="00F505B6" w:rsidRPr="00F505B6">
        <w:rPr>
          <w:rFonts w:cs="David" w:hint="cs"/>
          <w:sz w:val="24"/>
          <w:szCs w:val="24"/>
          <w:highlight w:val="yellow"/>
          <w:rtl/>
        </w:rPr>
        <w:t xml:space="preserve">על-ידי צוות בראשות </w:t>
      </w:r>
      <w:r w:rsidR="00A35D8B">
        <w:rPr>
          <w:rFonts w:cs="David" w:hint="cs"/>
          <w:sz w:val="24"/>
          <w:szCs w:val="24"/>
          <w:highlight w:val="yellow"/>
          <w:rtl/>
        </w:rPr>
        <w:t xml:space="preserve">המשנה לפרקליט המדינה (אזרחי), </w:t>
      </w:r>
      <w:r w:rsidR="00F505B6" w:rsidRPr="00F505B6">
        <w:rPr>
          <w:rFonts w:cs="David" w:hint="cs"/>
          <w:sz w:val="24"/>
          <w:szCs w:val="24"/>
          <w:highlight w:val="yellow"/>
          <w:rtl/>
        </w:rPr>
        <w:t>בעקבות</w:t>
      </w:r>
      <w:r w:rsidR="00D56F92">
        <w:rPr>
          <w:rFonts w:cs="David" w:hint="cs"/>
          <w:sz w:val="24"/>
          <w:szCs w:val="24"/>
          <w:highlight w:val="yellow"/>
          <w:rtl/>
        </w:rPr>
        <w:t xml:space="preserve"> צו על תנאי שניתן בעתירת תנועת</w:t>
      </w:r>
      <w:r w:rsidR="00F505B6" w:rsidRPr="00F505B6">
        <w:rPr>
          <w:rFonts w:cs="David" w:hint="cs"/>
          <w:sz w:val="24"/>
          <w:szCs w:val="24"/>
          <w:highlight w:val="yellow"/>
          <w:rtl/>
        </w:rPr>
        <w:t xml:space="preserve"> אומ"ץ בעניין המכון הפתולוגי</w:t>
      </w:r>
      <w:r w:rsidR="00F505B6">
        <w:rPr>
          <w:rFonts w:cs="David" w:hint="cs"/>
          <w:sz w:val="24"/>
          <w:szCs w:val="24"/>
          <w:rtl/>
        </w:rPr>
        <w:t xml:space="preserve">]. </w:t>
      </w:r>
    </w:p>
    <w:p w:rsidR="00E96F64" w:rsidRPr="00B234C5" w:rsidRDefault="00E96F64" w:rsidP="00A06051">
      <w:pPr>
        <w:pStyle w:val="a6"/>
        <w:tabs>
          <w:tab w:val="left" w:pos="6990"/>
        </w:tabs>
        <w:ind w:left="1237" w:right="1330" w:hanging="14"/>
        <w:rPr>
          <w:b w:val="0"/>
          <w:bCs w:val="0"/>
          <w:rtl/>
        </w:rPr>
      </w:pPr>
    </w:p>
    <w:sectPr w:rsidR="00E96F64" w:rsidRPr="00B234C5" w:rsidSect="007C3DE8">
      <w:headerReference w:type="even" r:id="rId9"/>
      <w:headerReference w:type="default" r:id="rId10"/>
      <w:footerReference w:type="default" r:id="rId11"/>
      <w:head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9F" w:rsidRDefault="00C77F9F" w:rsidP="00C77F9F">
      <w:pPr>
        <w:spacing w:after="0" w:line="240" w:lineRule="auto"/>
      </w:pPr>
      <w:r>
        <w:separator/>
      </w:r>
    </w:p>
  </w:endnote>
  <w:endnote w:type="continuationSeparator" w:id="0">
    <w:p w:rsidR="00C77F9F" w:rsidRDefault="00C77F9F" w:rsidP="00C7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1809324"/>
      <w:docPartObj>
        <w:docPartGallery w:val="Page Numbers (Bottom of Page)"/>
        <w:docPartUnique/>
      </w:docPartObj>
    </w:sdtPr>
    <w:sdtEndPr>
      <w:rPr>
        <w:rFonts w:asciiTheme="majorBidi" w:hAnsiTheme="majorBidi" w:cstheme="majorBidi"/>
        <w:cs/>
      </w:rPr>
    </w:sdtEndPr>
    <w:sdtContent>
      <w:p w:rsidR="00EB7C6B" w:rsidRPr="00EB7C6B" w:rsidRDefault="00EB7C6B">
        <w:pPr>
          <w:pStyle w:val="ad"/>
          <w:jc w:val="center"/>
          <w:rPr>
            <w:rFonts w:asciiTheme="majorBidi" w:hAnsiTheme="majorBidi" w:cstheme="majorBidi"/>
            <w:rtl/>
            <w:cs/>
          </w:rPr>
        </w:pPr>
        <w:r w:rsidRPr="00EB7C6B">
          <w:rPr>
            <w:rFonts w:asciiTheme="majorBidi" w:hAnsiTheme="majorBidi" w:cstheme="majorBidi"/>
          </w:rPr>
          <w:fldChar w:fldCharType="begin"/>
        </w:r>
        <w:r w:rsidRPr="00EB7C6B">
          <w:rPr>
            <w:rFonts w:asciiTheme="majorBidi" w:hAnsiTheme="majorBidi" w:cstheme="majorBidi"/>
            <w:rtl/>
            <w:cs/>
          </w:rPr>
          <w:instrText xml:space="preserve">PAGE   </w:instrText>
        </w:r>
        <w:r w:rsidRPr="00EB7C6B">
          <w:rPr>
            <w:rFonts w:asciiTheme="majorBidi" w:hAnsiTheme="majorBidi" w:cstheme="majorBidi"/>
            <w:cs/>
          </w:rPr>
          <w:instrText>\</w:instrText>
        </w:r>
        <w:r w:rsidRPr="00EB7C6B">
          <w:rPr>
            <w:rFonts w:asciiTheme="majorBidi" w:hAnsiTheme="majorBidi" w:cstheme="majorBidi"/>
            <w:rtl/>
            <w:cs/>
          </w:rPr>
          <w:instrText xml:space="preserve">* </w:instrText>
        </w:r>
        <w:r w:rsidRPr="00EB7C6B">
          <w:rPr>
            <w:rFonts w:asciiTheme="majorBidi" w:hAnsiTheme="majorBidi" w:cstheme="majorBidi"/>
            <w:cs/>
          </w:rPr>
          <w:instrText>MERGEFORMAT</w:instrText>
        </w:r>
        <w:r w:rsidRPr="00EB7C6B">
          <w:rPr>
            <w:rFonts w:asciiTheme="majorBidi" w:hAnsiTheme="majorBidi" w:cstheme="majorBidi"/>
          </w:rPr>
          <w:fldChar w:fldCharType="separate"/>
        </w:r>
        <w:r w:rsidR="0006105C" w:rsidRPr="0006105C">
          <w:rPr>
            <w:rFonts w:asciiTheme="majorBidi" w:hAnsiTheme="majorBidi" w:cstheme="majorBidi"/>
            <w:noProof/>
            <w:rtl/>
            <w:lang w:val="he-IL"/>
          </w:rPr>
          <w:t>7</w:t>
        </w:r>
        <w:r w:rsidRPr="00EB7C6B">
          <w:rPr>
            <w:rFonts w:asciiTheme="majorBidi" w:hAnsiTheme="majorBidi" w:cstheme="majorBidi"/>
          </w:rPr>
          <w:fldChar w:fldCharType="end"/>
        </w:r>
      </w:p>
    </w:sdtContent>
  </w:sdt>
  <w:p w:rsidR="00EB7C6B" w:rsidRDefault="00EB7C6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9F" w:rsidRDefault="00C77F9F" w:rsidP="00C77F9F">
      <w:pPr>
        <w:spacing w:after="0" w:line="240" w:lineRule="auto"/>
      </w:pPr>
      <w:r>
        <w:separator/>
      </w:r>
    </w:p>
  </w:footnote>
  <w:footnote w:type="continuationSeparator" w:id="0">
    <w:p w:rsidR="00C77F9F" w:rsidRDefault="00C77F9F" w:rsidP="00C77F9F">
      <w:pPr>
        <w:spacing w:after="0" w:line="240" w:lineRule="auto"/>
      </w:pPr>
      <w:r>
        <w:continuationSeparator/>
      </w:r>
    </w:p>
  </w:footnote>
  <w:footnote w:id="1">
    <w:p w:rsidR="00DB26B7" w:rsidRPr="00986E72" w:rsidRDefault="00DB26B7" w:rsidP="00986E72">
      <w:pPr>
        <w:pStyle w:val="a3"/>
        <w:jc w:val="both"/>
        <w:rPr>
          <w:rFonts w:cs="David"/>
        </w:rPr>
      </w:pPr>
      <w:r w:rsidRPr="00986E72">
        <w:rPr>
          <w:rStyle w:val="a5"/>
          <w:rFonts w:cs="David"/>
        </w:rPr>
        <w:footnoteRef/>
      </w:r>
      <w:r w:rsidRPr="00986E72">
        <w:rPr>
          <w:rFonts w:cs="David"/>
          <w:rtl/>
        </w:rPr>
        <w:t xml:space="preserve"> </w:t>
      </w:r>
      <w:r w:rsidRPr="00986E72">
        <w:rPr>
          <w:rFonts w:cs="David" w:hint="cs"/>
          <w:rtl/>
        </w:rPr>
        <w:t xml:space="preserve">יצחק זמיר "היועץ המשפטי לממשלה והמאבק על חוקיות השלטון" </w:t>
      </w:r>
      <w:r w:rsidRPr="00986E72">
        <w:rPr>
          <w:rFonts w:cs="David" w:hint="cs"/>
          <w:b/>
          <w:bCs/>
          <w:rtl/>
        </w:rPr>
        <w:t>עיוני משפט</w:t>
      </w:r>
      <w:r w:rsidRPr="00986E72">
        <w:rPr>
          <w:rFonts w:cs="David" w:hint="cs"/>
          <w:rtl/>
        </w:rPr>
        <w:t xml:space="preserve"> יא(3) 411, 418 (1986).</w:t>
      </w:r>
    </w:p>
  </w:footnote>
  <w:footnote w:id="2">
    <w:p w:rsidR="00E5299F" w:rsidRPr="00986E72" w:rsidRDefault="00E5299F" w:rsidP="00E5299F">
      <w:pPr>
        <w:pStyle w:val="a3"/>
        <w:jc w:val="both"/>
        <w:rPr>
          <w:rFonts w:cs="David"/>
          <w:rtl/>
        </w:rPr>
      </w:pPr>
      <w:r w:rsidRPr="00986E72">
        <w:rPr>
          <w:rStyle w:val="a5"/>
          <w:rFonts w:cs="David"/>
        </w:rPr>
        <w:footnoteRef/>
      </w:r>
      <w:r w:rsidRPr="00986E72">
        <w:rPr>
          <w:rFonts w:cs="David"/>
          <w:rtl/>
        </w:rPr>
        <w:t xml:space="preserve"> </w:t>
      </w:r>
      <w:r w:rsidRPr="00986E72">
        <w:rPr>
          <w:rFonts w:cs="David" w:hint="cs"/>
          <w:b/>
          <w:bCs/>
          <w:rtl/>
        </w:rPr>
        <w:t>עניין גיני</w:t>
      </w:r>
      <w:r w:rsidRPr="00986E72">
        <w:rPr>
          <w:rFonts w:cs="David" w:hint="cs"/>
          <w:rtl/>
        </w:rPr>
        <w:t>, פסקה ד' לפסק דינו של השופט רובינשטיין.</w:t>
      </w:r>
    </w:p>
  </w:footnote>
  <w:footnote w:id="3">
    <w:p w:rsidR="00C1218F" w:rsidRPr="00986E72" w:rsidRDefault="00C1218F" w:rsidP="00986E72">
      <w:pPr>
        <w:pStyle w:val="a3"/>
        <w:tabs>
          <w:tab w:val="left" w:pos="5644"/>
        </w:tabs>
        <w:jc w:val="both"/>
        <w:rPr>
          <w:rFonts w:cs="David"/>
        </w:rPr>
      </w:pPr>
      <w:r w:rsidRPr="00986E72">
        <w:rPr>
          <w:rStyle w:val="a5"/>
          <w:rFonts w:cs="David"/>
        </w:rPr>
        <w:footnoteRef/>
      </w:r>
      <w:r w:rsidRPr="00986E72">
        <w:rPr>
          <w:rFonts w:cs="David"/>
          <w:rtl/>
        </w:rPr>
        <w:t xml:space="preserve"> </w:t>
      </w:r>
      <w:r w:rsidRPr="001613D3">
        <w:rPr>
          <w:rFonts w:cs="David" w:hint="cs"/>
          <w:b/>
          <w:bCs/>
          <w:rtl/>
        </w:rPr>
        <w:t>דו"ח ועדת שמגר</w:t>
      </w:r>
      <w:r w:rsidRPr="00986E72">
        <w:rPr>
          <w:rFonts w:cs="David" w:hint="cs"/>
          <w:rtl/>
        </w:rPr>
        <w:t>, בפסקה 65(ו).</w:t>
      </w:r>
      <w:r w:rsidR="00986E72">
        <w:rPr>
          <w:rFonts w:cs="David"/>
          <w:rtl/>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47" w:rsidRDefault="0006105C">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317688" o:spid="_x0000_s2050" type="#_x0000_t136" style="position:absolute;left:0;text-align:left;margin-left:0;margin-top:0;width:365.95pt;height:219.55pt;rotation:315;z-index:-251655168;mso-position-horizontal:center;mso-position-horizontal-relative:margin;mso-position-vertical:center;mso-position-vertical-relative:margin" o:allowincell="f" fillcolor="#a5a5a5 [2092]" stroked="f">
          <v:fill opacity=".5"/>
          <v:textpath style="font-family:&quot;Calibri&quot;;font-size:1pt" string="טיוטה"/>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47" w:rsidRDefault="0006105C" w:rsidP="003A7A5D">
    <w:pPr>
      <w:pStyle w:val="ab"/>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317689" o:spid="_x0000_s2051" type="#_x0000_t136" style="position:absolute;left:0;text-align:left;margin-left:0;margin-top:0;width:365.95pt;height:219.55pt;rotation:315;z-index:-251653120;mso-position-horizontal:center;mso-position-horizontal-relative:margin;mso-position-vertical:center;mso-position-vertical-relative:margin" o:allowincell="f" fillcolor="#a5a5a5 [2092]" stroked="f">
          <v:fill opacity=".5"/>
          <v:textpath style="font-family:&quot;Calibri&quot;;font-size:1pt" string="טיוטה"/>
          <w10:wrap anchorx="margin" anchory="margin"/>
        </v:shape>
      </w:pict>
    </w:r>
    <w:r w:rsidR="00A35D8B">
      <w:rPr>
        <w:rFonts w:hint="cs"/>
        <w:rtl/>
      </w:rPr>
      <w:t xml:space="preserve">ייעוץ וחקיקה </w:t>
    </w:r>
    <w:r w:rsidR="00A35D8B">
      <w:rPr>
        <w:rtl/>
      </w:rPr>
      <w:t>–</w:t>
    </w:r>
    <w:r w:rsidR="00A35D8B">
      <w:rPr>
        <w:rFonts w:hint="cs"/>
        <w:rtl/>
      </w:rPr>
      <w:t xml:space="preserve"> המחלקה למשפט ציבורי-מינהלי </w:t>
    </w:r>
    <w:r w:rsidR="00A35D8B">
      <w:rPr>
        <w:rtl/>
      </w:rPr>
      <w:t>–</w:t>
    </w:r>
    <w:r w:rsidR="00A35D8B">
      <w:rPr>
        <w:rFonts w:hint="cs"/>
        <w:rtl/>
      </w:rPr>
      <w:t xml:space="preserve"> </w:t>
    </w:r>
    <w:r w:rsidR="00C22CC9">
      <w:rPr>
        <w:rFonts w:hint="cs"/>
        <w:rtl/>
      </w:rPr>
      <w:t xml:space="preserve">נייר </w:t>
    </w:r>
    <w:r w:rsidR="00A35D8B">
      <w:rPr>
        <w:rFonts w:hint="cs"/>
        <w:rtl/>
      </w:rPr>
      <w:t>עבודה</w:t>
    </w:r>
    <w:r w:rsidR="00C22CC9">
      <w:rPr>
        <w:rFonts w:hint="cs"/>
        <w:rtl/>
      </w:rPr>
      <w:t xml:space="preserve"> </w:t>
    </w:r>
    <w:r w:rsidR="003A7A5D">
      <w:rPr>
        <w:rFonts w:hint="cs"/>
        <w:rtl/>
      </w:rPr>
      <w:t xml:space="preserve">פנימי </w:t>
    </w:r>
    <w:r w:rsidR="00C22CC9">
      <w:rPr>
        <w:rFonts w:hint="cs"/>
        <w:rtl/>
      </w:rPr>
      <w:t>(12.11.17)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47" w:rsidRDefault="0006105C">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317687" o:spid="_x0000_s2049" type="#_x0000_t136" style="position:absolute;left:0;text-align:left;margin-left:0;margin-top:0;width:365.95pt;height:219.55pt;rotation:315;z-index:-251657216;mso-position-horizontal:center;mso-position-horizontal-relative:margin;mso-position-vertical:center;mso-position-vertical-relative:margin" o:allowincell="f" fillcolor="#a5a5a5 [2092]" stroked="f">
          <v:fill opacity=".5"/>
          <v:textpath style="font-family:&quot;Calibri&quot;;font-size:1pt" string="טיוטה"/>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5CE3"/>
    <w:multiLevelType w:val="hybridMultilevel"/>
    <w:tmpl w:val="EC287CD4"/>
    <w:lvl w:ilvl="0" w:tplc="51B4BEF6">
      <w:numFmt w:val="bullet"/>
      <w:lvlText w:val="-"/>
      <w:lvlJc w:val="left"/>
      <w:pPr>
        <w:ind w:left="786" w:hanging="360"/>
      </w:pPr>
      <w:rPr>
        <w:rFonts w:asciiTheme="minorHAnsi" w:eastAsiaTheme="minorHAnsi" w:hAnsiTheme="minorHAnsi"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AB"/>
    <w:rsid w:val="00004A8D"/>
    <w:rsid w:val="00026A22"/>
    <w:rsid w:val="00043A6B"/>
    <w:rsid w:val="00055C38"/>
    <w:rsid w:val="0006105C"/>
    <w:rsid w:val="000634B8"/>
    <w:rsid w:val="000A1209"/>
    <w:rsid w:val="000C27FF"/>
    <w:rsid w:val="00104F14"/>
    <w:rsid w:val="00125929"/>
    <w:rsid w:val="00137C5A"/>
    <w:rsid w:val="00146F82"/>
    <w:rsid w:val="001613D3"/>
    <w:rsid w:val="001638BC"/>
    <w:rsid w:val="00196DAD"/>
    <w:rsid w:val="001F20E3"/>
    <w:rsid w:val="001F66BC"/>
    <w:rsid w:val="00201D24"/>
    <w:rsid w:val="00220B06"/>
    <w:rsid w:val="002657BC"/>
    <w:rsid w:val="00280408"/>
    <w:rsid w:val="002933C1"/>
    <w:rsid w:val="002E4691"/>
    <w:rsid w:val="00311BDC"/>
    <w:rsid w:val="00330355"/>
    <w:rsid w:val="00374AC3"/>
    <w:rsid w:val="00397C47"/>
    <w:rsid w:val="003A5EB5"/>
    <w:rsid w:val="003A7A5D"/>
    <w:rsid w:val="00423E4A"/>
    <w:rsid w:val="004572FA"/>
    <w:rsid w:val="004B350A"/>
    <w:rsid w:val="00576917"/>
    <w:rsid w:val="005B3F17"/>
    <w:rsid w:val="005C4495"/>
    <w:rsid w:val="005D26E8"/>
    <w:rsid w:val="006205EE"/>
    <w:rsid w:val="006465CD"/>
    <w:rsid w:val="00654E9C"/>
    <w:rsid w:val="00664317"/>
    <w:rsid w:val="006741AA"/>
    <w:rsid w:val="00690366"/>
    <w:rsid w:val="00692F21"/>
    <w:rsid w:val="006A49A9"/>
    <w:rsid w:val="006B547F"/>
    <w:rsid w:val="006C3262"/>
    <w:rsid w:val="006D0E86"/>
    <w:rsid w:val="006E32C7"/>
    <w:rsid w:val="006E6C0F"/>
    <w:rsid w:val="006F2DC5"/>
    <w:rsid w:val="00713545"/>
    <w:rsid w:val="00717CD8"/>
    <w:rsid w:val="00725E96"/>
    <w:rsid w:val="00744BA6"/>
    <w:rsid w:val="007517F9"/>
    <w:rsid w:val="00755438"/>
    <w:rsid w:val="00771B26"/>
    <w:rsid w:val="0078628D"/>
    <w:rsid w:val="007904FF"/>
    <w:rsid w:val="007A78BC"/>
    <w:rsid w:val="007C3DE8"/>
    <w:rsid w:val="007E21BC"/>
    <w:rsid w:val="007E41AD"/>
    <w:rsid w:val="0082350D"/>
    <w:rsid w:val="00830AB5"/>
    <w:rsid w:val="00845BDA"/>
    <w:rsid w:val="00875F9A"/>
    <w:rsid w:val="00890E86"/>
    <w:rsid w:val="00914BB1"/>
    <w:rsid w:val="00917A4A"/>
    <w:rsid w:val="00926B47"/>
    <w:rsid w:val="00970C21"/>
    <w:rsid w:val="00986E72"/>
    <w:rsid w:val="009D5B9E"/>
    <w:rsid w:val="009F188F"/>
    <w:rsid w:val="00A06051"/>
    <w:rsid w:val="00A35D8B"/>
    <w:rsid w:val="00A5289A"/>
    <w:rsid w:val="00A56A0E"/>
    <w:rsid w:val="00A56D0E"/>
    <w:rsid w:val="00A766E0"/>
    <w:rsid w:val="00A84D24"/>
    <w:rsid w:val="00A900DD"/>
    <w:rsid w:val="00AB6A3A"/>
    <w:rsid w:val="00AC63FE"/>
    <w:rsid w:val="00B10152"/>
    <w:rsid w:val="00B234C5"/>
    <w:rsid w:val="00BA2276"/>
    <w:rsid w:val="00C1218F"/>
    <w:rsid w:val="00C15FF4"/>
    <w:rsid w:val="00C2111F"/>
    <w:rsid w:val="00C2163E"/>
    <w:rsid w:val="00C22CC9"/>
    <w:rsid w:val="00C2470F"/>
    <w:rsid w:val="00C50487"/>
    <w:rsid w:val="00C77F9F"/>
    <w:rsid w:val="00C90CBD"/>
    <w:rsid w:val="00CA7C46"/>
    <w:rsid w:val="00CC1BEF"/>
    <w:rsid w:val="00CF3BD1"/>
    <w:rsid w:val="00D35FFC"/>
    <w:rsid w:val="00D56F92"/>
    <w:rsid w:val="00DB26B7"/>
    <w:rsid w:val="00DD4620"/>
    <w:rsid w:val="00E333B0"/>
    <w:rsid w:val="00E50229"/>
    <w:rsid w:val="00E5299F"/>
    <w:rsid w:val="00E53DC7"/>
    <w:rsid w:val="00E6028E"/>
    <w:rsid w:val="00E72006"/>
    <w:rsid w:val="00E92330"/>
    <w:rsid w:val="00E96F64"/>
    <w:rsid w:val="00EB7C6B"/>
    <w:rsid w:val="00EC77F3"/>
    <w:rsid w:val="00ED54AE"/>
    <w:rsid w:val="00F24D0A"/>
    <w:rsid w:val="00F4291F"/>
    <w:rsid w:val="00F505B6"/>
    <w:rsid w:val="00F66BE7"/>
    <w:rsid w:val="00F749CF"/>
    <w:rsid w:val="00FA15AB"/>
    <w:rsid w:val="00FB43CA"/>
    <w:rsid w:val="00FC16D2"/>
    <w:rsid w:val="00FC4D40"/>
    <w:rsid w:val="00FC7940"/>
    <w:rsid w:val="00FE6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77F9F"/>
    <w:pPr>
      <w:spacing w:after="0" w:line="240" w:lineRule="auto"/>
    </w:pPr>
    <w:rPr>
      <w:rFonts w:ascii="Calibri" w:eastAsia="Calibri" w:hAnsi="Calibri" w:cs="Arial"/>
      <w:sz w:val="20"/>
      <w:szCs w:val="20"/>
    </w:rPr>
  </w:style>
  <w:style w:type="character" w:customStyle="1" w:styleId="a4">
    <w:name w:val="טקסט הערת שוליים תו"/>
    <w:basedOn w:val="a0"/>
    <w:link w:val="a3"/>
    <w:uiPriority w:val="99"/>
    <w:rsid w:val="00C77F9F"/>
    <w:rPr>
      <w:rFonts w:ascii="Calibri" w:eastAsia="Calibri" w:hAnsi="Calibri" w:cs="Arial"/>
      <w:sz w:val="20"/>
      <w:szCs w:val="20"/>
    </w:rPr>
  </w:style>
  <w:style w:type="character" w:styleId="a5">
    <w:name w:val="footnote reference"/>
    <w:uiPriority w:val="99"/>
    <w:unhideWhenUsed/>
    <w:rsid w:val="00C77F9F"/>
    <w:rPr>
      <w:vertAlign w:val="superscript"/>
    </w:rPr>
  </w:style>
  <w:style w:type="character" w:customStyle="1" w:styleId="apple-converted-space">
    <w:name w:val="apple-converted-space"/>
    <w:rsid w:val="00830AB5"/>
  </w:style>
  <w:style w:type="paragraph" w:styleId="a6">
    <w:name w:val="Quote"/>
    <w:basedOn w:val="a"/>
    <w:next w:val="a"/>
    <w:link w:val="a7"/>
    <w:qFormat/>
    <w:rsid w:val="00830AB5"/>
    <w:pPr>
      <w:spacing w:before="240" w:after="0" w:line="360" w:lineRule="auto"/>
      <w:ind w:left="1440" w:right="1843"/>
      <w:jc w:val="both"/>
    </w:pPr>
    <w:rPr>
      <w:rFonts w:ascii="David" w:eastAsia="Times New Roman" w:hAnsi="David" w:cs="David"/>
      <w:b/>
      <w:bCs/>
      <w:sz w:val="44"/>
      <w:szCs w:val="24"/>
    </w:rPr>
  </w:style>
  <w:style w:type="character" w:customStyle="1" w:styleId="a7">
    <w:name w:val="ציטוט תו"/>
    <w:basedOn w:val="a0"/>
    <w:link w:val="a6"/>
    <w:rsid w:val="00830AB5"/>
    <w:rPr>
      <w:rFonts w:ascii="David" w:eastAsia="Times New Roman" w:hAnsi="David" w:cs="David"/>
      <w:b/>
      <w:bCs/>
      <w:sz w:val="44"/>
      <w:szCs w:val="24"/>
    </w:rPr>
  </w:style>
  <w:style w:type="paragraph" w:styleId="a8">
    <w:name w:val="List Paragraph"/>
    <w:basedOn w:val="a"/>
    <w:uiPriority w:val="34"/>
    <w:qFormat/>
    <w:rsid w:val="00E72006"/>
    <w:pPr>
      <w:ind w:left="720"/>
      <w:contextualSpacing/>
    </w:pPr>
  </w:style>
  <w:style w:type="paragraph" w:styleId="a9">
    <w:name w:val="Balloon Text"/>
    <w:basedOn w:val="a"/>
    <w:link w:val="aa"/>
    <w:uiPriority w:val="99"/>
    <w:semiHidden/>
    <w:unhideWhenUsed/>
    <w:rsid w:val="00423E4A"/>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423E4A"/>
    <w:rPr>
      <w:rFonts w:ascii="Tahoma" w:hAnsi="Tahoma" w:cs="Tahoma"/>
      <w:sz w:val="16"/>
      <w:szCs w:val="16"/>
    </w:rPr>
  </w:style>
  <w:style w:type="paragraph" w:styleId="ab">
    <w:name w:val="header"/>
    <w:basedOn w:val="a"/>
    <w:link w:val="ac"/>
    <w:uiPriority w:val="99"/>
    <w:unhideWhenUsed/>
    <w:rsid w:val="00397C47"/>
    <w:pPr>
      <w:tabs>
        <w:tab w:val="center" w:pos="4153"/>
        <w:tab w:val="right" w:pos="8306"/>
      </w:tabs>
      <w:spacing w:after="0" w:line="240" w:lineRule="auto"/>
    </w:pPr>
  </w:style>
  <w:style w:type="character" w:customStyle="1" w:styleId="ac">
    <w:name w:val="כותרת עליונה תו"/>
    <w:basedOn w:val="a0"/>
    <w:link w:val="ab"/>
    <w:uiPriority w:val="99"/>
    <w:rsid w:val="00397C47"/>
  </w:style>
  <w:style w:type="paragraph" w:styleId="ad">
    <w:name w:val="footer"/>
    <w:basedOn w:val="a"/>
    <w:link w:val="ae"/>
    <w:uiPriority w:val="99"/>
    <w:unhideWhenUsed/>
    <w:rsid w:val="00397C47"/>
    <w:pPr>
      <w:tabs>
        <w:tab w:val="center" w:pos="4153"/>
        <w:tab w:val="right" w:pos="8306"/>
      </w:tabs>
      <w:spacing w:after="0" w:line="240" w:lineRule="auto"/>
    </w:pPr>
  </w:style>
  <w:style w:type="character" w:customStyle="1" w:styleId="ae">
    <w:name w:val="כותרת תחתונה תו"/>
    <w:basedOn w:val="a0"/>
    <w:link w:val="ad"/>
    <w:uiPriority w:val="99"/>
    <w:rsid w:val="00397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77F9F"/>
    <w:pPr>
      <w:spacing w:after="0" w:line="240" w:lineRule="auto"/>
    </w:pPr>
    <w:rPr>
      <w:rFonts w:ascii="Calibri" w:eastAsia="Calibri" w:hAnsi="Calibri" w:cs="Arial"/>
      <w:sz w:val="20"/>
      <w:szCs w:val="20"/>
    </w:rPr>
  </w:style>
  <w:style w:type="character" w:customStyle="1" w:styleId="a4">
    <w:name w:val="טקסט הערת שוליים תו"/>
    <w:basedOn w:val="a0"/>
    <w:link w:val="a3"/>
    <w:uiPriority w:val="99"/>
    <w:rsid w:val="00C77F9F"/>
    <w:rPr>
      <w:rFonts w:ascii="Calibri" w:eastAsia="Calibri" w:hAnsi="Calibri" w:cs="Arial"/>
      <w:sz w:val="20"/>
      <w:szCs w:val="20"/>
    </w:rPr>
  </w:style>
  <w:style w:type="character" w:styleId="a5">
    <w:name w:val="footnote reference"/>
    <w:uiPriority w:val="99"/>
    <w:unhideWhenUsed/>
    <w:rsid w:val="00C77F9F"/>
    <w:rPr>
      <w:vertAlign w:val="superscript"/>
    </w:rPr>
  </w:style>
  <w:style w:type="character" w:customStyle="1" w:styleId="apple-converted-space">
    <w:name w:val="apple-converted-space"/>
    <w:rsid w:val="00830AB5"/>
  </w:style>
  <w:style w:type="paragraph" w:styleId="a6">
    <w:name w:val="Quote"/>
    <w:basedOn w:val="a"/>
    <w:next w:val="a"/>
    <w:link w:val="a7"/>
    <w:qFormat/>
    <w:rsid w:val="00830AB5"/>
    <w:pPr>
      <w:spacing w:before="240" w:after="0" w:line="360" w:lineRule="auto"/>
      <w:ind w:left="1440" w:right="1843"/>
      <w:jc w:val="both"/>
    </w:pPr>
    <w:rPr>
      <w:rFonts w:ascii="David" w:eastAsia="Times New Roman" w:hAnsi="David" w:cs="David"/>
      <w:b/>
      <w:bCs/>
      <w:sz w:val="44"/>
      <w:szCs w:val="24"/>
    </w:rPr>
  </w:style>
  <w:style w:type="character" w:customStyle="1" w:styleId="a7">
    <w:name w:val="ציטוט תו"/>
    <w:basedOn w:val="a0"/>
    <w:link w:val="a6"/>
    <w:rsid w:val="00830AB5"/>
    <w:rPr>
      <w:rFonts w:ascii="David" w:eastAsia="Times New Roman" w:hAnsi="David" w:cs="David"/>
      <w:b/>
      <w:bCs/>
      <w:sz w:val="44"/>
      <w:szCs w:val="24"/>
    </w:rPr>
  </w:style>
  <w:style w:type="paragraph" w:styleId="a8">
    <w:name w:val="List Paragraph"/>
    <w:basedOn w:val="a"/>
    <w:uiPriority w:val="34"/>
    <w:qFormat/>
    <w:rsid w:val="00E72006"/>
    <w:pPr>
      <w:ind w:left="720"/>
      <w:contextualSpacing/>
    </w:pPr>
  </w:style>
  <w:style w:type="paragraph" w:styleId="a9">
    <w:name w:val="Balloon Text"/>
    <w:basedOn w:val="a"/>
    <w:link w:val="aa"/>
    <w:uiPriority w:val="99"/>
    <w:semiHidden/>
    <w:unhideWhenUsed/>
    <w:rsid w:val="00423E4A"/>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423E4A"/>
    <w:rPr>
      <w:rFonts w:ascii="Tahoma" w:hAnsi="Tahoma" w:cs="Tahoma"/>
      <w:sz w:val="16"/>
      <w:szCs w:val="16"/>
    </w:rPr>
  </w:style>
  <w:style w:type="paragraph" w:styleId="ab">
    <w:name w:val="header"/>
    <w:basedOn w:val="a"/>
    <w:link w:val="ac"/>
    <w:uiPriority w:val="99"/>
    <w:unhideWhenUsed/>
    <w:rsid w:val="00397C47"/>
    <w:pPr>
      <w:tabs>
        <w:tab w:val="center" w:pos="4153"/>
        <w:tab w:val="right" w:pos="8306"/>
      </w:tabs>
      <w:spacing w:after="0" w:line="240" w:lineRule="auto"/>
    </w:pPr>
  </w:style>
  <w:style w:type="character" w:customStyle="1" w:styleId="ac">
    <w:name w:val="כותרת עליונה תו"/>
    <w:basedOn w:val="a0"/>
    <w:link w:val="ab"/>
    <w:uiPriority w:val="99"/>
    <w:rsid w:val="00397C47"/>
  </w:style>
  <w:style w:type="paragraph" w:styleId="ad">
    <w:name w:val="footer"/>
    <w:basedOn w:val="a"/>
    <w:link w:val="ae"/>
    <w:uiPriority w:val="99"/>
    <w:unhideWhenUsed/>
    <w:rsid w:val="00397C47"/>
    <w:pPr>
      <w:tabs>
        <w:tab w:val="center" w:pos="4153"/>
        <w:tab w:val="right" w:pos="8306"/>
      </w:tabs>
      <w:spacing w:after="0" w:line="240" w:lineRule="auto"/>
    </w:pPr>
  </w:style>
  <w:style w:type="character" w:customStyle="1" w:styleId="ae">
    <w:name w:val="כותרת תחתונה תו"/>
    <w:basedOn w:val="a0"/>
    <w:link w:val="ad"/>
    <w:uiPriority w:val="99"/>
    <w:rsid w:val="0039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5CFD6AF-6977-4012-A447-7092AC14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9ADD0DF.dotm</Template>
  <TotalTime>991</TotalTime>
  <Pages>8</Pages>
  <Words>3300</Words>
  <Characters>16503</Characters>
  <Application>Microsoft Office Word</Application>
  <DocSecurity>0</DocSecurity>
  <Lines>137</Lines>
  <Paragraphs>39</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Konigstein</dc:creator>
  <cp:lastModifiedBy>Neta Konigstein</cp:lastModifiedBy>
  <cp:revision>64</cp:revision>
  <cp:lastPrinted>2017-06-20T15:03:00Z</cp:lastPrinted>
  <dcterms:created xsi:type="dcterms:W3CDTF">2017-06-20T15:16:00Z</dcterms:created>
  <dcterms:modified xsi:type="dcterms:W3CDTF">2017-11-16T15:50:00Z</dcterms:modified>
</cp:coreProperties>
</file>