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553" w:rsidRPr="000C3783" w:rsidRDefault="000C3783" w:rsidP="00330BE2">
      <w:pPr>
        <w:rPr>
          <w:rFonts w:cs="David"/>
          <w:sz w:val="24"/>
          <w:szCs w:val="24"/>
          <w:rtl/>
        </w:rPr>
      </w:pPr>
      <w:r w:rsidRPr="000C3783">
        <w:rPr>
          <w:rFonts w:cs="David" w:hint="cs"/>
          <w:sz w:val="24"/>
          <w:szCs w:val="24"/>
          <w:rtl/>
        </w:rPr>
        <w:t>1.</w:t>
      </w:r>
      <w:r>
        <w:rPr>
          <w:rFonts w:cs="David" w:hint="cs"/>
          <w:sz w:val="24"/>
          <w:szCs w:val="24"/>
          <w:rtl/>
        </w:rPr>
        <w:t xml:space="preserve"> </w:t>
      </w:r>
      <w:r w:rsidR="00330BE2">
        <w:rPr>
          <w:rFonts w:cs="David" w:hint="cs"/>
          <w:sz w:val="24"/>
          <w:szCs w:val="24"/>
          <w:rtl/>
        </w:rPr>
        <w:t>חוות דעת בנוגע ל</w:t>
      </w:r>
      <w:r w:rsidR="00AA4219" w:rsidRPr="000C3783">
        <w:rPr>
          <w:rFonts w:cs="David" w:hint="cs"/>
          <w:sz w:val="24"/>
          <w:szCs w:val="24"/>
          <w:rtl/>
        </w:rPr>
        <w:t>עריכת משחק פוקר</w:t>
      </w:r>
      <w:r w:rsidR="00330BE2">
        <w:rPr>
          <w:rFonts w:cs="David" w:hint="cs"/>
          <w:sz w:val="24"/>
          <w:szCs w:val="24"/>
          <w:rtl/>
        </w:rPr>
        <w:t xml:space="preserve"> </w:t>
      </w:r>
      <w:r w:rsidRPr="000C3783">
        <w:rPr>
          <w:rFonts w:cs="David" w:hint="cs"/>
          <w:sz w:val="24"/>
          <w:szCs w:val="24"/>
          <w:rtl/>
        </w:rPr>
        <w:t>ללא פרס זכייה ממשי</w:t>
      </w:r>
      <w:r w:rsidR="00AA4219" w:rsidRPr="000C3783">
        <w:rPr>
          <w:rFonts w:cs="David" w:hint="cs"/>
          <w:sz w:val="24"/>
          <w:szCs w:val="24"/>
          <w:rtl/>
        </w:rPr>
        <w:t>:</w:t>
      </w:r>
    </w:p>
    <w:p w:rsidR="00BE5553" w:rsidRPr="00AA4219" w:rsidRDefault="00632520" w:rsidP="00BE5553">
      <w:pPr>
        <w:rPr>
          <w:rFonts w:ascii="Arial" w:hAnsi="Arial" w:cs="David"/>
          <w:color w:val="1F497D"/>
          <w:sz w:val="24"/>
          <w:szCs w:val="24"/>
          <w:rtl/>
        </w:rPr>
      </w:pPr>
      <w:hyperlink r:id="rId6" w:history="1">
        <w:r w:rsidR="00BE5553" w:rsidRPr="00AA4219">
          <w:rPr>
            <w:rStyle w:val="Hyperlink"/>
            <w:rFonts w:ascii="Arial" w:hAnsi="Arial" w:cs="David"/>
            <w:sz w:val="24"/>
            <w:szCs w:val="24"/>
          </w:rPr>
          <w:t>shakedk@mof.gov.il</w:t>
        </w:r>
      </w:hyperlink>
      <w:r w:rsidR="00BE5553" w:rsidRPr="00AA4219">
        <w:rPr>
          <w:rFonts w:ascii="Arial" w:hAnsi="Arial" w:cs="David" w:hint="cs"/>
          <w:color w:val="1F497D"/>
          <w:sz w:val="24"/>
          <w:szCs w:val="24"/>
          <w:rtl/>
        </w:rPr>
        <w:t>: ''</w:t>
      </w:r>
      <w:r w:rsidR="00BE5553" w:rsidRPr="00AA4219">
        <w:rPr>
          <w:rFonts w:ascii="Arial" w:hAnsi="Arial" w:cs="David"/>
          <w:color w:val="1F497D"/>
          <w:sz w:val="24"/>
          <w:szCs w:val="24"/>
          <w:rtl/>
        </w:rPr>
        <w:t xml:space="preserve">טורניר פוקר שהכנסותיו מיועדות לתרומה ואין </w:t>
      </w:r>
      <w:proofErr w:type="spellStart"/>
      <w:r w:rsidR="00BE5553" w:rsidRPr="00AA4219">
        <w:rPr>
          <w:rFonts w:ascii="Arial" w:hAnsi="Arial" w:cs="David"/>
          <w:color w:val="1F497D"/>
          <w:sz w:val="24"/>
          <w:szCs w:val="24"/>
          <w:rtl/>
        </w:rPr>
        <w:t>בצידו</w:t>
      </w:r>
      <w:proofErr w:type="spellEnd"/>
      <w:r w:rsidR="00BE5553" w:rsidRPr="00AA4219">
        <w:rPr>
          <w:rFonts w:ascii="Arial" w:hAnsi="Arial" w:cs="David"/>
          <w:color w:val="1F497D"/>
          <w:sz w:val="24"/>
          <w:szCs w:val="24"/>
          <w:rtl/>
        </w:rPr>
        <w:t xml:space="preserve"> פרס בעל ערך ממשי.</w:t>
      </w:r>
      <w:r w:rsidR="00BE5553" w:rsidRPr="00AA4219">
        <w:rPr>
          <w:rFonts w:ascii="Arial" w:hAnsi="Arial" w:cs="David"/>
          <w:color w:val="1F497D"/>
          <w:sz w:val="24"/>
          <w:szCs w:val="24"/>
        </w:rPr>
        <w:t xml:space="preserve"> </w:t>
      </w:r>
      <w:r w:rsidR="00BE5553" w:rsidRPr="00AA4219">
        <w:rPr>
          <w:rFonts w:ascii="Arial" w:hAnsi="Arial" w:cs="David"/>
          <w:color w:val="1F497D"/>
          <w:sz w:val="24"/>
          <w:szCs w:val="24"/>
          <w:rtl/>
        </w:rPr>
        <w:t>לדעתנו, הואיל ומדובר במשחק שאין בו אפשרות לזכות בפרס ממשי, למעט מזכרת ותעודת הוקרה שיקבלו כל המשתתפים וצמיד אליפות שיקבל המנצח, ששווים מוערך בכ-4 ש"ח, אין מדובר ב"משחק אסור" כמשמעותו בחוק העונשין</w:t>
      </w:r>
      <w:r w:rsidR="00BE5553" w:rsidRPr="00AA4219">
        <w:rPr>
          <w:rFonts w:ascii="Arial" w:hAnsi="Arial" w:cs="David" w:hint="cs"/>
          <w:color w:val="1F497D"/>
          <w:sz w:val="24"/>
          <w:szCs w:val="24"/>
          <w:rtl/>
        </w:rPr>
        <w:t>''.</w:t>
      </w:r>
    </w:p>
    <w:p w:rsidR="00BE5553" w:rsidRPr="00AA4219" w:rsidRDefault="00BE5553" w:rsidP="00BE5553">
      <w:pPr>
        <w:rPr>
          <w:rFonts w:ascii="Arial" w:hAnsi="Arial" w:cs="David"/>
          <w:color w:val="1F497D"/>
          <w:sz w:val="24"/>
          <w:szCs w:val="24"/>
        </w:rPr>
      </w:pPr>
      <w:r w:rsidRPr="00AA4219">
        <w:rPr>
          <w:rFonts w:ascii="Arial" w:hAnsi="Arial" w:cs="David" w:hint="cs"/>
          <w:b/>
          <w:bCs/>
          <w:color w:val="0070C0"/>
          <w:sz w:val="24"/>
          <w:szCs w:val="24"/>
          <w:u w:val="single"/>
          <w:rtl/>
        </w:rPr>
        <w:t xml:space="preserve">נטע סרוסי, </w:t>
      </w:r>
      <w:proofErr w:type="spellStart"/>
      <w:r w:rsidRPr="00AA4219">
        <w:rPr>
          <w:rFonts w:ascii="Arial" w:hAnsi="Arial" w:cs="David" w:hint="cs"/>
          <w:b/>
          <w:bCs/>
          <w:color w:val="0070C0"/>
          <w:sz w:val="24"/>
          <w:szCs w:val="24"/>
          <w:u w:val="single"/>
          <w:rtl/>
        </w:rPr>
        <w:t>עו</w:t>
      </w:r>
      <w:proofErr w:type="spellEnd"/>
      <w:r w:rsidRPr="00AA4219">
        <w:rPr>
          <w:rFonts w:ascii="Arial" w:hAnsi="Arial" w:cs="David" w:hint="cs"/>
          <w:b/>
          <w:bCs/>
          <w:color w:val="0070C0"/>
          <w:sz w:val="24"/>
          <w:szCs w:val="24"/>
          <w:u w:val="single"/>
          <w:rtl/>
        </w:rPr>
        <w:t>''ד, אשכול פשיעה חמורה, המחלקה למשפט פלילי:</w:t>
      </w:r>
      <w:r w:rsidRPr="00AA4219">
        <w:rPr>
          <w:rFonts w:ascii="Arial" w:hAnsi="Arial" w:cs="David" w:hint="cs"/>
          <w:color w:val="0070C0"/>
          <w:sz w:val="24"/>
          <w:szCs w:val="24"/>
          <w:rtl/>
        </w:rPr>
        <w:t xml:space="preserve"> </w:t>
      </w:r>
      <w:r w:rsidRPr="00AA4219">
        <w:rPr>
          <w:rFonts w:ascii="Arial" w:hAnsi="Arial" w:cs="David" w:hint="cs"/>
          <w:color w:val="1F497D"/>
          <w:sz w:val="24"/>
          <w:szCs w:val="24"/>
          <w:rtl/>
        </w:rPr>
        <w:t>''</w:t>
      </w:r>
      <w:r w:rsidRPr="00AA4219">
        <w:rPr>
          <w:rFonts w:ascii="Arial" w:hAnsi="Arial" w:cs="David"/>
          <w:color w:val="1F497D"/>
          <w:sz w:val="24"/>
          <w:szCs w:val="24"/>
          <w:rtl/>
        </w:rPr>
        <w:t>לאחר בחינת הנושא עולה כי הטורניר שבנדון לא עולה כדי משחק אסור כהגדרתו בחוק העונשין, ומשכך אין כל מניעה לקיימו</w:t>
      </w:r>
      <w:r w:rsidRPr="00AA4219">
        <w:rPr>
          <w:rFonts w:ascii="Arial" w:hAnsi="Arial" w:cs="David" w:hint="cs"/>
          <w:color w:val="1F497D"/>
          <w:sz w:val="24"/>
          <w:szCs w:val="24"/>
          <w:rtl/>
        </w:rPr>
        <w:t>''.</w:t>
      </w:r>
    </w:p>
    <w:p w:rsidR="00BE5553" w:rsidRPr="00AA4219" w:rsidRDefault="00C01F27" w:rsidP="00BE5553">
      <w:pPr>
        <w:rPr>
          <w:rFonts w:ascii="Arial" w:hAnsi="Arial" w:cs="David"/>
          <w:color w:val="1F497D"/>
          <w:sz w:val="24"/>
          <w:szCs w:val="24"/>
          <w:rtl/>
        </w:rPr>
      </w:pPr>
      <w:r w:rsidRPr="00AA4219">
        <w:rPr>
          <w:rFonts w:ascii="Arial" w:hAnsi="Arial" w:cs="David"/>
          <w:color w:val="1F497D"/>
          <w:sz w:val="24"/>
          <w:szCs w:val="24"/>
        </w:rPr>
        <w:object w:dxaOrig="450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25pt;height:38.25pt" o:ole="">
            <v:imagedata r:id="rId7" o:title=""/>
          </v:shape>
          <o:OLEObject Type="Embed" ProgID="Package" ShapeID="_x0000_i1042" DrawAspect="Content" ObjectID="_1623153823" r:id="rId8"/>
        </w:object>
      </w:r>
    </w:p>
    <w:p w:rsidR="00BE5553" w:rsidRPr="00AA4219" w:rsidRDefault="00BE5553" w:rsidP="00BE5553">
      <w:pPr>
        <w:rPr>
          <w:rFonts w:ascii="Arial" w:hAnsi="Arial" w:cs="David"/>
          <w:color w:val="1F497D"/>
          <w:sz w:val="24"/>
          <w:szCs w:val="24"/>
          <w:rtl/>
        </w:rPr>
      </w:pPr>
    </w:p>
    <w:p w:rsidR="00BE5553" w:rsidRPr="00AA4219" w:rsidRDefault="000C3783" w:rsidP="00AA4219">
      <w:pPr>
        <w:rPr>
          <w:rFonts w:ascii="Arial" w:hAnsi="Arial" w:cs="David"/>
          <w:sz w:val="24"/>
          <w:szCs w:val="24"/>
          <w:rtl/>
        </w:rPr>
      </w:pPr>
      <w:r>
        <w:rPr>
          <w:rFonts w:ascii="Arial" w:hAnsi="Arial" w:cs="David" w:hint="cs"/>
          <w:sz w:val="24"/>
          <w:szCs w:val="24"/>
          <w:rtl/>
        </w:rPr>
        <w:t xml:space="preserve">2. </w:t>
      </w:r>
      <w:r w:rsidR="00330BE2">
        <w:rPr>
          <w:rFonts w:ascii="Arial" w:hAnsi="Arial" w:cs="David" w:hint="cs"/>
          <w:sz w:val="24"/>
          <w:szCs w:val="24"/>
          <w:rtl/>
        </w:rPr>
        <w:t>חוות דעת בנוגע ל</w:t>
      </w:r>
      <w:r w:rsidR="00AA4219" w:rsidRPr="00AA4219">
        <w:rPr>
          <w:rFonts w:ascii="Arial" w:hAnsi="Arial" w:cs="David" w:hint="cs"/>
          <w:sz w:val="24"/>
          <w:szCs w:val="24"/>
          <w:rtl/>
        </w:rPr>
        <w:t>שידור</w:t>
      </w:r>
      <w:r>
        <w:rPr>
          <w:rFonts w:ascii="Arial" w:hAnsi="Arial" w:cs="David" w:hint="cs"/>
          <w:sz w:val="24"/>
          <w:szCs w:val="24"/>
          <w:rtl/>
        </w:rPr>
        <w:t xml:space="preserve"> בישראל של</w:t>
      </w:r>
      <w:r w:rsidR="00AA4219" w:rsidRPr="00AA4219">
        <w:rPr>
          <w:rFonts w:ascii="Arial" w:hAnsi="Arial" w:cs="David" w:hint="cs"/>
          <w:sz w:val="24"/>
          <w:szCs w:val="24"/>
          <w:rtl/>
        </w:rPr>
        <w:t xml:space="preserve"> משחקי פוקר </w:t>
      </w:r>
      <w:proofErr w:type="spellStart"/>
      <w:r w:rsidR="00AA4219">
        <w:rPr>
          <w:rFonts w:ascii="Arial" w:hAnsi="Arial" w:cs="David" w:hint="cs"/>
          <w:sz w:val="24"/>
          <w:szCs w:val="24"/>
          <w:rtl/>
        </w:rPr>
        <w:t>מחו''ל</w:t>
      </w:r>
      <w:proofErr w:type="spellEnd"/>
      <w:r w:rsidR="00AA4219">
        <w:rPr>
          <w:rFonts w:ascii="Arial" w:hAnsi="Arial" w:cs="David" w:hint="cs"/>
          <w:sz w:val="24"/>
          <w:szCs w:val="24"/>
          <w:rtl/>
        </w:rPr>
        <w:t>:</w:t>
      </w:r>
    </w:p>
    <w:p w:rsidR="00AA4219" w:rsidRPr="00AA4219" w:rsidRDefault="00AA4219" w:rsidP="00AA4219">
      <w:pPr>
        <w:rPr>
          <w:rFonts w:cs="David"/>
          <w:sz w:val="24"/>
          <w:szCs w:val="24"/>
        </w:rPr>
      </w:pPr>
      <w:r w:rsidRPr="00AA4219">
        <w:rPr>
          <w:rFonts w:ascii="Arial" w:hAnsi="Arial" w:cs="David"/>
          <w:b/>
          <w:bCs/>
          <w:color w:val="0070C0"/>
          <w:sz w:val="24"/>
          <w:szCs w:val="24"/>
          <w:u w:val="single"/>
          <w:rtl/>
        </w:rPr>
        <w:t>ענת זוהר, עו"ד</w:t>
      </w:r>
      <w:r w:rsidRPr="00AA4219">
        <w:rPr>
          <w:rFonts w:ascii="Arial" w:hAnsi="Arial" w:cs="David" w:hint="cs"/>
          <w:b/>
          <w:bCs/>
          <w:color w:val="0070C0"/>
          <w:sz w:val="24"/>
          <w:szCs w:val="24"/>
          <w:u w:val="single"/>
          <w:rtl/>
        </w:rPr>
        <w:t xml:space="preserve">, </w:t>
      </w:r>
      <w:r w:rsidRPr="00AA4219">
        <w:rPr>
          <w:rFonts w:ascii="Arial" w:hAnsi="Arial" w:cs="David"/>
          <w:b/>
          <w:bCs/>
          <w:color w:val="0070C0"/>
          <w:sz w:val="24"/>
          <w:szCs w:val="24"/>
          <w:u w:val="single"/>
          <w:rtl/>
        </w:rPr>
        <w:t>מחלקת יעוץ וחקיקה (פלילי</w:t>
      </w:r>
      <w:r w:rsidRPr="00AA4219">
        <w:rPr>
          <w:rFonts w:cs="David"/>
          <w:b/>
          <w:bCs/>
          <w:color w:val="0070C0"/>
          <w:sz w:val="24"/>
          <w:szCs w:val="24"/>
          <w:u w:val="single"/>
          <w:rtl/>
        </w:rPr>
        <w:t>)</w:t>
      </w:r>
      <w:r w:rsidRPr="00AA4219">
        <w:rPr>
          <w:rFonts w:cs="David" w:hint="cs"/>
          <w:b/>
          <w:bCs/>
          <w:color w:val="0070C0"/>
          <w:sz w:val="24"/>
          <w:szCs w:val="24"/>
          <w:u w:val="single"/>
          <w:rtl/>
        </w:rPr>
        <w:t>:</w:t>
      </w:r>
      <w:r w:rsidRPr="00AA4219">
        <w:rPr>
          <w:rFonts w:cs="David" w:hint="cs"/>
          <w:color w:val="0070C0"/>
          <w:sz w:val="24"/>
          <w:szCs w:val="24"/>
          <w:rtl/>
        </w:rPr>
        <w:t xml:space="preserve"> </w:t>
      </w:r>
      <w:r w:rsidRPr="00AA4219">
        <w:rPr>
          <w:rFonts w:ascii="Arial" w:hAnsi="Arial" w:cs="David"/>
          <w:sz w:val="24"/>
          <w:szCs w:val="24"/>
          <w:rtl/>
        </w:rPr>
        <w:t xml:space="preserve">ככל שמדובר אך ורק בשידור של משחקי פוקר שנערכו במסגרת תכניות רכש זרות שהופקו בחו"ל, הרי שלכאורה אין בכך עבירה על סעיף 225 לחוק העונשין, שכן לא ניתן לראות את מי שמביא את התכניות לשידור בארץ כמי ש"מארגן או עורך" משחקי הימורים. השאלה הרלוונטית היא, מה טיבו של השידור? </w:t>
      </w:r>
    </w:p>
    <w:p w:rsidR="00AA4219" w:rsidRDefault="00AA4219" w:rsidP="00AA4219">
      <w:pPr>
        <w:rPr>
          <w:rFonts w:ascii="Arial" w:hAnsi="Arial" w:cs="David"/>
          <w:sz w:val="24"/>
          <w:szCs w:val="24"/>
          <w:rtl/>
        </w:rPr>
      </w:pPr>
      <w:r w:rsidRPr="00AA4219">
        <w:rPr>
          <w:rFonts w:ascii="Arial" w:hAnsi="Arial" w:cs="David"/>
          <w:sz w:val="24"/>
          <w:szCs w:val="24"/>
          <w:rtl/>
        </w:rPr>
        <w:t>אם זה שידור חוזר של משחקי פוקר שנערכו בעבר, או שידור של משחקי פוקר ב"מעגל סגור" וקבוע מראש של משתתפים, אז הוא לא מהווה עבירה על החוק. לעומת זאת, אם, למשל, מדובר בשידור ישיר של משחק אינטראקטיבי שמזמין את קהל הצופים להשתתף במשחקי הימורים במסגרת התכנית, או בשידור שבמהלכו מנחה התכנית מפנה את קהל הצופים לאתר אינטרנט שבו הם יוכלו להשתתף בעצמם במשחקי הימורים לאחר התכנית, אזי השידור עשוי להיחשב לארגון או עריכה של משחקי הימורים לפי סעיף 225, לפרסום משחקי הימורים לפי סעיף 227, או לסיוע לארגון, עריכה או פרסום של משחקי הימורים.</w:t>
      </w:r>
    </w:p>
    <w:p w:rsidR="00AA4219" w:rsidRDefault="00AA4219" w:rsidP="00AA4219">
      <w:pPr>
        <w:rPr>
          <w:rFonts w:ascii="Arial" w:hAnsi="Arial" w:cs="David"/>
          <w:sz w:val="24"/>
          <w:szCs w:val="24"/>
          <w:rtl/>
        </w:rPr>
      </w:pPr>
    </w:p>
    <w:p w:rsidR="000C3783" w:rsidRDefault="00C01F27" w:rsidP="000C3783">
      <w:pPr>
        <w:rPr>
          <w:rFonts w:ascii="Arial" w:hAnsi="Arial" w:cs="David"/>
          <w:sz w:val="24"/>
          <w:szCs w:val="24"/>
          <w:rtl/>
        </w:rPr>
      </w:pPr>
      <w:r>
        <w:rPr>
          <w:rFonts w:ascii="Arial" w:hAnsi="Arial" w:cs="David"/>
          <w:sz w:val="24"/>
          <w:szCs w:val="24"/>
        </w:rPr>
        <w:object w:dxaOrig="1933" w:dyaOrig="1251">
          <v:shape id="_x0000_i1044" type="#_x0000_t75" style="width:96pt;height:62.25pt" o:ole="">
            <v:imagedata r:id="rId9" o:title=""/>
          </v:shape>
          <o:OLEObject Type="Embed" ProgID="Package" ShapeID="_x0000_i1044" DrawAspect="Icon" ObjectID="_1623153824" r:id="rId10"/>
        </w:object>
      </w:r>
    </w:p>
    <w:p w:rsidR="000C3783" w:rsidRDefault="000C3783" w:rsidP="000C3783">
      <w:pPr>
        <w:rPr>
          <w:rFonts w:ascii="Arial" w:hAnsi="Arial" w:cs="David"/>
          <w:sz w:val="24"/>
          <w:szCs w:val="24"/>
          <w:rtl/>
        </w:rPr>
      </w:pPr>
    </w:p>
    <w:p w:rsidR="000C3783" w:rsidRDefault="000C3783" w:rsidP="000C3783">
      <w:pPr>
        <w:rPr>
          <w:rFonts w:ascii="Arial" w:hAnsi="Arial" w:cs="David"/>
          <w:sz w:val="24"/>
          <w:szCs w:val="24"/>
          <w:rtl/>
        </w:rPr>
      </w:pPr>
      <w:r>
        <w:rPr>
          <w:rFonts w:ascii="Arial" w:hAnsi="Arial" w:cs="David" w:hint="cs"/>
          <w:sz w:val="24"/>
          <w:szCs w:val="24"/>
          <w:rtl/>
        </w:rPr>
        <w:t xml:space="preserve">3. משפט משווה בנוגע לפוקר </w:t>
      </w:r>
      <w:proofErr w:type="spellStart"/>
      <w:r>
        <w:rPr>
          <w:rFonts w:ascii="Arial" w:hAnsi="Arial" w:cs="David" w:hint="cs"/>
          <w:sz w:val="24"/>
          <w:szCs w:val="24"/>
          <w:rtl/>
        </w:rPr>
        <w:t>כ''משחק</w:t>
      </w:r>
      <w:proofErr w:type="spellEnd"/>
      <w:r>
        <w:rPr>
          <w:rFonts w:ascii="Arial" w:hAnsi="Arial" w:cs="David" w:hint="cs"/>
          <w:sz w:val="24"/>
          <w:szCs w:val="24"/>
          <w:rtl/>
        </w:rPr>
        <w:t xml:space="preserve"> אסור'':</w:t>
      </w:r>
    </w:p>
    <w:p w:rsidR="000C3783" w:rsidRDefault="000C3783" w:rsidP="000C3783">
      <w:pPr>
        <w:rPr>
          <w:rFonts w:ascii="Arial" w:hAnsi="Arial" w:cs="David"/>
          <w:sz w:val="24"/>
          <w:szCs w:val="24"/>
          <w:rtl/>
        </w:rPr>
      </w:pPr>
      <w:r>
        <w:rPr>
          <w:rFonts w:ascii="Arial" w:hAnsi="Arial" w:cs="David" w:hint="cs"/>
          <w:sz w:val="24"/>
          <w:szCs w:val="24"/>
          <w:rtl/>
        </w:rPr>
        <w:t xml:space="preserve"> </w:t>
      </w:r>
      <w:bookmarkStart w:id="0" w:name="_MON_1616417523"/>
      <w:bookmarkEnd w:id="0"/>
      <w:r>
        <w:rPr>
          <w:rFonts w:ascii="Arial" w:hAnsi="Arial" w:cs="David"/>
          <w:sz w:val="24"/>
          <w:szCs w:val="24"/>
        </w:rPr>
        <w:object w:dxaOrig="1536" w:dyaOrig="993">
          <v:shape id="_x0000_i1027" type="#_x0000_t75" style="width:76.5pt;height:49.5pt" o:ole="">
            <v:imagedata r:id="rId11" o:title=""/>
          </v:shape>
          <o:OLEObject Type="Embed" ProgID="Word.Document.12" ShapeID="_x0000_i1027" DrawAspect="Icon" ObjectID="_1623153825" r:id="rId12">
            <o:FieldCodes>\s</o:FieldCodes>
          </o:OLEObject>
        </w:object>
      </w:r>
    </w:p>
    <w:p w:rsidR="000C3783" w:rsidRDefault="000C3783" w:rsidP="000C3783">
      <w:pPr>
        <w:rPr>
          <w:rFonts w:ascii="Arial" w:hAnsi="Arial" w:cs="David"/>
          <w:sz w:val="24"/>
          <w:szCs w:val="24"/>
          <w:rtl/>
        </w:rPr>
      </w:pPr>
    </w:p>
    <w:p w:rsidR="000C3783" w:rsidRDefault="000C3783" w:rsidP="000C3783">
      <w:pPr>
        <w:rPr>
          <w:rFonts w:ascii="Arial" w:hAnsi="Arial" w:cs="David"/>
          <w:sz w:val="24"/>
          <w:szCs w:val="24"/>
          <w:rtl/>
        </w:rPr>
      </w:pPr>
    </w:p>
    <w:p w:rsidR="000C3783" w:rsidRDefault="000C3783" w:rsidP="000C3783">
      <w:pPr>
        <w:rPr>
          <w:rFonts w:ascii="Arial" w:hAnsi="Arial" w:cs="David"/>
          <w:sz w:val="24"/>
          <w:szCs w:val="24"/>
          <w:rtl/>
        </w:rPr>
      </w:pPr>
    </w:p>
    <w:p w:rsidR="000C3783" w:rsidRDefault="000C3783" w:rsidP="000C3783">
      <w:pPr>
        <w:rPr>
          <w:rFonts w:ascii="Arial" w:hAnsi="Arial" w:cs="David"/>
          <w:sz w:val="24"/>
          <w:szCs w:val="24"/>
          <w:rtl/>
        </w:rPr>
      </w:pPr>
    </w:p>
    <w:p w:rsidR="000C3783" w:rsidRDefault="000C3783" w:rsidP="000C3783">
      <w:pPr>
        <w:rPr>
          <w:rFonts w:ascii="Arial" w:hAnsi="Arial" w:cs="David"/>
          <w:sz w:val="24"/>
          <w:szCs w:val="24"/>
          <w:rtl/>
        </w:rPr>
      </w:pPr>
      <w:r>
        <w:rPr>
          <w:rFonts w:ascii="Arial" w:hAnsi="Arial" w:cs="David" w:hint="cs"/>
          <w:sz w:val="24"/>
          <w:szCs w:val="24"/>
          <w:rtl/>
        </w:rPr>
        <w:t>4. סקירת פסיקה של העליון בנושא (דלילה מאוד):</w:t>
      </w:r>
    </w:p>
    <w:bookmarkStart w:id="1" w:name="_MON_1616417676"/>
    <w:bookmarkEnd w:id="1"/>
    <w:p w:rsidR="000C3783" w:rsidRDefault="00107656" w:rsidP="000C3783">
      <w:pPr>
        <w:rPr>
          <w:rFonts w:ascii="Arial" w:hAnsi="Arial" w:cs="David"/>
          <w:sz w:val="24"/>
          <w:szCs w:val="24"/>
          <w:rtl/>
        </w:rPr>
      </w:pPr>
      <w:r>
        <w:rPr>
          <w:rFonts w:ascii="Arial" w:hAnsi="Arial" w:cs="David"/>
          <w:sz w:val="24"/>
          <w:szCs w:val="24"/>
        </w:rPr>
        <w:object w:dxaOrig="1933" w:dyaOrig="1251">
          <v:shape id="_x0000_i1047" type="#_x0000_t75" style="width:96.75pt;height:62.25pt" o:ole="">
            <v:imagedata r:id="rId13" o:title=""/>
          </v:shape>
          <o:OLEObject Type="Embed" ProgID="Word.Document.12" ShapeID="_x0000_i1047" DrawAspect="Icon" ObjectID="_1623153826" r:id="rId14">
            <o:FieldCodes>\s</o:FieldCodes>
          </o:OLEObject>
        </w:object>
      </w:r>
    </w:p>
    <w:p w:rsidR="000C3783" w:rsidRDefault="000C3783" w:rsidP="00330BE2">
      <w:pPr>
        <w:spacing w:line="360" w:lineRule="auto"/>
        <w:rPr>
          <w:rFonts w:ascii="Arial" w:hAnsi="Arial" w:cs="David"/>
          <w:color w:val="1F497D"/>
          <w:sz w:val="24"/>
          <w:szCs w:val="24"/>
          <w:rtl/>
        </w:rPr>
      </w:pPr>
      <w:r w:rsidRPr="000C3783">
        <w:rPr>
          <w:rFonts w:ascii="Arial" w:hAnsi="Arial" w:cs="David" w:hint="cs"/>
          <w:sz w:val="24"/>
          <w:szCs w:val="24"/>
          <w:rtl/>
        </w:rPr>
        <w:t>5. סקירה של המחוזי בנושא (מ</w:t>
      </w:r>
      <w:r w:rsidR="00330BE2">
        <w:rPr>
          <w:rFonts w:ascii="Arial" w:hAnsi="Arial" w:cs="David" w:hint="cs"/>
          <w:sz w:val="24"/>
          <w:szCs w:val="24"/>
          <w:rtl/>
        </w:rPr>
        <w:t>עמיקה</w:t>
      </w:r>
      <w:r w:rsidRPr="000C3783">
        <w:rPr>
          <w:rFonts w:ascii="Arial" w:hAnsi="Arial" w:cs="David" w:hint="cs"/>
          <w:sz w:val="24"/>
          <w:szCs w:val="24"/>
          <w:rtl/>
        </w:rPr>
        <w:t xml:space="preserve"> יותר): </w:t>
      </w:r>
      <w:r w:rsidRPr="000C3783">
        <w:rPr>
          <w:rFonts w:ascii="Arial" w:hAnsi="Arial" w:cs="David"/>
          <w:sz w:val="24"/>
          <w:szCs w:val="24"/>
          <w:rtl/>
        </w:rPr>
        <w:t>שלושה פסקי דין מחוזיים שנעשה בהם ניתוח של העבירה. בעניין אילן בן שטרית ראי פסקה 6 לפסק הדין</w:t>
      </w:r>
      <w:r w:rsidR="005E2639">
        <w:rPr>
          <w:rFonts w:ascii="Arial" w:hAnsi="Arial" w:cs="David" w:hint="cs"/>
          <w:sz w:val="24"/>
          <w:szCs w:val="24"/>
          <w:rtl/>
        </w:rPr>
        <w:t xml:space="preserve"> (עמ' 310)</w:t>
      </w:r>
      <w:r w:rsidRPr="000C3783">
        <w:rPr>
          <w:rFonts w:ascii="Arial" w:hAnsi="Arial" w:cs="David"/>
          <w:sz w:val="24"/>
          <w:szCs w:val="24"/>
          <w:rtl/>
        </w:rPr>
        <w:t xml:space="preserve">; בעניין </w:t>
      </w:r>
      <w:proofErr w:type="spellStart"/>
      <w:r w:rsidRPr="000C3783">
        <w:rPr>
          <w:rFonts w:ascii="Arial" w:hAnsi="Arial" w:cs="David"/>
          <w:sz w:val="24"/>
          <w:szCs w:val="24"/>
          <w:rtl/>
        </w:rPr>
        <w:t>עראקי</w:t>
      </w:r>
      <w:proofErr w:type="spellEnd"/>
      <w:r w:rsidRPr="000C3783">
        <w:rPr>
          <w:rFonts w:ascii="Arial" w:hAnsi="Arial" w:cs="David"/>
          <w:sz w:val="24"/>
          <w:szCs w:val="24"/>
          <w:rtl/>
        </w:rPr>
        <w:t xml:space="preserve"> ראי פסקה 32 (וכן טענות הצדדים השזורות לאורך פסק הדין כולו); ובעניין </w:t>
      </w:r>
      <w:proofErr w:type="spellStart"/>
      <w:r w:rsidRPr="000C3783">
        <w:rPr>
          <w:rFonts w:ascii="Arial" w:hAnsi="Arial" w:cs="David"/>
          <w:sz w:val="24"/>
          <w:szCs w:val="24"/>
          <w:rtl/>
        </w:rPr>
        <w:t>אליושין</w:t>
      </w:r>
      <w:proofErr w:type="spellEnd"/>
      <w:r w:rsidRPr="000C3783">
        <w:rPr>
          <w:rFonts w:ascii="Arial" w:hAnsi="Arial" w:cs="David"/>
          <w:sz w:val="24"/>
          <w:szCs w:val="24"/>
          <w:rtl/>
        </w:rPr>
        <w:t xml:space="preserve"> ראי סעיף 35 ואילך</w:t>
      </w:r>
      <w:r>
        <w:rPr>
          <w:rFonts w:ascii="Arial" w:hAnsi="Arial" w:cs="David" w:hint="cs"/>
          <w:color w:val="1F497D"/>
          <w:sz w:val="24"/>
          <w:szCs w:val="24"/>
          <w:rtl/>
        </w:rPr>
        <w:t>.</w:t>
      </w:r>
    </w:p>
    <w:bookmarkStart w:id="2" w:name="_MON_1616417834"/>
    <w:bookmarkEnd w:id="2"/>
    <w:p w:rsidR="00330BE2" w:rsidRDefault="000C3783" w:rsidP="000C3783">
      <w:pPr>
        <w:spacing w:line="360" w:lineRule="auto"/>
        <w:rPr>
          <w:rFonts w:ascii="Arial" w:hAnsi="Arial" w:cs="David"/>
          <w:color w:val="1F497D"/>
          <w:sz w:val="24"/>
          <w:szCs w:val="24"/>
        </w:rPr>
      </w:pPr>
      <w:r>
        <w:rPr>
          <w:rFonts w:ascii="Arial" w:hAnsi="Arial" w:cs="David"/>
          <w:color w:val="1F497D"/>
          <w:sz w:val="24"/>
          <w:szCs w:val="24"/>
        </w:rPr>
        <w:object w:dxaOrig="1536" w:dyaOrig="993">
          <v:shape id="_x0000_i1038" type="#_x0000_t75" style="width:76.5pt;height:49.5pt" o:ole="">
            <v:imagedata r:id="rId15" o:title=""/>
          </v:shape>
          <o:OLEObject Type="Embed" ProgID="Word.Document.8" ShapeID="_x0000_i1038" DrawAspect="Icon" ObjectID="_1623153827" r:id="rId16">
            <o:FieldCodes>\s</o:FieldCodes>
          </o:OLEObject>
        </w:object>
      </w:r>
      <w:bookmarkStart w:id="3" w:name="_MON_1616417831"/>
      <w:bookmarkEnd w:id="3"/>
      <w:r>
        <w:rPr>
          <w:rFonts w:ascii="Arial" w:hAnsi="Arial" w:cs="David"/>
          <w:color w:val="1F497D"/>
          <w:sz w:val="24"/>
          <w:szCs w:val="24"/>
        </w:rPr>
        <w:object w:dxaOrig="1536" w:dyaOrig="993">
          <v:shape id="_x0000_i1039" type="#_x0000_t75" style="width:76.5pt;height:49.5pt" o:ole="">
            <v:imagedata r:id="rId17" o:title=""/>
          </v:shape>
          <o:OLEObject Type="Embed" ProgID="Word.Document.8" ShapeID="_x0000_i1039" DrawAspect="Icon" ObjectID="_1623153828" r:id="rId18">
            <o:FieldCodes>\s</o:FieldCodes>
          </o:OLEObject>
        </w:object>
      </w:r>
      <w:bookmarkStart w:id="4" w:name="_MON_1616417829"/>
      <w:bookmarkEnd w:id="4"/>
      <w:r>
        <w:rPr>
          <w:rFonts w:ascii="Arial" w:hAnsi="Arial" w:cs="David"/>
          <w:color w:val="1F497D"/>
          <w:sz w:val="24"/>
          <w:szCs w:val="24"/>
        </w:rPr>
        <w:object w:dxaOrig="1536" w:dyaOrig="993">
          <v:shape id="_x0000_i1040" type="#_x0000_t75" style="width:76.5pt;height:49.5pt" o:ole="">
            <v:imagedata r:id="rId19" o:title=""/>
          </v:shape>
          <o:OLEObject Type="Embed" ProgID="Word.Document.8" ShapeID="_x0000_i1040" DrawAspect="Icon" ObjectID="_1623153829" r:id="rId20">
            <o:FieldCodes>\s</o:FieldCodes>
          </o:OLEObject>
        </w:object>
      </w:r>
    </w:p>
    <w:p w:rsidR="00330BE2" w:rsidRDefault="001F6ADF" w:rsidP="00330BE2">
      <w:pPr>
        <w:rPr>
          <w:rFonts w:ascii="Arial" w:hAnsi="Arial" w:cs="David" w:hint="cs"/>
          <w:sz w:val="24"/>
          <w:szCs w:val="24"/>
          <w:rtl/>
        </w:rPr>
      </w:pPr>
      <w:bookmarkStart w:id="5" w:name="_GoBack"/>
      <w:r w:rsidRPr="00632520">
        <w:rPr>
          <w:rFonts w:ascii="Arial" w:hAnsi="Arial" w:cs="David" w:hint="cs"/>
          <w:b/>
          <w:bCs/>
          <w:sz w:val="24"/>
          <w:szCs w:val="24"/>
          <w:u w:val="single"/>
          <w:rtl/>
        </w:rPr>
        <w:t>בן שטרית</w:t>
      </w:r>
      <w:bookmarkEnd w:id="5"/>
      <w:r>
        <w:rPr>
          <w:rFonts w:ascii="Arial" w:hAnsi="Arial" w:cs="David" w:hint="cs"/>
          <w:sz w:val="24"/>
          <w:szCs w:val="24"/>
          <w:rtl/>
        </w:rPr>
        <w:t>:</w:t>
      </w:r>
    </w:p>
    <w:p w:rsidR="001F6ADF" w:rsidRPr="00F14001" w:rsidRDefault="001F6ADF" w:rsidP="001F6ADF">
      <w:pPr>
        <w:spacing w:after="0" w:line="360" w:lineRule="auto"/>
        <w:jc w:val="both"/>
        <w:rPr>
          <w:rFonts w:ascii="Arial" w:hAnsi="Arial" w:cs="David"/>
          <w:color w:val="000000"/>
          <w:sz w:val="24"/>
          <w:szCs w:val="24"/>
          <w:rtl/>
        </w:rPr>
      </w:pPr>
      <w:r>
        <w:rPr>
          <w:rFonts w:ascii="Arial" w:hAnsi="Arial" w:cs="David" w:hint="cs"/>
          <w:color w:val="000000"/>
          <w:sz w:val="24"/>
          <w:szCs w:val="24"/>
          <w:rtl/>
        </w:rPr>
        <w:t>"</w:t>
      </w:r>
      <w:r w:rsidRPr="00F14001">
        <w:rPr>
          <w:rFonts w:ascii="Arial" w:hAnsi="Arial" w:cs="David"/>
          <w:color w:val="000000"/>
          <w:sz w:val="24"/>
          <w:szCs w:val="24"/>
          <w:rtl/>
        </w:rPr>
        <w:t xml:space="preserve">אף אנו, לאחר ששמענו את הראיות, מצטרפים למסקנות הנ"ל. </w:t>
      </w:r>
    </w:p>
    <w:p w:rsidR="001F6ADF" w:rsidRPr="00F14001" w:rsidRDefault="001F6ADF" w:rsidP="001F6ADF">
      <w:pPr>
        <w:spacing w:after="0" w:line="360" w:lineRule="auto"/>
        <w:jc w:val="both"/>
        <w:rPr>
          <w:rFonts w:cs="David"/>
          <w:color w:val="000000"/>
          <w:sz w:val="24"/>
          <w:szCs w:val="24"/>
          <w:rtl/>
        </w:rPr>
      </w:pPr>
      <w:r w:rsidRPr="00F14001">
        <w:rPr>
          <w:rFonts w:ascii="Arial" w:hAnsi="Arial" w:cs="David"/>
          <w:color w:val="000000"/>
          <w:sz w:val="24"/>
          <w:szCs w:val="24"/>
          <w:rtl/>
        </w:rPr>
        <w:t xml:space="preserve">בנסיבות העניין, נראה לנו כי הוכח מעבר לספק סביר, כי תוצאותיו של משחק טקסס </w:t>
      </w:r>
      <w:proofErr w:type="spellStart"/>
      <w:r w:rsidRPr="00F14001">
        <w:rPr>
          <w:rFonts w:ascii="Arial" w:hAnsi="Arial" w:cs="David"/>
          <w:color w:val="000000"/>
          <w:sz w:val="24"/>
          <w:szCs w:val="24"/>
          <w:rtl/>
        </w:rPr>
        <w:t>הולדם</w:t>
      </w:r>
      <w:proofErr w:type="spellEnd"/>
      <w:r w:rsidRPr="00F14001">
        <w:rPr>
          <w:rFonts w:ascii="Arial" w:hAnsi="Arial" w:cs="David"/>
          <w:color w:val="000000"/>
          <w:sz w:val="24"/>
          <w:szCs w:val="24"/>
          <w:rtl/>
        </w:rPr>
        <w:t xml:space="preserve"> תלויות בגורל הרבה יותר מאשר בהבנה או ביכולת ועל כן הוא משחק אסור. מסקנה זו עולה באופן חד משמעי מראיות התביעה ומכללי המשחק.</w:t>
      </w:r>
    </w:p>
    <w:p w:rsidR="001F6ADF" w:rsidRPr="00F14001" w:rsidRDefault="001F6ADF" w:rsidP="001F6ADF">
      <w:pPr>
        <w:spacing w:after="120" w:line="360" w:lineRule="auto"/>
        <w:jc w:val="both"/>
        <w:rPr>
          <w:rFonts w:ascii="Arial" w:hAnsi="Arial" w:cs="David"/>
          <w:color w:val="000000"/>
          <w:sz w:val="24"/>
          <w:szCs w:val="24"/>
          <w:rtl/>
        </w:rPr>
      </w:pPr>
      <w:r w:rsidRPr="00F14001">
        <w:rPr>
          <w:rFonts w:ascii="Arial" w:hAnsi="Arial" w:cs="David"/>
          <w:color w:val="000000"/>
          <w:sz w:val="24"/>
          <w:szCs w:val="24"/>
          <w:rtl/>
        </w:rPr>
        <w:t xml:space="preserve">על פי חוקי המשחק, בכל שלבי קבלת ההחלטות, שחקן שקיבל קלפים יכול לעשות אחת משתיים: לסגת, ולהפסיד את סכום ההימור הראשוני, או להמשיך במשחק, ולקוות כי יתר השחקנים ייסוגו. אם השחקן בחר לסגת, הרי שכישוריו לא עזרו לו לזכות, והוא הפסיד את סכום ההימור הראשוני. אם בחר להמשיך, הוא תלוי בהחלטותיהם של יתר השחקנים, אשר אין לו דרך להשפיע עליהם – והחשוב מכל, שהתוצאה הסופית נקבעת על פי הצירוף של שני הקלפים הראשונים, שאותם קיבל על פי הגורל, והצירוף שניתן לעשות עם אותם קלפים, יחד עם הקלפים הפתוחים שהונחו, כך שגם בסופו של יום, התוצאה הסופית תלויה במידה רבה יותר בגורל. </w:t>
      </w:r>
      <w:r>
        <w:rPr>
          <w:rFonts w:ascii="Arial" w:hAnsi="Arial" w:cs="David" w:hint="cs"/>
          <w:color w:val="000000"/>
          <w:sz w:val="24"/>
          <w:szCs w:val="24"/>
          <w:rtl/>
        </w:rPr>
        <w:t>"</w:t>
      </w:r>
    </w:p>
    <w:p w:rsidR="001F6ADF" w:rsidRDefault="001F6ADF" w:rsidP="00330BE2">
      <w:pPr>
        <w:rPr>
          <w:rFonts w:ascii="Arial" w:hAnsi="Arial" w:cs="David" w:hint="cs"/>
          <w:sz w:val="24"/>
          <w:szCs w:val="24"/>
          <w:rtl/>
        </w:rPr>
      </w:pPr>
    </w:p>
    <w:p w:rsidR="001F6ADF" w:rsidRDefault="001F6ADF" w:rsidP="00330BE2">
      <w:pPr>
        <w:rPr>
          <w:rFonts w:ascii="Arial" w:hAnsi="Arial" w:cs="David" w:hint="cs"/>
          <w:sz w:val="24"/>
          <w:szCs w:val="24"/>
          <w:rtl/>
        </w:rPr>
      </w:pPr>
      <w:proofErr w:type="spellStart"/>
      <w:r w:rsidRPr="00632520">
        <w:rPr>
          <w:rFonts w:ascii="Arial" w:hAnsi="Arial" w:cs="David" w:hint="cs"/>
          <w:b/>
          <w:bCs/>
          <w:sz w:val="24"/>
          <w:szCs w:val="24"/>
          <w:u w:val="single"/>
          <w:rtl/>
        </w:rPr>
        <w:t>עראקי</w:t>
      </w:r>
      <w:proofErr w:type="spellEnd"/>
      <w:r>
        <w:rPr>
          <w:rFonts w:ascii="Arial" w:hAnsi="Arial" w:cs="David" w:hint="cs"/>
          <w:sz w:val="24"/>
          <w:szCs w:val="24"/>
          <w:rtl/>
        </w:rPr>
        <w:t>:</w:t>
      </w:r>
    </w:p>
    <w:p w:rsidR="001F6ADF" w:rsidRDefault="001F6ADF" w:rsidP="001F6ADF">
      <w:pPr>
        <w:spacing w:line="360" w:lineRule="auto"/>
        <w:ind w:left="720" w:hanging="720"/>
        <w:jc w:val="both"/>
        <w:rPr>
          <w:rFonts w:ascii="Arial" w:hAnsi="Arial"/>
          <w:rtl/>
        </w:rPr>
      </w:pPr>
      <w:r>
        <w:rPr>
          <w:rFonts w:ascii="Arial" w:hAnsi="Arial" w:hint="cs"/>
          <w:rtl/>
        </w:rPr>
        <w:t>"</w:t>
      </w:r>
      <w:r>
        <w:rPr>
          <w:rFonts w:ascii="Arial" w:hAnsi="Arial" w:hint="cs"/>
          <w:rtl/>
        </w:rPr>
        <w:t xml:space="preserve">כאמור, בית המשפט העדיף את עדות העד ומסקנותיו על פני מסקנותיו של המומחה מטעם המערערת, אשר הודה כי מעולם לא שיחק בפועל את משחק הפוקר האמור, וכי מסקנותיו הן תאורטיות. לדעתנו, לכאורה, ראוי היה כי גם המערערת לא תסתפק באמירות העדים אלא תגיש חוות דעת של מומחה בנושא, ככל שהיה בנמצא מומחה שהיה סבור אחרת מהמומחה מטעם המשיבה (השוו: רע"א 7141/13 הנ"ל). עם זאת נוכח המסקנה כי המדובר בקביעות עובדתיות </w:t>
      </w:r>
      <w:r>
        <w:rPr>
          <w:rFonts w:ascii="Arial" w:hAnsi="Arial"/>
          <w:rtl/>
        </w:rPr>
        <w:t>–</w:t>
      </w:r>
      <w:r>
        <w:rPr>
          <w:rFonts w:ascii="Arial" w:hAnsi="Arial" w:hint="cs"/>
          <w:rtl/>
        </w:rPr>
        <w:t xml:space="preserve"> וכידוע, אין בית משפט של ערעור נוטה להתערב בקביעות עובדתיות של הערכאה המבררת - אין מקום שלא לקבל את מסקנתו של בית משפט  קמא. </w:t>
      </w:r>
    </w:p>
    <w:p w:rsidR="001F6ADF" w:rsidRDefault="001F6ADF" w:rsidP="001F6ADF">
      <w:pPr>
        <w:rPr>
          <w:rFonts w:ascii="Arial" w:hAnsi="Arial" w:cs="David"/>
          <w:sz w:val="24"/>
          <w:szCs w:val="24"/>
        </w:rPr>
      </w:pPr>
      <w:r>
        <w:rPr>
          <w:rFonts w:ascii="Arial" w:hAnsi="Arial"/>
          <w:rtl/>
        </w:rPr>
        <w:tab/>
      </w:r>
      <w:r>
        <w:rPr>
          <w:rFonts w:ascii="Arial" w:hAnsi="Arial" w:hint="cs"/>
          <w:rtl/>
        </w:rPr>
        <w:t>עוד יש להוסיף, כי ספ</w:t>
      </w:r>
      <w:r>
        <w:rPr>
          <w:rFonts w:ascii="Arial" w:hAnsi="Arial" w:hint="cs"/>
          <w:u w:val="single"/>
          <w:rtl/>
        </w:rPr>
        <w:t xml:space="preserve">ק רב בעינינו אם השחקנים המשחקים את המשחק בפועל אכן מחשבים חישובים מתמטיים הסתברותיים מסובכים, כפי שערך המומחה מטעם המערערת. גם אם </w:t>
      </w:r>
      <w:r>
        <w:rPr>
          <w:rFonts w:ascii="Arial" w:hAnsi="Arial" w:hint="cs"/>
          <w:u w:val="single"/>
          <w:rtl/>
        </w:rPr>
        <w:lastRenderedPageBreak/>
        <w:t>ניתן לומר כי כל שחקן במשחק זה עורך חישובים כאלו ואחרים לגבי ההסתברות של קלפים אלו או אחרים יהיו בידי חבריו היושבים סביב לשולחן, דומה כי ניתן לומר שאת החישובים שערך המומחה מטעם המערערת אין מי מהם שעורך אותם. החישובים שערך המומחה מטעם המערערת הינם חישובים מתמטיים, מסובכים, אשר דומה כי רק מערכת ממוחשבת יכולה לערוך אותם, ומערכת זו איננה בידי השחקנים המשחקים את המשחק.</w:t>
      </w:r>
      <w:r>
        <w:rPr>
          <w:rFonts w:ascii="Arial" w:hAnsi="Arial" w:cs="David" w:hint="cs"/>
          <w:sz w:val="24"/>
          <w:szCs w:val="24"/>
          <w:rtl/>
        </w:rPr>
        <w:t>"</w:t>
      </w:r>
    </w:p>
    <w:p w:rsidR="00632520" w:rsidRDefault="00632520" w:rsidP="00330BE2">
      <w:pPr>
        <w:tabs>
          <w:tab w:val="left" w:pos="5891"/>
        </w:tabs>
        <w:rPr>
          <w:rFonts w:ascii="Arial" w:hAnsi="Arial" w:cs="David" w:hint="cs"/>
          <w:sz w:val="24"/>
          <w:szCs w:val="24"/>
          <w:rtl/>
        </w:rPr>
      </w:pPr>
    </w:p>
    <w:p w:rsidR="00632520" w:rsidRDefault="00632520" w:rsidP="00330BE2">
      <w:pPr>
        <w:tabs>
          <w:tab w:val="left" w:pos="5891"/>
        </w:tabs>
        <w:rPr>
          <w:rFonts w:ascii="Arial" w:hAnsi="Arial" w:cs="David" w:hint="cs"/>
          <w:sz w:val="24"/>
          <w:szCs w:val="24"/>
          <w:rtl/>
        </w:rPr>
      </w:pPr>
      <w:proofErr w:type="spellStart"/>
      <w:r w:rsidRPr="00632520">
        <w:rPr>
          <w:rFonts w:ascii="Arial" w:hAnsi="Arial" w:cs="David" w:hint="cs"/>
          <w:b/>
          <w:bCs/>
          <w:sz w:val="24"/>
          <w:szCs w:val="24"/>
          <w:u w:val="single"/>
          <w:rtl/>
        </w:rPr>
        <w:t>אליושין</w:t>
      </w:r>
      <w:proofErr w:type="spellEnd"/>
      <w:r>
        <w:rPr>
          <w:rFonts w:ascii="Arial" w:hAnsi="Arial" w:cs="David" w:hint="cs"/>
          <w:sz w:val="24"/>
          <w:szCs w:val="24"/>
          <w:rtl/>
        </w:rPr>
        <w:t>:</w:t>
      </w:r>
    </w:p>
    <w:p w:rsidR="00632520" w:rsidRDefault="00632520" w:rsidP="00632520">
      <w:pPr>
        <w:spacing w:after="120" w:line="360" w:lineRule="auto"/>
        <w:ind w:left="720" w:hanging="720"/>
        <w:jc w:val="both"/>
        <w:rPr>
          <w:rFonts w:ascii="Arial" w:hAnsi="Arial"/>
          <w:rtl/>
        </w:rPr>
      </w:pPr>
      <w:r>
        <w:rPr>
          <w:rFonts w:ascii="Arial" w:hAnsi="Arial" w:hint="cs"/>
          <w:rtl/>
        </w:rPr>
        <w:t>"</w:t>
      </w:r>
      <w:r>
        <w:rPr>
          <w:rFonts w:ascii="Arial" w:hAnsi="Arial"/>
          <w:rtl/>
        </w:rPr>
        <w:t>המבחנים להכרעה בשאלה איזהו המשחק שתוצאותיו תלויות יותר בגורל מאשר בהבנה או ביכולת נקבעו עוד ב</w:t>
      </w:r>
      <w:hyperlink r:id="rId21" w:history="1">
        <w:r>
          <w:rPr>
            <w:rFonts w:ascii="Arial" w:hAnsi="Arial"/>
            <w:color w:val="0000FF"/>
            <w:u w:val="single"/>
            <w:rtl/>
          </w:rPr>
          <w:t>ע"פ 207/59 כהן נ' היועץ המשפטי לממשלה, פ"ד יד</w:t>
        </w:r>
      </w:hyperlink>
      <w:r>
        <w:rPr>
          <w:rFonts w:ascii="Arial" w:hAnsi="Arial"/>
          <w:rtl/>
        </w:rPr>
        <w:t xml:space="preserve"> 2213 (1960), במילים הבאות </w:t>
      </w:r>
      <w:r>
        <w:rPr>
          <w:rFonts w:ascii="Arial" w:hAnsi="Arial" w:hint="cs"/>
          <w:rtl/>
        </w:rPr>
        <w:t>(</w:t>
      </w:r>
      <w:r>
        <w:rPr>
          <w:rFonts w:ascii="Arial" w:hAnsi="Arial"/>
          <w:rtl/>
        </w:rPr>
        <w:t>כב' מ"מ הנשיא (כתוארו אז) השופט אגרנט, עמ' 2225 מול האות ד</w:t>
      </w:r>
      <w:r>
        <w:rPr>
          <w:rFonts w:ascii="Arial" w:hAnsi="Arial" w:hint="cs"/>
          <w:rtl/>
        </w:rPr>
        <w:t>)</w:t>
      </w:r>
      <w:r>
        <w:rPr>
          <w:rFonts w:ascii="Arial" w:hAnsi="Arial"/>
          <w:rtl/>
        </w:rPr>
        <w:t xml:space="preserve">: </w:t>
      </w:r>
    </w:p>
    <w:p w:rsidR="00632520" w:rsidRDefault="00632520" w:rsidP="00632520">
      <w:pPr>
        <w:spacing w:after="120" w:line="360" w:lineRule="auto"/>
        <w:ind w:left="1440" w:right="1276"/>
        <w:jc w:val="both"/>
        <w:rPr>
          <w:rFonts w:ascii="Arial" w:hAnsi="Arial"/>
          <w:b/>
          <w:bCs/>
          <w:rtl/>
        </w:rPr>
      </w:pPr>
      <w:r>
        <w:rPr>
          <w:rFonts w:ascii="Arial" w:hAnsi="Arial"/>
          <w:b/>
          <w:bCs/>
          <w:rtl/>
        </w:rPr>
        <w:t>"הנני מסכם, אפוא, את דעתי כך: כדי שמשחק קלפים כלשהו ייראה כ"משחק הדורש חכמה" הכרחי שיסוד זה יהווה הגורם המכריע לגבי תוצאת המשחק, ולכן לא יספיק הדבר, כי אותו יסוד ממלא תפקיד "ממשי" במקום שההשפעה המכרעת על התוצאה הינה בידי המזל או הגורל. עליי להוסיף, באשר לאופן החלת המבחן הזה על מקרה קונקרטי, את שניים אלה:</w:t>
      </w:r>
    </w:p>
    <w:p w:rsidR="00632520" w:rsidRDefault="00632520" w:rsidP="00632520">
      <w:pPr>
        <w:spacing w:after="120" w:line="360" w:lineRule="auto"/>
        <w:ind w:left="2160" w:right="1276"/>
        <w:jc w:val="both"/>
        <w:rPr>
          <w:rFonts w:ascii="Arial" w:hAnsi="Arial"/>
          <w:b/>
          <w:bCs/>
          <w:rtl/>
        </w:rPr>
      </w:pPr>
      <w:r>
        <w:rPr>
          <w:rFonts w:ascii="Arial" w:hAnsi="Arial"/>
          <w:b/>
          <w:bCs/>
          <w:rtl/>
        </w:rPr>
        <w:t>(1) יש לענות על השאלה, איזה משני היסודות האמורים, משמש "הגורם המכריע" לאור טיבו "</w:t>
      </w:r>
      <w:proofErr w:type="spellStart"/>
      <w:r>
        <w:rPr>
          <w:rFonts w:ascii="Arial" w:hAnsi="Arial"/>
          <w:b/>
          <w:bCs/>
          <w:rtl/>
        </w:rPr>
        <w:t>האינטרינסי</w:t>
      </w:r>
      <w:proofErr w:type="spellEnd"/>
      <w:r>
        <w:rPr>
          <w:rFonts w:ascii="Arial" w:hAnsi="Arial"/>
          <w:b/>
          <w:bCs/>
          <w:rtl/>
        </w:rPr>
        <w:t xml:space="preserve">" של המשחק; הווה אומר, כי אינו קובע כאן כשרונו (או ניסיונו) של השחקן המעולה או המומחה... </w:t>
      </w:r>
    </w:p>
    <w:p w:rsidR="00632520" w:rsidRDefault="00632520" w:rsidP="00632520">
      <w:pPr>
        <w:spacing w:after="120" w:line="360" w:lineRule="auto"/>
        <w:ind w:left="2160" w:right="1276"/>
        <w:jc w:val="both"/>
        <w:rPr>
          <w:rFonts w:ascii="Arial" w:hAnsi="Arial"/>
          <w:b/>
          <w:bCs/>
          <w:rtl/>
        </w:rPr>
      </w:pPr>
      <w:r>
        <w:rPr>
          <w:rFonts w:ascii="Arial" w:hAnsi="Arial"/>
          <w:b/>
          <w:bCs/>
          <w:rtl/>
        </w:rPr>
        <w:t xml:space="preserve">(2) את טיבו </w:t>
      </w:r>
      <w:proofErr w:type="spellStart"/>
      <w:r>
        <w:rPr>
          <w:rFonts w:ascii="Arial" w:hAnsi="Arial"/>
          <w:b/>
          <w:bCs/>
          <w:rtl/>
        </w:rPr>
        <w:t>האינטרינסי</w:t>
      </w:r>
      <w:proofErr w:type="spellEnd"/>
      <w:r>
        <w:rPr>
          <w:rFonts w:ascii="Arial" w:hAnsi="Arial"/>
          <w:b/>
          <w:bCs/>
          <w:rtl/>
        </w:rPr>
        <w:t xml:space="preserve"> של משחק קלפים מסוים, יש לקבוע על סמך העדויות שהובאו במשפט בדבר כללי המשחק ומטרתו. ברי כי זוהי קביעה עובדתית טהורה ולאורה יש להסיק, על דרך ההיגיון, מהו היסוד, משני היסודות הנזכרים, שיש לו השפעה מכרעת על תוצאת המשחק". </w:t>
      </w:r>
    </w:p>
    <w:p w:rsidR="00632520" w:rsidRDefault="00632520" w:rsidP="00632520">
      <w:pPr>
        <w:spacing w:after="120" w:line="360" w:lineRule="auto"/>
        <w:ind w:left="720" w:hanging="720"/>
        <w:rPr>
          <w:rFonts w:ascii="Arial" w:hAnsi="Arial"/>
          <w:rtl/>
        </w:rPr>
      </w:pPr>
    </w:p>
    <w:p w:rsidR="00632520" w:rsidRDefault="00632520" w:rsidP="00632520">
      <w:pPr>
        <w:spacing w:after="120" w:line="360" w:lineRule="auto"/>
        <w:ind w:left="720"/>
        <w:rPr>
          <w:rFonts w:ascii="Arial" w:hAnsi="Arial"/>
          <w:u w:val="single"/>
          <w:rtl/>
        </w:rPr>
      </w:pPr>
      <w:r>
        <w:rPr>
          <w:rFonts w:ascii="Arial" w:hAnsi="Arial"/>
          <w:u w:val="single"/>
          <w:rtl/>
        </w:rPr>
        <w:t>בהתאם לדברים דלעיל, השאלה מהו היסוד המכריע במשחק – גורל או הבנה ויכולת – היא בעיקרה שאלה עובדתית אשר יש להוכיח במשפט.</w:t>
      </w:r>
    </w:p>
    <w:p w:rsidR="00632520" w:rsidRDefault="00632520" w:rsidP="00632520">
      <w:pPr>
        <w:spacing w:after="120" w:line="360" w:lineRule="auto"/>
        <w:ind w:left="720"/>
        <w:rPr>
          <w:rFonts w:ascii="Arial" w:hAnsi="Arial"/>
          <w:u w:val="single"/>
          <w:rtl/>
        </w:rPr>
      </w:pPr>
      <w:proofErr w:type="spellStart"/>
      <w:r>
        <w:rPr>
          <w:rFonts w:ascii="Arial" w:hAnsi="Arial"/>
          <w:u w:val="single"/>
          <w:rtl/>
        </w:rPr>
        <w:t>לענין</w:t>
      </w:r>
      <w:proofErr w:type="spellEnd"/>
      <w:r>
        <w:rPr>
          <w:rFonts w:ascii="Arial" w:hAnsi="Arial"/>
          <w:u w:val="single"/>
          <w:rtl/>
        </w:rPr>
        <w:t xml:space="preserve"> זה ראו גם:</w:t>
      </w:r>
    </w:p>
    <w:p w:rsidR="00632520" w:rsidRDefault="00632520" w:rsidP="00632520">
      <w:pPr>
        <w:spacing w:after="120" w:line="360" w:lineRule="auto"/>
        <w:ind w:left="720"/>
        <w:rPr>
          <w:rFonts w:ascii="Arial" w:hAnsi="Arial"/>
          <w:rtl/>
        </w:rPr>
      </w:pPr>
      <w:hyperlink r:id="rId22" w:history="1">
        <w:r>
          <w:rPr>
            <w:rFonts w:ascii="Arial" w:hAnsi="Arial"/>
            <w:color w:val="0000FF"/>
            <w:u w:val="single"/>
            <w:rtl/>
          </w:rPr>
          <w:t>ע"פ 499/78 חילו נ' מדינת ישראל, פ"ד ל"ג</w:t>
        </w:r>
      </w:hyperlink>
      <w:r>
        <w:rPr>
          <w:rFonts w:ascii="Arial" w:hAnsi="Arial"/>
          <w:rtl/>
        </w:rPr>
        <w:t xml:space="preserve"> (2) 461 (1979); </w:t>
      </w:r>
    </w:p>
    <w:p w:rsidR="00632520" w:rsidRDefault="00632520" w:rsidP="00632520">
      <w:pPr>
        <w:spacing w:after="120" w:line="360" w:lineRule="auto"/>
        <w:ind w:left="720"/>
        <w:rPr>
          <w:rFonts w:ascii="Arial" w:hAnsi="Arial"/>
          <w:rtl/>
        </w:rPr>
      </w:pPr>
      <w:hyperlink r:id="rId23" w:history="1">
        <w:r>
          <w:rPr>
            <w:rFonts w:ascii="Arial" w:hAnsi="Arial"/>
            <w:color w:val="0000FF"/>
            <w:u w:val="single"/>
            <w:rtl/>
          </w:rPr>
          <w:t>ע"א 7141/13</w:t>
        </w:r>
      </w:hyperlink>
      <w:r>
        <w:rPr>
          <w:rFonts w:ascii="Arial" w:hAnsi="Arial"/>
          <w:rtl/>
        </w:rPr>
        <w:t xml:space="preserve"> </w:t>
      </w:r>
      <w:proofErr w:type="spellStart"/>
      <w:r>
        <w:rPr>
          <w:rFonts w:ascii="Arial" w:hAnsi="Arial"/>
          <w:b/>
          <w:bCs/>
          <w:rtl/>
        </w:rPr>
        <w:t>קונקטיב</w:t>
      </w:r>
      <w:proofErr w:type="spellEnd"/>
      <w:r>
        <w:rPr>
          <w:rFonts w:ascii="Arial" w:hAnsi="Arial"/>
          <w:b/>
          <w:bCs/>
          <w:rtl/>
        </w:rPr>
        <w:t xml:space="preserve"> </w:t>
      </w:r>
      <w:proofErr w:type="spellStart"/>
      <w:r>
        <w:rPr>
          <w:rFonts w:ascii="Arial" w:hAnsi="Arial"/>
          <w:b/>
          <w:bCs/>
          <w:rtl/>
        </w:rPr>
        <w:t>גרופ</w:t>
      </w:r>
      <w:proofErr w:type="spellEnd"/>
      <w:r>
        <w:rPr>
          <w:rFonts w:ascii="Arial" w:hAnsi="Arial"/>
          <w:b/>
          <w:bCs/>
          <w:rtl/>
        </w:rPr>
        <w:t xml:space="preserve"> בע"מ נ' </w:t>
      </w:r>
      <w:proofErr w:type="spellStart"/>
      <w:r>
        <w:rPr>
          <w:rFonts w:ascii="Arial" w:hAnsi="Arial"/>
          <w:b/>
          <w:bCs/>
          <w:rtl/>
        </w:rPr>
        <w:t>דבוש</w:t>
      </w:r>
      <w:proofErr w:type="spellEnd"/>
      <w:r>
        <w:rPr>
          <w:rFonts w:ascii="Arial" w:hAnsi="Arial"/>
          <w:rtl/>
        </w:rPr>
        <w:t xml:space="preserve"> </w:t>
      </w:r>
      <w:r>
        <w:rPr>
          <w:rtl/>
        </w:rPr>
        <w:t xml:space="preserve">[פורסם בנבו] </w:t>
      </w:r>
      <w:r>
        <w:rPr>
          <w:rFonts w:ascii="Arial" w:hAnsi="Arial"/>
          <w:rtl/>
        </w:rPr>
        <w:t xml:space="preserve">(5.11.2015). </w:t>
      </w:r>
    </w:p>
    <w:p w:rsidR="00632520" w:rsidRDefault="00632520" w:rsidP="00632520">
      <w:pPr>
        <w:spacing w:after="120" w:line="360" w:lineRule="auto"/>
        <w:rPr>
          <w:rFonts w:ascii="Arial" w:hAnsi="Arial"/>
          <w:rtl/>
        </w:rPr>
      </w:pPr>
    </w:p>
    <w:p w:rsidR="00632520" w:rsidRDefault="00632520" w:rsidP="00632520">
      <w:pPr>
        <w:spacing w:after="120" w:line="360" w:lineRule="auto"/>
        <w:ind w:left="720" w:hanging="720"/>
        <w:jc w:val="both"/>
        <w:rPr>
          <w:rFonts w:ascii="Arial" w:hAnsi="Arial"/>
          <w:rtl/>
        </w:rPr>
      </w:pPr>
      <w:r>
        <w:rPr>
          <w:rFonts w:ascii="Arial" w:hAnsi="Arial"/>
          <w:rtl/>
        </w:rPr>
        <w:lastRenderedPageBreak/>
        <w:t>49.</w:t>
      </w:r>
      <w:r>
        <w:rPr>
          <w:rFonts w:ascii="Arial" w:hAnsi="Arial"/>
          <w:rtl/>
        </w:rPr>
        <w:tab/>
      </w:r>
      <w:proofErr w:type="spellStart"/>
      <w:r>
        <w:rPr>
          <w:rFonts w:ascii="Arial" w:hAnsi="Arial"/>
          <w:rtl/>
        </w:rPr>
        <w:t>ישום</w:t>
      </w:r>
      <w:proofErr w:type="spellEnd"/>
      <w:r>
        <w:rPr>
          <w:rFonts w:ascii="Arial" w:hAnsi="Arial"/>
          <w:rtl/>
        </w:rPr>
        <w:t xml:space="preserve"> מבחנים אלה על אודות משחק פוקר, נעשה ב</w:t>
      </w:r>
      <w:hyperlink r:id="rId24" w:history="1">
        <w:r>
          <w:rPr>
            <w:rFonts w:ascii="Arial" w:hAnsi="Arial"/>
            <w:color w:val="0000FF"/>
            <w:u w:val="single"/>
            <w:rtl/>
          </w:rPr>
          <w:t>ע"פ (י-ם) 25439-05-15</w:t>
        </w:r>
      </w:hyperlink>
      <w:r>
        <w:rPr>
          <w:rFonts w:ascii="Arial" w:hAnsi="Arial"/>
          <w:rtl/>
        </w:rPr>
        <w:t xml:space="preserve"> </w:t>
      </w:r>
      <w:r>
        <w:rPr>
          <w:rFonts w:ascii="Arial" w:hAnsi="Arial"/>
          <w:b/>
          <w:bCs/>
          <w:rtl/>
        </w:rPr>
        <w:t xml:space="preserve">לימור </w:t>
      </w:r>
      <w:proofErr w:type="spellStart"/>
      <w:r>
        <w:rPr>
          <w:rFonts w:ascii="Arial" w:hAnsi="Arial"/>
          <w:b/>
          <w:bCs/>
          <w:rtl/>
        </w:rPr>
        <w:t>עראקי</w:t>
      </w:r>
      <w:proofErr w:type="spellEnd"/>
      <w:r>
        <w:rPr>
          <w:rFonts w:ascii="Arial" w:hAnsi="Arial"/>
          <w:b/>
          <w:bCs/>
          <w:rtl/>
        </w:rPr>
        <w:t xml:space="preserve"> נגד</w:t>
      </w:r>
      <w:r>
        <w:rPr>
          <w:rFonts w:ascii="Arial" w:hAnsi="Arial"/>
          <w:rtl/>
        </w:rPr>
        <w:t xml:space="preserve"> </w:t>
      </w:r>
      <w:r>
        <w:rPr>
          <w:rFonts w:ascii="Arial" w:hAnsi="Arial"/>
          <w:b/>
          <w:bCs/>
          <w:rtl/>
        </w:rPr>
        <w:t>מדינת ישראל</w:t>
      </w:r>
      <w:r>
        <w:rPr>
          <w:rFonts w:ascii="Arial" w:hAnsi="Arial"/>
          <w:rtl/>
        </w:rPr>
        <w:t xml:space="preserve"> </w:t>
      </w:r>
      <w:r>
        <w:rPr>
          <w:rtl/>
        </w:rPr>
        <w:t xml:space="preserve">[פורסם בנבו] </w:t>
      </w:r>
      <w:r>
        <w:rPr>
          <w:rFonts w:ascii="Arial" w:hAnsi="Arial"/>
          <w:rtl/>
        </w:rPr>
        <w:t>(25.12.15), ושם נקבע, כי משחק פוקר הינו משחק שתוצאתו נקבעת יותר בידי הגורל מאשר ביכולת או הבנה. כך נקבע שם, גם בהסתמך על ניתוח עדויות של שחקני פוקר מקצועיים שהעידו בפני בית משפט קמא, והודו כי מרכיב הגורל דומיננטי יותר ממרכיב ההבנה או היכולת.</w:t>
      </w:r>
    </w:p>
    <w:p w:rsidR="00632520" w:rsidRDefault="00632520" w:rsidP="00632520">
      <w:pPr>
        <w:spacing w:after="120" w:line="360" w:lineRule="auto"/>
        <w:ind w:left="720" w:hanging="720"/>
        <w:jc w:val="both"/>
        <w:rPr>
          <w:rFonts w:ascii="Arial" w:hAnsi="Arial"/>
          <w:rtl/>
        </w:rPr>
      </w:pPr>
      <w:r>
        <w:rPr>
          <w:rFonts w:ascii="Arial" w:hAnsi="Arial"/>
          <w:rtl/>
        </w:rPr>
        <w:t>50.</w:t>
      </w:r>
      <w:r>
        <w:rPr>
          <w:rFonts w:ascii="Arial" w:hAnsi="Arial"/>
          <w:rtl/>
        </w:rPr>
        <w:tab/>
        <w:t xml:space="preserve">קביעה דומה, כי משחק פוקר הינו משחק שתוצאתו נקבעת יותר בידי הגורל מאשר ביכולת או הבנה, נקבעה גם </w:t>
      </w:r>
      <w:proofErr w:type="spellStart"/>
      <w:r>
        <w:rPr>
          <w:rFonts w:ascii="Arial" w:hAnsi="Arial"/>
          <w:rtl/>
        </w:rPr>
        <w:t>ב</w:t>
      </w:r>
      <w:hyperlink r:id="rId25" w:history="1">
        <w:r>
          <w:rPr>
            <w:rFonts w:ascii="Arial" w:hAnsi="Arial"/>
            <w:color w:val="0000FF"/>
            <w:u w:val="single"/>
            <w:rtl/>
          </w:rPr>
          <w:t>ת"פ</w:t>
        </w:r>
        <w:proofErr w:type="spellEnd"/>
        <w:r>
          <w:rPr>
            <w:rFonts w:ascii="Arial" w:hAnsi="Arial"/>
            <w:color w:val="0000FF"/>
            <w:u w:val="single"/>
            <w:rtl/>
          </w:rPr>
          <w:t xml:space="preserve"> (ת"א) 34949-07-15</w:t>
        </w:r>
      </w:hyperlink>
      <w:r>
        <w:rPr>
          <w:rFonts w:ascii="Arial" w:hAnsi="Arial"/>
          <w:rtl/>
        </w:rPr>
        <w:t xml:space="preserve"> </w:t>
      </w:r>
      <w:r>
        <w:rPr>
          <w:rFonts w:ascii="Arial" w:hAnsi="Arial"/>
          <w:b/>
          <w:bCs/>
          <w:rtl/>
        </w:rPr>
        <w:t xml:space="preserve">מדינת ישראל נ' </w:t>
      </w:r>
      <w:proofErr w:type="spellStart"/>
      <w:r>
        <w:rPr>
          <w:rFonts w:ascii="Arial" w:hAnsi="Arial"/>
          <w:b/>
          <w:bCs/>
          <w:rtl/>
        </w:rPr>
        <w:t>לשוביץ</w:t>
      </w:r>
      <w:proofErr w:type="spellEnd"/>
      <w:r>
        <w:rPr>
          <w:rFonts w:ascii="Arial" w:hAnsi="Arial"/>
          <w:b/>
          <w:bCs/>
          <w:rtl/>
        </w:rPr>
        <w:t xml:space="preserve"> </w:t>
      </w:r>
      <w:r>
        <w:rPr>
          <w:rtl/>
        </w:rPr>
        <w:t xml:space="preserve">[פורסם בנבו] </w:t>
      </w:r>
      <w:r>
        <w:rPr>
          <w:rFonts w:ascii="Arial" w:hAnsi="Arial"/>
          <w:rtl/>
        </w:rPr>
        <w:t>(3.5.17), שהוזכר אף בחוות דעת המומחה מטעם התובע בהקשר אחר (ראה סעיף 19 לחוות הדעת).</w:t>
      </w:r>
    </w:p>
    <w:p w:rsidR="00632520" w:rsidRDefault="00632520" w:rsidP="00632520">
      <w:pPr>
        <w:spacing w:after="120" w:line="360" w:lineRule="auto"/>
        <w:ind w:left="720" w:hanging="720"/>
        <w:jc w:val="both"/>
        <w:rPr>
          <w:rFonts w:ascii="Arial" w:hAnsi="Arial"/>
          <w:rtl/>
        </w:rPr>
      </w:pPr>
      <w:r>
        <w:rPr>
          <w:rFonts w:ascii="Arial" w:hAnsi="Arial"/>
          <w:rtl/>
        </w:rPr>
        <w:tab/>
        <w:t xml:space="preserve">[כן ראה קביעה דומה, </w:t>
      </w:r>
      <w:proofErr w:type="spellStart"/>
      <w:r>
        <w:rPr>
          <w:rFonts w:ascii="Arial" w:hAnsi="Arial"/>
          <w:rtl/>
        </w:rPr>
        <w:t>ב</w:t>
      </w:r>
      <w:hyperlink r:id="rId26" w:history="1">
        <w:r>
          <w:rPr>
            <w:rFonts w:ascii="Arial" w:hAnsi="Arial"/>
            <w:color w:val="0000FF"/>
            <w:u w:val="single"/>
            <w:rtl/>
          </w:rPr>
          <w:t>רע"פ</w:t>
        </w:r>
        <w:proofErr w:type="spellEnd"/>
        <w:r>
          <w:rPr>
            <w:rFonts w:ascii="Arial" w:hAnsi="Arial"/>
            <w:color w:val="0000FF"/>
            <w:u w:val="single"/>
            <w:rtl/>
          </w:rPr>
          <w:t xml:space="preserve"> 7761/01</w:t>
        </w:r>
      </w:hyperlink>
      <w:r>
        <w:rPr>
          <w:rFonts w:ascii="Arial" w:hAnsi="Arial"/>
          <w:rtl/>
        </w:rPr>
        <w:t xml:space="preserve"> </w:t>
      </w:r>
      <w:r>
        <w:rPr>
          <w:rFonts w:ascii="Arial" w:hAnsi="Arial"/>
          <w:b/>
          <w:bCs/>
          <w:rtl/>
        </w:rPr>
        <w:t>אלקן נ' מדינת ישראל</w:t>
      </w:r>
      <w:r>
        <w:rPr>
          <w:rFonts w:ascii="Arial" w:hAnsi="Arial"/>
          <w:rtl/>
        </w:rPr>
        <w:t xml:space="preserve"> </w:t>
      </w:r>
      <w:r>
        <w:rPr>
          <w:rtl/>
        </w:rPr>
        <w:t xml:space="preserve">[פורסם בנבו] </w:t>
      </w:r>
      <w:r>
        <w:rPr>
          <w:rFonts w:ascii="Arial" w:hAnsi="Arial"/>
          <w:rtl/>
        </w:rPr>
        <w:t>(26.11.01)].</w:t>
      </w:r>
    </w:p>
    <w:p w:rsidR="00632520" w:rsidRDefault="00632520" w:rsidP="00632520">
      <w:pPr>
        <w:spacing w:after="120" w:line="360" w:lineRule="auto"/>
        <w:ind w:left="720" w:hanging="720"/>
        <w:jc w:val="both"/>
        <w:rPr>
          <w:rFonts w:ascii="Arial" w:hAnsi="Arial"/>
          <w:rtl/>
        </w:rPr>
      </w:pPr>
      <w:r>
        <w:rPr>
          <w:rFonts w:ascii="Arial" w:hAnsi="Arial"/>
          <w:rtl/>
        </w:rPr>
        <w:t>51.</w:t>
      </w:r>
      <w:r>
        <w:rPr>
          <w:rFonts w:ascii="Arial" w:hAnsi="Arial"/>
          <w:rtl/>
        </w:rPr>
        <w:tab/>
        <w:t xml:space="preserve">קביעה פסוקה זו כי תוצאות משחק הפוקר תלויות יותר בגורל מאשר בהבנה או ביכולת (התנאי השני ל"משחק אסור"), רלוונטית גם למשחק פוקר המתקיים באמצעות מחשב או משחק מחשב. זאת כיוון שלטעמי, אין הבדל של ממש </w:t>
      </w:r>
      <w:proofErr w:type="spellStart"/>
      <w:r>
        <w:rPr>
          <w:rFonts w:ascii="Arial" w:hAnsi="Arial"/>
          <w:rtl/>
        </w:rPr>
        <w:t>לענין</w:t>
      </w:r>
      <w:proofErr w:type="spellEnd"/>
      <w:r>
        <w:rPr>
          <w:rFonts w:ascii="Arial" w:hAnsi="Arial"/>
          <w:rtl/>
        </w:rPr>
        <w:t xml:space="preserve"> קיומו של התנאי השני בין משחק פוקר פיזי למשחק פוקר באמצעות מחשב.</w:t>
      </w:r>
    </w:p>
    <w:p w:rsidR="000C3783" w:rsidRPr="00330BE2" w:rsidRDefault="00632520" w:rsidP="00632520">
      <w:pPr>
        <w:tabs>
          <w:tab w:val="left" w:pos="5891"/>
        </w:tabs>
        <w:rPr>
          <w:rFonts w:ascii="Arial" w:hAnsi="Arial" w:cs="David"/>
          <w:sz w:val="24"/>
          <w:szCs w:val="24"/>
        </w:rPr>
      </w:pPr>
      <w:r>
        <w:rPr>
          <w:rFonts w:ascii="Arial" w:hAnsi="Arial"/>
          <w:rtl/>
        </w:rPr>
        <w:t>52.</w:t>
      </w:r>
      <w:r>
        <w:rPr>
          <w:rFonts w:ascii="Arial" w:hAnsi="Arial"/>
          <w:rtl/>
        </w:rPr>
        <w:tab/>
        <w:t xml:space="preserve">לאור כל האמור לעיל יש לומר, כי מתקיים לכאורה התנאי השני לתנאיי "משחק אסור" </w:t>
      </w:r>
      <w:hyperlink r:id="rId27" w:history="1">
        <w:r>
          <w:rPr>
            <w:rFonts w:ascii="Arial" w:hAnsi="Arial"/>
            <w:color w:val="0000FF"/>
            <w:u w:val="single"/>
            <w:rtl/>
          </w:rPr>
          <w:t>שבסעיף 224</w:t>
        </w:r>
      </w:hyperlink>
      <w:r>
        <w:rPr>
          <w:rFonts w:ascii="Arial" w:hAnsi="Arial"/>
          <w:rtl/>
        </w:rPr>
        <w:t xml:space="preserve"> ל</w:t>
      </w:r>
      <w:hyperlink r:id="rId28" w:history="1">
        <w:r>
          <w:rPr>
            <w:rFonts w:ascii="Arial" w:hAnsi="Arial"/>
            <w:color w:val="0000FF"/>
            <w:u w:val="single"/>
            <w:rtl/>
          </w:rPr>
          <w:t>חוק העונשין</w:t>
        </w:r>
      </w:hyperlink>
      <w:r>
        <w:rPr>
          <w:rFonts w:ascii="Arial" w:hAnsi="Arial"/>
          <w:rtl/>
        </w:rPr>
        <w:t>.</w:t>
      </w:r>
      <w:r>
        <w:rPr>
          <w:rFonts w:ascii="Arial" w:hAnsi="Arial" w:cs="David" w:hint="cs"/>
          <w:sz w:val="24"/>
          <w:szCs w:val="24"/>
          <w:rtl/>
        </w:rPr>
        <w:t>"</w:t>
      </w:r>
      <w:r w:rsidR="00330BE2">
        <w:rPr>
          <w:rFonts w:ascii="Arial" w:hAnsi="Arial" w:cs="David"/>
          <w:sz w:val="24"/>
          <w:szCs w:val="24"/>
          <w:rtl/>
        </w:rPr>
        <w:tab/>
      </w:r>
    </w:p>
    <w:sectPr w:rsidR="000C3783" w:rsidRPr="00330BE2" w:rsidSect="00F65C7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altName w:val="Malgun Gothic Semilight"/>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449CE"/>
    <w:multiLevelType w:val="hybridMultilevel"/>
    <w:tmpl w:val="8640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553"/>
    <w:rsid w:val="000C3783"/>
    <w:rsid w:val="00107656"/>
    <w:rsid w:val="001F6ADF"/>
    <w:rsid w:val="00330BE2"/>
    <w:rsid w:val="00407297"/>
    <w:rsid w:val="00597BF5"/>
    <w:rsid w:val="005E2639"/>
    <w:rsid w:val="00632520"/>
    <w:rsid w:val="00AA4219"/>
    <w:rsid w:val="00BE5553"/>
    <w:rsid w:val="00C01F27"/>
    <w:rsid w:val="00F65C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E5553"/>
    <w:rPr>
      <w:color w:val="0000FF" w:themeColor="hyperlink"/>
      <w:u w:val="single"/>
    </w:rPr>
  </w:style>
  <w:style w:type="paragraph" w:styleId="a3">
    <w:name w:val="List Paragraph"/>
    <w:basedOn w:val="a"/>
    <w:uiPriority w:val="34"/>
    <w:qFormat/>
    <w:rsid w:val="000C378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BE5553"/>
    <w:rPr>
      <w:color w:val="0000FF" w:themeColor="hyperlink"/>
      <w:u w:val="single"/>
    </w:rPr>
  </w:style>
  <w:style w:type="paragraph" w:styleId="a3">
    <w:name w:val="List Paragraph"/>
    <w:basedOn w:val="a"/>
    <w:uiPriority w:val="34"/>
    <w:qFormat/>
    <w:rsid w:val="000C37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66750">
      <w:bodyDiv w:val="1"/>
      <w:marLeft w:val="0"/>
      <w:marRight w:val="0"/>
      <w:marTop w:val="0"/>
      <w:marBottom w:val="0"/>
      <w:divBdr>
        <w:top w:val="none" w:sz="0" w:space="0" w:color="auto"/>
        <w:left w:val="none" w:sz="0" w:space="0" w:color="auto"/>
        <w:bottom w:val="none" w:sz="0" w:space="0" w:color="auto"/>
        <w:right w:val="none" w:sz="0" w:space="0" w:color="auto"/>
      </w:divBdr>
    </w:div>
    <w:div w:id="741833764">
      <w:bodyDiv w:val="1"/>
      <w:marLeft w:val="0"/>
      <w:marRight w:val="0"/>
      <w:marTop w:val="0"/>
      <w:marBottom w:val="0"/>
      <w:divBdr>
        <w:top w:val="none" w:sz="0" w:space="0" w:color="auto"/>
        <w:left w:val="none" w:sz="0" w:space="0" w:color="auto"/>
        <w:bottom w:val="none" w:sz="0" w:space="0" w:color="auto"/>
        <w:right w:val="none" w:sz="0" w:space="0" w:color="auto"/>
      </w:divBdr>
    </w:div>
    <w:div w:id="810253497">
      <w:bodyDiv w:val="1"/>
      <w:marLeft w:val="0"/>
      <w:marRight w:val="0"/>
      <w:marTop w:val="0"/>
      <w:marBottom w:val="0"/>
      <w:divBdr>
        <w:top w:val="none" w:sz="0" w:space="0" w:color="auto"/>
        <w:left w:val="none" w:sz="0" w:space="0" w:color="auto"/>
        <w:bottom w:val="none" w:sz="0" w:space="0" w:color="auto"/>
        <w:right w:val="none" w:sz="0" w:space="0" w:color="auto"/>
      </w:divBdr>
    </w:div>
    <w:div w:id="1312831592">
      <w:bodyDiv w:val="1"/>
      <w:marLeft w:val="0"/>
      <w:marRight w:val="0"/>
      <w:marTop w:val="0"/>
      <w:marBottom w:val="0"/>
      <w:divBdr>
        <w:top w:val="none" w:sz="0" w:space="0" w:color="auto"/>
        <w:left w:val="none" w:sz="0" w:space="0" w:color="auto"/>
        <w:bottom w:val="none" w:sz="0" w:space="0" w:color="auto"/>
        <w:right w:val="none" w:sz="0" w:space="0" w:color="auto"/>
      </w:divBdr>
    </w:div>
    <w:div w:id="17242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Microsoft_Word_97_-_2003_Document2.doc"/><Relationship Id="rId26" Type="http://schemas.openxmlformats.org/officeDocument/2006/relationships/hyperlink" Target="http://www.nevo.co.il/case/6072959" TargetMode="External"/><Relationship Id="rId3" Type="http://schemas.microsoft.com/office/2007/relationships/stylesWithEffects" Target="stylesWithEffects.xml"/><Relationship Id="rId21" Type="http://schemas.openxmlformats.org/officeDocument/2006/relationships/hyperlink" Target="http://www.nevo.co.il/case/17914486" TargetMode="External"/><Relationship Id="rId7" Type="http://schemas.openxmlformats.org/officeDocument/2006/relationships/image" Target="media/image1.emf"/><Relationship Id="rId12" Type="http://schemas.openxmlformats.org/officeDocument/2006/relationships/package" Target="embeddings/Microsoft_Word_Document1.docx"/><Relationship Id="rId17" Type="http://schemas.openxmlformats.org/officeDocument/2006/relationships/image" Target="media/image6.emf"/><Relationship Id="rId25" Type="http://schemas.openxmlformats.org/officeDocument/2006/relationships/hyperlink" Target="http://www.nevo.co.il/case/20446069" TargetMode="External"/><Relationship Id="rId2" Type="http://schemas.openxmlformats.org/officeDocument/2006/relationships/styles" Target="styles.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shakedk@mof.gov.il" TargetMode="External"/><Relationship Id="rId11" Type="http://schemas.openxmlformats.org/officeDocument/2006/relationships/image" Target="media/image3.emf"/><Relationship Id="rId24" Type="http://schemas.openxmlformats.org/officeDocument/2006/relationships/hyperlink" Target="http://www.nevo.co.il/case/20270313"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nevo.co.il/case/8457219" TargetMode="External"/><Relationship Id="rId28" Type="http://schemas.openxmlformats.org/officeDocument/2006/relationships/hyperlink" Target="http://www.nevo.co.il/law/70301" TargetMode="External"/><Relationship Id="rId10" Type="http://schemas.openxmlformats.org/officeDocument/2006/relationships/oleObject" Target="embeddings/oleObject2.bin"/><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2.docx"/><Relationship Id="rId22" Type="http://schemas.openxmlformats.org/officeDocument/2006/relationships/hyperlink" Target="http://www.nevo.co.il/case/17946373" TargetMode="External"/><Relationship Id="rId27" Type="http://schemas.openxmlformats.org/officeDocument/2006/relationships/hyperlink" Target="http://www.nevo.co.il/law/70301/224" TargetMode="External"/><Relationship Id="rId30"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654AE191</Template>
  <TotalTime>2</TotalTime>
  <Pages>4</Pages>
  <Words>1089</Words>
  <Characters>5449</Characters>
  <Application>Microsoft Office Word</Application>
  <DocSecurity>0</DocSecurity>
  <Lines>45</Lines>
  <Paragraphs>13</Paragraphs>
  <ScaleCrop>false</ScaleCrop>
  <HeadingPairs>
    <vt:vector size="2" baseType="variant">
      <vt:variant>
        <vt:lpstr>שם</vt:lpstr>
      </vt:variant>
      <vt:variant>
        <vt:i4>1</vt:i4>
      </vt:variant>
    </vt:vector>
  </HeadingPairs>
  <TitlesOfParts>
    <vt:vector size="1" baseType="lpstr">
      <vt:lpstr/>
    </vt:vector>
  </TitlesOfParts>
  <Company>MOJ</Company>
  <LinksUpToDate>false</LinksUpToDate>
  <CharactersWithSpaces>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Tomer Levy</dc:creator>
  <cp:lastModifiedBy>avigails</cp:lastModifiedBy>
  <cp:revision>3</cp:revision>
  <dcterms:created xsi:type="dcterms:W3CDTF">2019-06-27T11:56:00Z</dcterms:created>
  <dcterms:modified xsi:type="dcterms:W3CDTF">2019-06-27T12:17:00Z</dcterms:modified>
</cp:coreProperties>
</file>